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t>UNITED STATES</w:t>
      </w:r>
    </w:p>
    <w:p>
      <w:pPr>
        <w:jc w:val="center"/>
        <w:ind w:right="-79"/>
        <w:spacing w:after="0" w:line="237" w:lineRule="auto"/>
        <w:rPr>
          <w:sz w:val="20"/>
          <w:szCs w:val="20"/>
          <w:color w:val="auto"/>
        </w:rPr>
      </w:pPr>
      <w:r>
        <w:rPr>
          <w:rFonts w:ascii="Arial" w:cs="Arial" w:eastAsia="Arial" w:hAnsi="Arial"/>
          <w:sz w:val="29"/>
          <w:szCs w:val="29"/>
          <w:b w:val="1"/>
          <w:bCs w:val="1"/>
          <w:color w:val="auto"/>
        </w:rPr>
        <w:t>SECURITIES AND EXCHANGE COMMISSION</w:t>
      </w:r>
    </w:p>
    <w:p>
      <w:pPr>
        <w:jc w:val="center"/>
        <w:ind w:right="-79"/>
        <w:spacing w:after="0" w:line="214" w:lineRule="auto"/>
        <w:rPr>
          <w:sz w:val="20"/>
          <w:szCs w:val="20"/>
          <w:color w:val="auto"/>
        </w:rPr>
      </w:pPr>
      <w:r>
        <w:rPr>
          <w:rFonts w:ascii="Arial" w:cs="Arial" w:eastAsia="Arial" w:hAnsi="Arial"/>
          <w:sz w:val="22"/>
          <w:szCs w:val="22"/>
          <w:b w:val="1"/>
          <w:bCs w:val="1"/>
          <w:color w:val="auto"/>
        </w:rPr>
        <w:t>Washington, D.C. 20549</w:t>
      </w:r>
    </w:p>
    <w:p>
      <w:pPr>
        <w:ind w:left="4140"/>
        <w:spacing w:after="0" w:line="232" w:lineRule="auto"/>
        <w:rPr>
          <w:sz w:val="20"/>
          <w:szCs w:val="20"/>
          <w:color w:val="auto"/>
        </w:rPr>
      </w:pPr>
      <w:r>
        <w:rPr>
          <w:rFonts w:ascii="Arial" w:cs="Arial" w:eastAsia="Arial" w:hAnsi="Arial"/>
          <w:sz w:val="14"/>
          <w:szCs w:val="14"/>
          <w:color w:val="auto"/>
        </w:rPr>
        <w:t>_________________________________________</w:t>
      </w:r>
    </w:p>
    <w:p>
      <w:pPr>
        <w:jc w:val="center"/>
        <w:ind w:right="-79"/>
        <w:spacing w:after="0" w:line="228" w:lineRule="auto"/>
        <w:rPr>
          <w:sz w:val="20"/>
          <w:szCs w:val="20"/>
          <w:color w:val="auto"/>
        </w:rPr>
      </w:pPr>
      <w:r>
        <w:rPr>
          <w:rFonts w:ascii="Arial" w:cs="Arial" w:eastAsia="Arial" w:hAnsi="Arial"/>
          <w:sz w:val="29"/>
          <w:szCs w:val="29"/>
          <w:b w:val="1"/>
          <w:bCs w:val="1"/>
          <w:color w:val="auto"/>
        </w:rPr>
        <w:t>FORM 10-Q</w:t>
      </w:r>
    </w:p>
    <w:p>
      <w:pPr>
        <w:spacing w:after="0" w:line="1"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_________________________________________</w:t>
      </w:r>
    </w:p>
    <w:p>
      <w:pPr>
        <w:spacing w:after="0" w:line="142" w:lineRule="exact"/>
        <w:rPr>
          <w:sz w:val="24"/>
          <w:szCs w:val="24"/>
          <w:color w:val="auto"/>
        </w:rPr>
      </w:pPr>
    </w:p>
    <w:p>
      <w:pPr>
        <w:ind w:left="480" w:right="240" w:hanging="472"/>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April 30, 2023</w:t>
      </w:r>
    </w:p>
    <w:p>
      <w:pPr>
        <w:spacing w:after="0" w:line="9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00" w:right="180" w:hanging="492"/>
        <w:spacing w:after="0" w:line="243" w:lineRule="auto"/>
        <w:tabs>
          <w:tab w:leader="none" w:pos="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u w:val="single" w:color="auto"/>
          <w:color w:val="auto"/>
        </w:rPr>
        <w:t>_______</w:t>
      </w:r>
      <w:r>
        <w:rPr>
          <w:rFonts w:ascii="Arial" w:cs="Arial" w:eastAsia="Arial" w:hAnsi="Arial"/>
          <w:sz w:val="18"/>
          <w:szCs w:val="18"/>
          <w:b w:val="1"/>
          <w:bCs w:val="1"/>
          <w:color w:val="auto"/>
        </w:rPr>
        <w:t xml:space="preserve"> to </w:t>
      </w:r>
      <w:r>
        <w:rPr>
          <w:rFonts w:ascii="Arial" w:cs="Arial" w:eastAsia="Arial" w:hAnsi="Arial"/>
          <w:sz w:val="18"/>
          <w:szCs w:val="18"/>
          <w:u w:val="single" w:color="auto"/>
          <w:color w:val="auto"/>
        </w:rPr>
        <w:t>_______</w:t>
      </w:r>
    </w:p>
    <w:p>
      <w:pPr>
        <w:spacing w:after="0" w:line="7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001-37641</w:t>
      </w:r>
    </w:p>
    <w:p>
      <w:pPr>
        <w:ind w:left="4140"/>
        <w:spacing w:after="0"/>
        <w:rPr>
          <w:sz w:val="20"/>
          <w:szCs w:val="20"/>
          <w:color w:val="auto"/>
        </w:rPr>
      </w:pPr>
      <w:r>
        <w:rPr>
          <w:rFonts w:ascii="Arial" w:cs="Arial" w:eastAsia="Arial" w:hAnsi="Arial"/>
          <w:sz w:val="14"/>
          <w:szCs w:val="14"/>
          <w:color w:val="auto"/>
        </w:rPr>
        <w:t>_________________________________________</w:t>
      </w:r>
    </w:p>
    <w:p>
      <w:pPr>
        <w:jc w:val="center"/>
        <w:ind w:right="-79"/>
        <w:spacing w:after="0" w:line="227" w:lineRule="auto"/>
        <w:rPr>
          <w:sz w:val="20"/>
          <w:szCs w:val="20"/>
          <w:color w:val="auto"/>
        </w:rPr>
      </w:pPr>
      <w:r>
        <w:rPr>
          <w:rFonts w:ascii="Arial" w:cs="Arial" w:eastAsia="Arial" w:hAnsi="Arial"/>
          <w:sz w:val="40"/>
          <w:szCs w:val="40"/>
          <w:b w:val="1"/>
          <w:bCs w:val="1"/>
          <w:color w:val="auto"/>
        </w:rPr>
        <w:t>DULUTH HOLDINGS INC.</w:t>
      </w:r>
    </w:p>
    <w:p>
      <w:pPr>
        <w:jc w:val="center"/>
        <w:ind w:right="-79"/>
        <w:spacing w:after="0" w:line="225" w:lineRule="auto"/>
        <w:rPr>
          <w:sz w:val="20"/>
          <w:szCs w:val="20"/>
          <w:color w:val="auto"/>
        </w:rPr>
      </w:pPr>
      <w:r>
        <w:rPr>
          <w:rFonts w:ascii="Arial" w:cs="Arial" w:eastAsia="Arial" w:hAnsi="Arial"/>
          <w:sz w:val="18"/>
          <w:szCs w:val="18"/>
          <w:b w:val="1"/>
          <w:bCs w:val="1"/>
          <w:color w:val="auto"/>
        </w:rPr>
        <w:t>(Exact name of registrant as specified in its charter)</w:t>
      </w:r>
    </w:p>
    <w:p>
      <w:pPr>
        <w:ind w:left="4160"/>
        <w:spacing w:after="0"/>
        <w:rPr>
          <w:sz w:val="20"/>
          <w:szCs w:val="20"/>
          <w:color w:val="auto"/>
        </w:rPr>
      </w:pPr>
      <w:r>
        <w:rPr>
          <w:rFonts w:ascii="Arial" w:cs="Arial" w:eastAsia="Arial" w:hAnsi="Arial"/>
          <w:sz w:val="14"/>
          <w:szCs w:val="14"/>
          <w:color w:val="auto"/>
        </w:rPr>
        <w:t>_________________________________________</w:t>
      </w:r>
    </w:p>
    <w:p>
      <w:pPr>
        <w:spacing w:after="0" w:line="143"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5860" w:type="dxa"/>
            <w:vAlign w:val="bottom"/>
          </w:tcPr>
          <w:p>
            <w:pPr>
              <w:jc w:val="center"/>
              <w:ind w:right="3402"/>
              <w:spacing w:after="0"/>
              <w:rPr>
                <w:sz w:val="20"/>
                <w:szCs w:val="20"/>
                <w:color w:val="auto"/>
              </w:rPr>
            </w:pPr>
            <w:r>
              <w:rPr>
                <w:rFonts w:ascii="Arial" w:cs="Arial" w:eastAsia="Arial" w:hAnsi="Arial"/>
                <w:sz w:val="18"/>
                <w:szCs w:val="18"/>
                <w:b w:val="1"/>
                <w:bCs w:val="1"/>
                <w:color w:val="auto"/>
                <w:w w:val="86"/>
              </w:rPr>
              <w:t>Wisconsin</w:t>
            </w:r>
          </w:p>
        </w:tc>
        <w:tc>
          <w:tcPr>
            <w:tcW w:w="1660" w:type="dxa"/>
            <w:vAlign w:val="bottom"/>
          </w:tcPr>
          <w:p>
            <w:pPr>
              <w:jc w:val="right"/>
              <w:ind w:right="201"/>
              <w:spacing w:after="0"/>
              <w:rPr>
                <w:sz w:val="20"/>
                <w:szCs w:val="20"/>
                <w:color w:val="auto"/>
              </w:rPr>
            </w:pPr>
            <w:r>
              <w:rPr>
                <w:rFonts w:ascii="Arial" w:cs="Arial" w:eastAsia="Arial" w:hAnsi="Arial"/>
                <w:sz w:val="18"/>
                <w:szCs w:val="18"/>
                <w:b w:val="1"/>
                <w:bCs w:val="1"/>
                <w:color w:val="auto"/>
              </w:rPr>
              <w:t>39-1564801</w:t>
            </w:r>
          </w:p>
        </w:tc>
      </w:tr>
      <w:tr>
        <w:trPr>
          <w:trHeight w:val="162"/>
        </w:trPr>
        <w:tc>
          <w:tcPr>
            <w:tcW w:w="5860" w:type="dxa"/>
            <w:vAlign w:val="bottom"/>
          </w:tcPr>
          <w:p>
            <w:pPr>
              <w:jc w:val="center"/>
              <w:ind w:right="3382"/>
              <w:spacing w:after="0"/>
              <w:rPr>
                <w:sz w:val="20"/>
                <w:szCs w:val="20"/>
                <w:color w:val="auto"/>
              </w:rPr>
            </w:pPr>
            <w:r>
              <w:rPr>
                <w:rFonts w:ascii="Arial" w:cs="Arial" w:eastAsia="Arial" w:hAnsi="Arial"/>
                <w:sz w:val="14"/>
                <w:szCs w:val="14"/>
                <w:b w:val="1"/>
                <w:bCs w:val="1"/>
                <w:color w:val="auto"/>
                <w:w w:val="93"/>
              </w:rPr>
              <w:t>(State or other jurisdiction of</w:t>
            </w:r>
          </w:p>
        </w:tc>
        <w:tc>
          <w:tcPr>
            <w:tcW w:w="166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860" w:type="dxa"/>
            <w:vAlign w:val="bottom"/>
          </w:tcPr>
          <w:p>
            <w:pPr>
              <w:jc w:val="center"/>
              <w:ind w:right="3382"/>
              <w:spacing w:after="0"/>
              <w:rPr>
                <w:sz w:val="20"/>
                <w:szCs w:val="20"/>
                <w:color w:val="auto"/>
              </w:rPr>
            </w:pPr>
            <w:r>
              <w:rPr>
                <w:rFonts w:ascii="Arial" w:cs="Arial" w:eastAsia="Arial" w:hAnsi="Arial"/>
                <w:sz w:val="14"/>
                <w:szCs w:val="14"/>
                <w:b w:val="1"/>
                <w:bCs w:val="1"/>
                <w:color w:val="auto"/>
                <w:w w:val="94"/>
              </w:rPr>
              <w:t>incorporation or organization)</w:t>
            </w:r>
          </w:p>
        </w:tc>
        <w:tc>
          <w:tcPr>
            <w:tcW w:w="166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5860" w:type="dxa"/>
            <w:vAlign w:val="bottom"/>
          </w:tcPr>
          <w:p>
            <w:pPr>
              <w:jc w:val="center"/>
              <w:ind w:right="3382"/>
              <w:spacing w:after="0"/>
              <w:rPr>
                <w:sz w:val="20"/>
                <w:szCs w:val="20"/>
                <w:color w:val="auto"/>
              </w:rPr>
            </w:pPr>
            <w:r>
              <w:rPr>
                <w:rFonts w:ascii="Arial" w:cs="Arial" w:eastAsia="Arial" w:hAnsi="Arial"/>
                <w:sz w:val="18"/>
                <w:szCs w:val="18"/>
                <w:b w:val="1"/>
                <w:bCs w:val="1"/>
                <w:color w:val="auto"/>
                <w:w w:val="91"/>
              </w:rPr>
              <w:t>201 East Front Street</w:t>
            </w:r>
          </w:p>
        </w:tc>
        <w:tc>
          <w:tcPr>
            <w:tcW w:w="1660" w:type="dxa"/>
            <w:vAlign w:val="bottom"/>
          </w:tcPr>
          <w:p>
            <w:pPr>
              <w:spacing w:after="0"/>
              <w:rPr>
                <w:sz w:val="24"/>
                <w:szCs w:val="24"/>
                <w:color w:val="auto"/>
              </w:rPr>
            </w:pPr>
          </w:p>
        </w:tc>
      </w:tr>
      <w:tr>
        <w:trPr>
          <w:trHeight w:val="198"/>
        </w:trPr>
        <w:tc>
          <w:tcPr>
            <w:tcW w:w="5860" w:type="dxa"/>
            <w:vAlign w:val="bottom"/>
          </w:tcPr>
          <w:p>
            <w:pPr>
              <w:jc w:val="center"/>
              <w:ind w:right="3382"/>
              <w:spacing w:after="0" w:line="198" w:lineRule="exact"/>
              <w:rPr>
                <w:sz w:val="20"/>
                <w:szCs w:val="20"/>
                <w:color w:val="auto"/>
              </w:rPr>
            </w:pPr>
            <w:r>
              <w:rPr>
                <w:rFonts w:ascii="Arial" w:cs="Arial" w:eastAsia="Arial" w:hAnsi="Arial"/>
                <w:sz w:val="18"/>
                <w:szCs w:val="18"/>
                <w:b w:val="1"/>
                <w:bCs w:val="1"/>
                <w:color w:val="auto"/>
                <w:w w:val="90"/>
              </w:rPr>
              <w:t>Mount Horeb, Wisconsin</w:t>
            </w:r>
          </w:p>
        </w:tc>
        <w:tc>
          <w:tcPr>
            <w:tcW w:w="1660" w:type="dxa"/>
            <w:vAlign w:val="bottom"/>
          </w:tcPr>
          <w:p>
            <w:pPr>
              <w:jc w:val="right"/>
              <w:ind w:right="401"/>
              <w:spacing w:after="0" w:line="198" w:lineRule="exact"/>
              <w:rPr>
                <w:sz w:val="20"/>
                <w:szCs w:val="20"/>
                <w:color w:val="auto"/>
              </w:rPr>
            </w:pPr>
            <w:r>
              <w:rPr>
                <w:rFonts w:ascii="Arial" w:cs="Arial" w:eastAsia="Arial" w:hAnsi="Arial"/>
                <w:sz w:val="18"/>
                <w:szCs w:val="18"/>
                <w:b w:val="1"/>
                <w:bCs w:val="1"/>
                <w:color w:val="auto"/>
              </w:rPr>
              <w:t>53572</w:t>
            </w:r>
          </w:p>
        </w:tc>
      </w:tr>
      <w:tr>
        <w:trPr>
          <w:trHeight w:val="186"/>
        </w:trPr>
        <w:tc>
          <w:tcPr>
            <w:tcW w:w="5860" w:type="dxa"/>
            <w:vAlign w:val="bottom"/>
          </w:tcPr>
          <w:p>
            <w:pPr>
              <w:jc w:val="center"/>
              <w:ind w:right="340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6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(Zip Code)</w:t>
            </w:r>
          </w:p>
        </w:tc>
      </w:tr>
      <w:tr>
        <w:trPr>
          <w:trHeight w:val="232"/>
        </w:trPr>
        <w:tc>
          <w:tcPr>
            <w:tcW w:w="5860" w:type="dxa"/>
            <w:vAlign w:val="bottom"/>
          </w:tcPr>
          <w:p>
            <w:pPr>
              <w:jc w:val="right"/>
              <w:ind w:right="1322"/>
              <w:spacing w:after="0"/>
              <w:rPr>
                <w:sz w:val="20"/>
                <w:szCs w:val="20"/>
                <w:color w:val="auto"/>
              </w:rPr>
            </w:pPr>
            <w:r>
              <w:rPr>
                <w:rFonts w:ascii="Arial" w:cs="Arial" w:eastAsia="Arial" w:hAnsi="Arial"/>
                <w:sz w:val="14"/>
                <w:szCs w:val="14"/>
                <w:b w:val="1"/>
                <w:bCs w:val="1"/>
                <w:color w:val="auto"/>
              </w:rPr>
              <w:t>(608) 424-1544</w:t>
            </w:r>
          </w:p>
        </w:tc>
        <w:tc>
          <w:tcPr>
            <w:tcW w:w="1660" w:type="dxa"/>
            <w:vAlign w:val="bottom"/>
          </w:tcPr>
          <w:p>
            <w:pPr>
              <w:spacing w:after="0"/>
              <w:rPr>
                <w:sz w:val="20"/>
                <w:szCs w:val="20"/>
                <w:color w:val="auto"/>
              </w:rPr>
            </w:pPr>
          </w:p>
        </w:tc>
      </w:tr>
      <w:tr>
        <w:trPr>
          <w:trHeight w:val="179"/>
        </w:trPr>
        <w:tc>
          <w:tcPr>
            <w:tcW w:w="5860" w:type="dxa"/>
            <w:vAlign w:val="bottom"/>
          </w:tcPr>
          <w:p>
            <w:pPr>
              <w:ind w:left="2380"/>
              <w:spacing w:after="0"/>
              <w:rPr>
                <w:sz w:val="20"/>
                <w:szCs w:val="20"/>
                <w:color w:val="auto"/>
              </w:rPr>
            </w:pPr>
            <w:r>
              <w:rPr>
                <w:rFonts w:ascii="Arial" w:cs="Arial" w:eastAsia="Arial" w:hAnsi="Arial"/>
                <w:sz w:val="14"/>
                <w:szCs w:val="14"/>
                <w:b w:val="1"/>
                <w:bCs w:val="1"/>
                <w:color w:val="auto"/>
                <w:w w:val="97"/>
              </w:rPr>
              <w:t>(Registrant’s telephone number, including area code)</w:t>
            </w:r>
          </w:p>
        </w:tc>
        <w:tc>
          <w:tcPr>
            <w:tcW w:w="1660" w:type="dxa"/>
            <w:vAlign w:val="bottom"/>
          </w:tcPr>
          <w:p>
            <w:pPr>
              <w:spacing w:after="0"/>
              <w:rPr>
                <w:sz w:val="15"/>
                <w:szCs w:val="15"/>
                <w:color w:val="auto"/>
              </w:rPr>
            </w:pPr>
          </w:p>
        </w:tc>
      </w:tr>
      <w:tr>
        <w:trPr>
          <w:trHeight w:val="182"/>
        </w:trPr>
        <w:tc>
          <w:tcPr>
            <w:tcW w:w="5860" w:type="dxa"/>
            <w:vAlign w:val="bottom"/>
          </w:tcPr>
          <w:p>
            <w:pPr>
              <w:jc w:val="right"/>
              <w:ind w:right="302"/>
              <w:spacing w:after="0"/>
              <w:rPr>
                <w:sz w:val="20"/>
                <w:szCs w:val="20"/>
                <w:color w:val="auto"/>
              </w:rPr>
            </w:pPr>
            <w:r>
              <w:rPr>
                <w:rFonts w:ascii="Arial" w:cs="Arial" w:eastAsia="Arial" w:hAnsi="Arial"/>
                <w:sz w:val="14"/>
                <w:szCs w:val="14"/>
                <w:color w:val="auto"/>
              </w:rPr>
              <w:t>_________________________________________</w:t>
            </w:r>
          </w:p>
        </w:tc>
        <w:tc>
          <w:tcPr>
            <w:tcW w:w="1660" w:type="dxa"/>
            <w:vAlign w:val="bottom"/>
          </w:tcPr>
          <w:p>
            <w:pPr>
              <w:spacing w:after="0"/>
              <w:rPr>
                <w:sz w:val="15"/>
                <w:szCs w:val="15"/>
                <w:color w:val="auto"/>
              </w:rPr>
            </w:pPr>
          </w:p>
        </w:tc>
      </w:tr>
    </w:tbl>
    <w:p>
      <w:pPr>
        <w:spacing w:after="0" w:line="56" w:lineRule="exact"/>
        <w:rPr>
          <w:sz w:val="24"/>
          <w:szCs w:val="24"/>
          <w:color w:val="auto"/>
        </w:rPr>
      </w:pPr>
    </w:p>
    <w:p>
      <w:pPr>
        <w:ind w:left="4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0" w:lineRule="exact"/>
        <w:rPr>
          <w:sz w:val="24"/>
          <w:szCs w:val="24"/>
          <w:color w:val="auto"/>
        </w:rPr>
      </w:pPr>
    </w:p>
    <w:tbl>
      <w:tblPr>
        <w:tblLayout w:type="fixed"/>
        <w:tblInd w:w="700" w:type="dxa"/>
        <w:tblCellMar>
          <w:top w:w="0" w:type="dxa"/>
          <w:left w:w="0" w:type="dxa"/>
          <w:bottom w:w="0" w:type="dxa"/>
          <w:right w:w="0" w:type="dxa"/>
        </w:tblCellMar>
      </w:tblPr>
      <w:tr>
        <w:trPr>
          <w:trHeight w:val="189"/>
        </w:trPr>
        <w:tc>
          <w:tcPr>
            <w:tcW w:w="3420" w:type="dxa"/>
            <w:vAlign w:val="bottom"/>
          </w:tcPr>
          <w:p>
            <w:pPr>
              <w:jc w:val="center"/>
              <w:ind w:right="819"/>
              <w:spacing w:after="0"/>
              <w:rPr>
                <w:sz w:val="20"/>
                <w:szCs w:val="20"/>
                <w:color w:val="auto"/>
              </w:rPr>
            </w:pPr>
            <w:r>
              <w:rPr>
                <w:rFonts w:ascii="Arial" w:cs="Arial" w:eastAsia="Arial" w:hAnsi="Arial"/>
                <w:sz w:val="16"/>
                <w:szCs w:val="16"/>
                <w:color w:val="auto"/>
                <w:w w:val="90"/>
              </w:rPr>
              <w:t>Title of each class</w:t>
            </w:r>
          </w:p>
        </w:tc>
        <w:tc>
          <w:tcPr>
            <w:tcW w:w="2940" w:type="dxa"/>
            <w:vAlign w:val="bottom"/>
          </w:tcPr>
          <w:p>
            <w:pPr>
              <w:jc w:val="center"/>
              <w:spacing w:after="0"/>
              <w:rPr>
                <w:sz w:val="20"/>
                <w:szCs w:val="20"/>
                <w:color w:val="auto"/>
              </w:rPr>
            </w:pPr>
            <w:r>
              <w:rPr>
                <w:rFonts w:ascii="Arial" w:cs="Arial" w:eastAsia="Arial" w:hAnsi="Arial"/>
                <w:sz w:val="16"/>
                <w:szCs w:val="16"/>
                <w:color w:val="auto"/>
                <w:w w:val="93"/>
              </w:rPr>
              <w:t>Trading Symbol(s)</w:t>
            </w:r>
          </w:p>
        </w:tc>
        <w:tc>
          <w:tcPr>
            <w:tcW w:w="3680" w:type="dxa"/>
            <w:vAlign w:val="bottom"/>
          </w:tcPr>
          <w:p>
            <w:pPr>
              <w:jc w:val="center"/>
              <w:ind w:left="719"/>
              <w:spacing w:after="0"/>
              <w:rPr>
                <w:sz w:val="20"/>
                <w:szCs w:val="20"/>
                <w:color w:val="auto"/>
              </w:rPr>
            </w:pPr>
            <w:r>
              <w:rPr>
                <w:rFonts w:ascii="Arial" w:cs="Arial" w:eastAsia="Arial" w:hAnsi="Arial"/>
                <w:sz w:val="16"/>
                <w:szCs w:val="16"/>
                <w:color w:val="auto"/>
                <w:w w:val="90"/>
              </w:rPr>
              <w:t>Name of each exchange on which registered</w:t>
            </w:r>
          </w:p>
        </w:tc>
      </w:tr>
      <w:tr>
        <w:trPr>
          <w:trHeight w:val="206"/>
        </w:trPr>
        <w:tc>
          <w:tcPr>
            <w:tcW w:w="3420" w:type="dxa"/>
            <w:vAlign w:val="bottom"/>
          </w:tcPr>
          <w:p>
            <w:pPr>
              <w:jc w:val="center"/>
              <w:ind w:right="839"/>
              <w:spacing w:after="0"/>
              <w:rPr>
                <w:sz w:val="20"/>
                <w:szCs w:val="20"/>
                <w:color w:val="auto"/>
              </w:rPr>
            </w:pPr>
            <w:r>
              <w:rPr>
                <w:rFonts w:ascii="Arial" w:cs="Arial" w:eastAsia="Arial" w:hAnsi="Arial"/>
                <w:sz w:val="16"/>
                <w:szCs w:val="16"/>
                <w:color w:val="auto"/>
                <w:w w:val="91"/>
              </w:rPr>
              <w:t>Class B Common Stock, No Par Value</w:t>
            </w:r>
          </w:p>
        </w:tc>
        <w:tc>
          <w:tcPr>
            <w:tcW w:w="2940" w:type="dxa"/>
            <w:vAlign w:val="bottom"/>
          </w:tcPr>
          <w:p>
            <w:pPr>
              <w:jc w:val="center"/>
              <w:spacing w:after="0"/>
              <w:rPr>
                <w:sz w:val="20"/>
                <w:szCs w:val="20"/>
                <w:color w:val="auto"/>
              </w:rPr>
            </w:pPr>
            <w:r>
              <w:rPr>
                <w:rFonts w:ascii="Arial" w:cs="Arial" w:eastAsia="Arial" w:hAnsi="Arial"/>
                <w:sz w:val="16"/>
                <w:szCs w:val="16"/>
                <w:color w:val="auto"/>
              </w:rPr>
              <w:t>DLTH</w:t>
            </w:r>
          </w:p>
        </w:tc>
        <w:tc>
          <w:tcPr>
            <w:tcW w:w="3680" w:type="dxa"/>
            <w:vAlign w:val="bottom"/>
          </w:tcPr>
          <w:p>
            <w:pPr>
              <w:jc w:val="center"/>
              <w:ind w:left="739"/>
              <w:spacing w:after="0"/>
              <w:rPr>
                <w:sz w:val="20"/>
                <w:szCs w:val="20"/>
                <w:color w:val="auto"/>
              </w:rPr>
            </w:pPr>
            <w:r>
              <w:rPr>
                <w:rFonts w:ascii="Arial" w:cs="Arial" w:eastAsia="Arial" w:hAnsi="Arial"/>
                <w:sz w:val="16"/>
                <w:szCs w:val="16"/>
                <w:color w:val="auto"/>
                <w:w w:val="95"/>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248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line="125" w:lineRule="exact"/>
        <w:rPr>
          <w:sz w:val="24"/>
          <w:szCs w:val="24"/>
          <w:color w:val="auto"/>
        </w:rPr>
      </w:pPr>
    </w:p>
    <w:p>
      <w:pPr>
        <w:ind w:right="140" w:firstLine="428"/>
        <w:spacing w:after="0" w:line="19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93" w:lineRule="exact"/>
        <w:rPr>
          <w:sz w:val="24"/>
          <w:szCs w:val="24"/>
          <w:color w:val="auto"/>
        </w:rPr>
      </w:pPr>
    </w:p>
    <w:p>
      <w:pPr>
        <w:ind w:firstLine="428"/>
        <w:spacing w:after="0" w:line="20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106" w:lineRule="exact"/>
        <w:rPr>
          <w:sz w:val="24"/>
          <w:szCs w:val="24"/>
          <w:color w:val="auto"/>
        </w:rPr>
      </w:pPr>
    </w:p>
    <w:p>
      <w:pPr>
        <w:ind w:left="440"/>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w:t>
      </w:r>
    </w:p>
    <w:p>
      <w:pPr>
        <w:spacing w:after="0" w:line="29" w:lineRule="exact"/>
        <w:rPr>
          <w:sz w:val="24"/>
          <w:szCs w:val="24"/>
          <w:color w:val="auto"/>
        </w:rPr>
      </w:pPr>
    </w:p>
    <w:p>
      <w:pPr>
        <w:ind w:right="220"/>
        <w:spacing w:after="0" w:line="231" w:lineRule="auto"/>
        <w:rPr>
          <w:sz w:val="20"/>
          <w:szCs w:val="20"/>
          <w:color w:val="auto"/>
        </w:rPr>
      </w:pPr>
      <w:r>
        <w:rPr>
          <w:rFonts w:ascii="Arial" w:cs="Arial" w:eastAsia="Arial" w:hAnsi="Arial"/>
          <w:sz w:val="16"/>
          <w:szCs w:val="16"/>
          <w:color w:val="auto"/>
        </w:rPr>
        <w:t>growth company. See the definitions of “large accelerated filer,” “accelerated filer,” “smaller reporting company,” and “emerging growth company” in Rule 12b-2 of the Exchange Act.</w:t>
      </w:r>
    </w:p>
    <w:p>
      <w:pPr>
        <w:spacing w:after="0" w:line="105" w:lineRule="exact"/>
        <w:rPr>
          <w:sz w:val="24"/>
          <w:szCs w:val="24"/>
          <w:color w:val="auto"/>
        </w:rPr>
      </w:pPr>
    </w:p>
    <w:tbl>
      <w:tblPr>
        <w:tblLayout w:type="fixed"/>
        <w:tblInd w:w="1000" w:type="dxa"/>
        <w:tblCellMar>
          <w:top w:w="0" w:type="dxa"/>
          <w:left w:w="0" w:type="dxa"/>
          <w:bottom w:w="0" w:type="dxa"/>
          <w:right w:w="0" w:type="dxa"/>
        </w:tblCellMar>
      </w:tblPr>
      <w:tr>
        <w:trPr>
          <w:trHeight w:val="198"/>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20" w:type="dxa"/>
            <w:vAlign w:val="bottom"/>
          </w:tcPr>
          <w:p>
            <w:pPr>
              <w:ind w:left="500"/>
              <w:spacing w:after="0"/>
              <w:rPr>
                <w:sz w:val="20"/>
                <w:szCs w:val="20"/>
                <w:color w:val="auto"/>
              </w:rPr>
            </w:pPr>
            <w:r>
              <w:rPr>
                <w:rFonts w:ascii="Arial" w:cs="Arial" w:eastAsia="Arial" w:hAnsi="Arial"/>
                <w:sz w:val="16"/>
                <w:szCs w:val="16"/>
                <w:color w:val="auto"/>
              </w:rPr>
              <w:t>o</w:t>
            </w:r>
          </w:p>
        </w:tc>
        <w:tc>
          <w:tcPr>
            <w:tcW w:w="3220" w:type="dxa"/>
            <w:vAlign w:val="bottom"/>
          </w:tcPr>
          <w:p>
            <w:pPr>
              <w:ind w:left="112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9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1720" w:type="dxa"/>
            <w:vAlign w:val="bottom"/>
          </w:tcPr>
          <w:p>
            <w:pPr>
              <w:ind w:left="500"/>
              <w:spacing w:after="0"/>
              <w:rPr>
                <w:sz w:val="20"/>
                <w:szCs w:val="20"/>
                <w:color w:val="auto"/>
              </w:rPr>
            </w:pPr>
            <w:r>
              <w:rPr>
                <w:rFonts w:ascii="Arial" w:cs="Arial" w:eastAsia="Arial" w:hAnsi="Arial"/>
                <w:sz w:val="16"/>
                <w:szCs w:val="16"/>
                <w:color w:val="auto"/>
              </w:rPr>
              <w:t>o</w:t>
            </w:r>
          </w:p>
        </w:tc>
        <w:tc>
          <w:tcPr>
            <w:tcW w:w="3220" w:type="dxa"/>
            <w:vAlign w:val="bottom"/>
          </w:tcPr>
          <w:p>
            <w:pPr>
              <w:ind w:left="112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6"/>
        </w:trPr>
        <w:tc>
          <w:tcPr>
            <w:tcW w:w="2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20" w:type="dxa"/>
            <w:vAlign w:val="bottom"/>
          </w:tcPr>
          <w:p>
            <w:pPr>
              <w:ind w:left="112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40"/>
              <w:spacing w:after="0"/>
              <w:rPr>
                <w:sz w:val="20"/>
                <w:szCs w:val="20"/>
                <w:color w:val="auto"/>
              </w:rPr>
            </w:pPr>
            <w:r>
              <w:rPr>
                <w:rFonts w:ascii="Arial" w:cs="Arial" w:eastAsia="Arial" w:hAnsi="Arial"/>
                <w:sz w:val="16"/>
                <w:szCs w:val="16"/>
                <w:color w:val="auto"/>
              </w:rPr>
              <w:t>o</w:t>
            </w:r>
          </w:p>
        </w:tc>
      </w:tr>
    </w:tbl>
    <w:p>
      <w:pPr>
        <w:spacing w:after="0" w:line="131" w:lineRule="exact"/>
        <w:rPr>
          <w:sz w:val="24"/>
          <w:szCs w:val="24"/>
          <w:color w:val="auto"/>
        </w:rPr>
      </w:pPr>
    </w:p>
    <w:p>
      <w:pPr>
        <w:ind w:right="80" w:firstLine="428"/>
        <w:spacing w:after="0" w:line="25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4" w:lineRule="exact"/>
        <w:rPr>
          <w:sz w:val="24"/>
          <w:szCs w:val="24"/>
          <w:color w:val="auto"/>
        </w:rPr>
      </w:pPr>
    </w:p>
    <w:p>
      <w:pPr>
        <w:ind w:left="440"/>
        <w:spacing w:after="0" w:line="184" w:lineRule="exact"/>
        <w:tabs>
          <w:tab w:leader="none" w:pos="7920" w:val="left"/>
          <w:tab w:leader="none" w:pos="84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w:t>
        <w:tab/>
        <w:t xml:space="preserve">No </w:t>
      </w:r>
      <w:r>
        <w:rPr>
          <w:rFonts w:ascii="MS PGothic" w:cs="MS PGothic" w:eastAsia="MS PGothic" w:hAnsi="MS PGothic"/>
          <w:sz w:val="16"/>
          <w:szCs w:val="16"/>
          <w:color w:val="auto"/>
        </w:rPr>
        <w:t>☑</w:t>
      </w:r>
    </w:p>
    <w:p>
      <w:pPr>
        <w:spacing w:after="0" w:line="194" w:lineRule="exact"/>
        <w:rPr>
          <w:sz w:val="24"/>
          <w:szCs w:val="24"/>
          <w:color w:val="auto"/>
        </w:rPr>
      </w:pPr>
    </w:p>
    <w:p>
      <w:pPr>
        <w:ind w:left="400"/>
        <w:spacing w:after="0"/>
        <w:rPr>
          <w:sz w:val="20"/>
          <w:szCs w:val="20"/>
          <w:color w:val="auto"/>
        </w:rPr>
      </w:pPr>
      <w:r>
        <w:rPr>
          <w:rFonts w:ascii="Arial" w:cs="Arial" w:eastAsia="Arial" w:hAnsi="Arial"/>
          <w:sz w:val="16"/>
          <w:szCs w:val="16"/>
          <w:color w:val="auto"/>
        </w:rPr>
        <w:t>The number of shares outstanding of the Registrant’s Class A common stock, no par value, as of May 31, 2023, was 3,364,200.</w:t>
      </w:r>
    </w:p>
    <w:p>
      <w:pPr>
        <w:spacing w:after="0" w:line="6" w:lineRule="exact"/>
        <w:rPr>
          <w:sz w:val="24"/>
          <w:szCs w:val="24"/>
          <w:color w:val="auto"/>
        </w:rPr>
      </w:pPr>
    </w:p>
    <w:p>
      <w:pPr>
        <w:ind w:left="400"/>
        <w:spacing w:after="0"/>
        <w:rPr>
          <w:sz w:val="20"/>
          <w:szCs w:val="20"/>
          <w:color w:val="auto"/>
        </w:rPr>
      </w:pPr>
      <w:r>
        <w:rPr>
          <w:rFonts w:ascii="Arial" w:cs="Arial" w:eastAsia="Arial" w:hAnsi="Arial"/>
          <w:sz w:val="16"/>
          <w:szCs w:val="16"/>
          <w:color w:val="auto"/>
        </w:rPr>
        <w:t>The number of shares outstanding of the Registrant’s Class B common stock, no par value, as of May 31, 2023, was 31,194,828.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02" w:right="419" w:bottom="1440" w:gutter="0" w:footer="0" w:header="0"/>
        </w:sectPr>
      </w:pPr>
    </w:p>
    <w:bookmarkStart w:id="1" w:name="page2"/>
    <w:bookmarkEnd w:id="1"/>
    <w:p>
      <w:pPr>
        <w:ind w:left="4520"/>
        <w:spacing w:after="0"/>
        <w:rPr>
          <w:sz w:val="20"/>
          <w:szCs w:val="20"/>
          <w:color w:val="auto"/>
        </w:rPr>
      </w:pPr>
      <w:r>
        <w:rPr>
          <w:rFonts w:ascii="Arial" w:cs="Arial" w:eastAsia="Arial" w:hAnsi="Arial"/>
          <w:sz w:val="18"/>
          <w:szCs w:val="18"/>
          <w:b w:val="1"/>
          <w:bCs w:val="1"/>
          <w:color w:val="auto"/>
        </w:rPr>
        <w:t>DULUTH HOLDINGS INC.</w:t>
      </w:r>
    </w:p>
    <w:p>
      <w:pPr>
        <w:ind w:left="4000"/>
        <w:spacing w:after="0" w:line="237" w:lineRule="auto"/>
        <w:rPr>
          <w:sz w:val="20"/>
          <w:szCs w:val="20"/>
          <w:color w:val="auto"/>
        </w:rPr>
      </w:pPr>
      <w:r>
        <w:rPr>
          <w:rFonts w:ascii="Arial" w:cs="Arial" w:eastAsia="Arial" w:hAnsi="Arial"/>
          <w:sz w:val="18"/>
          <w:szCs w:val="18"/>
          <w:b w:val="1"/>
          <w:bCs w:val="1"/>
          <w:color w:val="auto"/>
        </w:rPr>
        <w:t>QUARTERLY REPORT ON FORM 10-Q</w:t>
      </w:r>
    </w:p>
    <w:p>
      <w:pPr>
        <w:jc w:val="center"/>
        <w:ind w:right="40"/>
        <w:spacing w:after="0" w:line="234" w:lineRule="auto"/>
        <w:rPr>
          <w:sz w:val="20"/>
          <w:szCs w:val="20"/>
          <w:color w:val="auto"/>
        </w:rPr>
      </w:pPr>
      <w:r>
        <w:rPr>
          <w:rFonts w:ascii="Arial" w:cs="Arial" w:eastAsia="Arial" w:hAnsi="Arial"/>
          <w:sz w:val="18"/>
          <w:szCs w:val="18"/>
          <w:b w:val="1"/>
          <w:bCs w:val="1"/>
          <w:color w:val="auto"/>
        </w:rPr>
        <w:t>FOR QUARTER ENDED April 30,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160" w:type="dxa"/>
            <w:vAlign w:val="bottom"/>
            <w:gridSpan w:val="13"/>
          </w:tcPr>
          <w:p>
            <w:pPr>
              <w:jc w:val="center"/>
              <w:ind w:right="3020"/>
              <w:spacing w:after="0"/>
              <w:rPr>
                <w:sz w:val="20"/>
                <w:szCs w:val="20"/>
                <w:color w:val="auto"/>
              </w:rPr>
            </w:pPr>
            <w:r>
              <w:rPr>
                <w:rFonts w:ascii="Arial" w:cs="Arial" w:eastAsia="Arial" w:hAnsi="Arial"/>
                <w:sz w:val="18"/>
                <w:szCs w:val="18"/>
                <w:color w:val="0000FF"/>
                <w:w w:val="93"/>
              </w:rPr>
              <w:t>Part I—Financial Information</w:t>
            </w:r>
          </w:p>
        </w:tc>
        <w:tc>
          <w:tcPr>
            <w:tcW w:w="1560" w:type="dxa"/>
            <w:vAlign w:val="bottom"/>
          </w:tcPr>
          <w:p>
            <w:pPr>
              <w:jc w:val="right"/>
              <w:spacing w:after="0"/>
              <w:rPr>
                <w:sz w:val="20"/>
                <w:szCs w:val="20"/>
                <w:color w:val="auto"/>
              </w:rPr>
            </w:pPr>
            <w:r>
              <w:rPr>
                <w:rFonts w:ascii="Arial" w:cs="Arial" w:eastAsia="Arial" w:hAnsi="Arial"/>
                <w:sz w:val="16"/>
                <w:szCs w:val="16"/>
                <w:color w:val="auto"/>
              </w:rPr>
              <w:t>Page</w:t>
            </w:r>
          </w:p>
        </w:tc>
      </w:tr>
      <w:tr>
        <w:trPr>
          <w:trHeight w:val="385"/>
        </w:trPr>
        <w:tc>
          <w:tcPr>
            <w:tcW w:w="520" w:type="dxa"/>
            <w:vAlign w:val="bottom"/>
          </w:tcPr>
          <w:p>
            <w:pPr>
              <w:spacing w:after="0"/>
              <w:rPr>
                <w:sz w:val="20"/>
                <w:szCs w:val="20"/>
                <w:color w:val="auto"/>
              </w:rPr>
            </w:pPr>
            <w:r>
              <w:rPr>
                <w:rFonts w:ascii="Arial" w:cs="Arial" w:eastAsia="Arial" w:hAnsi="Arial"/>
                <w:sz w:val="18"/>
                <w:szCs w:val="18"/>
                <w:color w:val="0000FF"/>
                <w:w w:val="90"/>
              </w:rPr>
              <w:t>Item 1.</w:t>
            </w:r>
          </w:p>
        </w:tc>
        <w:tc>
          <w:tcPr>
            <w:tcW w:w="960" w:type="dxa"/>
            <w:vAlign w:val="bottom"/>
            <w:gridSpan w:val="3"/>
          </w:tcPr>
          <w:p>
            <w:pPr>
              <w:spacing w:after="0"/>
              <w:rPr>
                <w:sz w:val="24"/>
                <w:szCs w:val="24"/>
                <w:color w:val="auto"/>
              </w:rPr>
            </w:pPr>
          </w:p>
        </w:tc>
        <w:tc>
          <w:tcPr>
            <w:tcW w:w="3040" w:type="dxa"/>
            <w:vAlign w:val="bottom"/>
            <w:gridSpan w:val="8"/>
          </w:tcPr>
          <w:p>
            <w:pPr>
              <w:spacing w:after="0"/>
              <w:rPr>
                <w:sz w:val="20"/>
                <w:szCs w:val="20"/>
                <w:color w:val="auto"/>
              </w:rPr>
            </w:pPr>
            <w:r>
              <w:rPr>
                <w:rFonts w:ascii="Arial" w:cs="Arial" w:eastAsia="Arial" w:hAnsi="Arial"/>
                <w:sz w:val="18"/>
                <w:szCs w:val="18"/>
                <w:color w:val="0000FF"/>
              </w:rPr>
              <w:t>Financial Statements</w:t>
            </w:r>
          </w:p>
        </w:tc>
        <w:tc>
          <w:tcPr>
            <w:tcW w:w="2140" w:type="dxa"/>
            <w:vAlign w:val="bottom"/>
            <w:tcBorders>
              <w:top w:val="single" w:sz="8" w:color="0000FF"/>
            </w:tcBorders>
            <w:gridSpan w:val="6"/>
          </w:tcPr>
          <w:p>
            <w:pPr>
              <w:spacing w:after="0"/>
              <w:rPr>
                <w:sz w:val="24"/>
                <w:szCs w:val="24"/>
                <w:color w:val="auto"/>
              </w:rPr>
            </w:pPr>
          </w:p>
        </w:tc>
        <w:tc>
          <w:tcPr>
            <w:tcW w:w="3020" w:type="dxa"/>
            <w:vAlign w:val="bottom"/>
            <w:gridSpan w:val="7"/>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9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Condensed Consolidated Balance Sheets as of April 30, 2023 and January 30, 2022 (Unaudited)</w:t>
            </w:r>
          </w:p>
        </w:tc>
        <w:tc>
          <w:tcPr>
            <w:tcW w:w="1280" w:type="dxa"/>
            <w:vAlign w:val="bottom"/>
            <w:gridSpan w:val="5"/>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0" w:type="dxa"/>
            <w:vAlign w:val="bottom"/>
            <w:gridSpan w:val="21"/>
          </w:tcPr>
          <w:p>
            <w:pPr>
              <w:spacing w:after="0"/>
              <w:rPr>
                <w:sz w:val="20"/>
                <w:szCs w:val="20"/>
                <w:color w:val="auto"/>
              </w:rPr>
            </w:pPr>
            <w:r>
              <w:rPr>
                <w:rFonts w:ascii="Arial" w:cs="Arial" w:eastAsia="Arial" w:hAnsi="Arial"/>
                <w:sz w:val="18"/>
                <w:szCs w:val="18"/>
                <w:color w:val="0000FF"/>
                <w:w w:val="92"/>
              </w:rPr>
              <w:t>Condensed Consolidated Statements of Operations for the three months ended April 30, 2023 and May 1, 2022</w:t>
            </w:r>
          </w:p>
        </w:tc>
        <w:tc>
          <w:tcPr>
            <w:tcW w:w="15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4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8"/>
                <w:szCs w:val="18"/>
                <w:color w:val="0000FF"/>
              </w:rPr>
              <w:t>(Unaudited)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0"/>
              </w:rPr>
              <w:t>Condensed Consolidated Statements of Comprehensive (Loss) Income for the three months ended April 30, 2023</w:t>
            </w:r>
          </w:p>
        </w:tc>
        <w:tc>
          <w:tcPr>
            <w:tcW w:w="15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40" w:type="dxa"/>
            <w:vAlign w:val="bottom"/>
            <w:tcBorders>
              <w:bottom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0"/>
              </w:rPr>
              <w:t>and May 1, 2022 (Unaudited)</w:t>
            </w:r>
          </w:p>
        </w:tc>
        <w:tc>
          <w:tcPr>
            <w:tcW w:w="6060" w:type="dxa"/>
            <w:vAlign w:val="bottom"/>
            <w:gridSpan w:val="14"/>
          </w:tcPr>
          <w:p>
            <w:pPr>
              <w:spacing w:after="0"/>
              <w:rPr>
                <w:sz w:val="14"/>
                <w:szCs w:val="14"/>
                <w:color w:val="auto"/>
              </w:rPr>
            </w:pPr>
          </w:p>
        </w:tc>
        <w:tc>
          <w:tcPr>
            <w:tcW w:w="1560" w:type="dxa"/>
            <w:vAlign w:val="bottom"/>
          </w:tcPr>
          <w:p>
            <w:pPr>
              <w:spacing w:after="0"/>
              <w:rPr>
                <w:sz w:val="14"/>
                <w:szCs w:val="14"/>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0" w:type="dxa"/>
            <w:vAlign w:val="bottom"/>
            <w:gridSpan w:val="21"/>
          </w:tcPr>
          <w:p>
            <w:pPr>
              <w:spacing w:after="0"/>
              <w:rPr>
                <w:sz w:val="20"/>
                <w:szCs w:val="20"/>
                <w:color w:val="auto"/>
              </w:rPr>
            </w:pPr>
            <w:r>
              <w:rPr>
                <w:rFonts w:ascii="Arial" w:cs="Arial" w:eastAsia="Arial" w:hAnsi="Arial"/>
                <w:sz w:val="18"/>
                <w:szCs w:val="18"/>
                <w:color w:val="0000FF"/>
              </w:rPr>
              <w:t>Condensed Consolidated Statement of Shareholders’ Equity for the three months ended April 30, 2023</w:t>
            </w:r>
          </w:p>
        </w:tc>
        <w:tc>
          <w:tcPr>
            <w:tcW w:w="15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2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(Unaudited)</w:t>
            </w:r>
          </w:p>
        </w:tc>
        <w:tc>
          <w:tcPr>
            <w:tcW w:w="6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6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89"/>
              </w:rPr>
              <w:t>Condensed Consolidated Statement of Shareholders’ Equity for the three months ended May 1, 2022 (Unaudited)</w:t>
            </w:r>
          </w:p>
        </w:tc>
        <w:tc>
          <w:tcPr>
            <w:tcW w:w="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0" w:type="dxa"/>
            <w:vAlign w:val="bottom"/>
            <w:gridSpan w:val="21"/>
          </w:tcPr>
          <w:p>
            <w:pPr>
              <w:spacing w:after="0"/>
              <w:rPr>
                <w:sz w:val="20"/>
                <w:szCs w:val="20"/>
                <w:color w:val="auto"/>
              </w:rPr>
            </w:pPr>
            <w:r>
              <w:rPr>
                <w:rFonts w:ascii="Arial" w:cs="Arial" w:eastAsia="Arial" w:hAnsi="Arial"/>
                <w:sz w:val="18"/>
                <w:szCs w:val="18"/>
                <w:color w:val="0000FF"/>
                <w:w w:val="91"/>
              </w:rPr>
              <w:t>Condensed Consolidated Statements of Cash Flows for the three months ended April 30, 2023 and May 1, 2022</w:t>
            </w:r>
          </w:p>
        </w:tc>
        <w:tc>
          <w:tcPr>
            <w:tcW w:w="15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8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8"/>
                <w:szCs w:val="18"/>
                <w:color w:val="0000FF"/>
              </w:rPr>
              <w:t>(Unaudited)</w:t>
            </w:r>
          </w:p>
        </w:tc>
        <w:tc>
          <w:tcPr>
            <w:tcW w:w="120" w:type="dxa"/>
            <w:vAlign w:val="bottom"/>
            <w:gridSpan w:val="2"/>
          </w:tcPr>
          <w:p>
            <w:pPr>
              <w:spacing w:after="0"/>
              <w:rPr>
                <w:sz w:val="14"/>
                <w:szCs w:val="14"/>
                <w:color w:val="auto"/>
              </w:rPr>
            </w:pPr>
          </w:p>
        </w:tc>
        <w:tc>
          <w:tcPr>
            <w:tcW w:w="156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0" w:type="dxa"/>
            <w:vAlign w:val="bottom"/>
            <w:gridSpan w:val="21"/>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15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98"/>
        </w:trPr>
        <w:tc>
          <w:tcPr>
            <w:tcW w:w="520" w:type="dxa"/>
            <w:vAlign w:val="bottom"/>
          </w:tcPr>
          <w:p>
            <w:pPr>
              <w:spacing w:after="0"/>
              <w:rPr>
                <w:sz w:val="20"/>
                <w:szCs w:val="20"/>
                <w:color w:val="auto"/>
              </w:rPr>
            </w:pPr>
            <w:r>
              <w:rPr>
                <w:rFonts w:ascii="Arial" w:cs="Arial" w:eastAsia="Arial" w:hAnsi="Arial"/>
                <w:sz w:val="18"/>
                <w:szCs w:val="18"/>
                <w:color w:val="0000FF"/>
                <w:w w:val="90"/>
              </w:rPr>
              <w:t>Item 2.</w:t>
            </w:r>
          </w:p>
        </w:tc>
        <w:tc>
          <w:tcPr>
            <w:tcW w:w="960" w:type="dxa"/>
            <w:vAlign w:val="bottom"/>
            <w:gridSpan w:val="3"/>
          </w:tcPr>
          <w:p>
            <w:pPr>
              <w:spacing w:after="0"/>
              <w:rPr>
                <w:sz w:val="24"/>
                <w:szCs w:val="24"/>
                <w:color w:val="auto"/>
              </w:rPr>
            </w:pPr>
          </w:p>
        </w:tc>
        <w:tc>
          <w:tcPr>
            <w:tcW w:w="820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5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85"/>
        </w:trPr>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Item 3.</w:t>
            </w:r>
          </w:p>
        </w:tc>
        <w:tc>
          <w:tcPr>
            <w:tcW w:w="960" w:type="dxa"/>
            <w:vAlign w:val="bottom"/>
            <w:gridSpan w:val="3"/>
          </w:tcPr>
          <w:p>
            <w:pPr>
              <w:spacing w:after="0"/>
              <w:rPr>
                <w:sz w:val="24"/>
                <w:szCs w:val="24"/>
                <w:color w:val="auto"/>
              </w:rPr>
            </w:pPr>
          </w:p>
        </w:tc>
        <w:tc>
          <w:tcPr>
            <w:tcW w:w="436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4"/>
          </w:tcPr>
          <w:p>
            <w:pPr>
              <w:spacing w:after="0"/>
              <w:rPr>
                <w:sz w:val="24"/>
                <w:szCs w:val="24"/>
                <w:color w:val="auto"/>
              </w:rPr>
            </w:pPr>
          </w:p>
        </w:tc>
        <w:tc>
          <w:tcPr>
            <w:tcW w:w="1760" w:type="dxa"/>
            <w:vAlign w:val="bottom"/>
            <w:gridSpan w:val="6"/>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85"/>
        </w:trPr>
        <w:tc>
          <w:tcPr>
            <w:tcW w:w="148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820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15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98"/>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12"/>
          </w:tcPr>
          <w:p>
            <w:pPr>
              <w:jc w:val="center"/>
              <w:ind w:right="3120"/>
              <w:spacing w:after="0"/>
              <w:rPr>
                <w:sz w:val="20"/>
                <w:szCs w:val="20"/>
                <w:color w:val="auto"/>
              </w:rPr>
            </w:pPr>
            <w:r>
              <w:rPr>
                <w:rFonts w:ascii="Arial" w:cs="Arial" w:eastAsia="Arial" w:hAnsi="Arial"/>
                <w:sz w:val="18"/>
                <w:szCs w:val="18"/>
                <w:color w:val="0000FF"/>
                <w:w w:val="94"/>
              </w:rPr>
              <w:t>Part II—Other Information</w:t>
            </w:r>
          </w:p>
        </w:tc>
        <w:tc>
          <w:tcPr>
            <w:tcW w:w="1560" w:type="dxa"/>
            <w:vAlign w:val="bottom"/>
          </w:tcPr>
          <w:p>
            <w:pPr>
              <w:spacing w:after="0"/>
              <w:rPr>
                <w:sz w:val="24"/>
                <w:szCs w:val="24"/>
                <w:color w:val="auto"/>
              </w:rPr>
            </w:pPr>
          </w:p>
        </w:tc>
      </w:tr>
      <w:tr>
        <w:trPr>
          <w:trHeight w:val="385"/>
        </w:trPr>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1.</w:t>
            </w:r>
          </w:p>
        </w:tc>
        <w:tc>
          <w:tcPr>
            <w:tcW w:w="960" w:type="dxa"/>
            <w:vAlign w:val="bottom"/>
            <w:gridSpan w:val="3"/>
          </w:tcPr>
          <w:p>
            <w:pPr>
              <w:spacing w:after="0"/>
              <w:rPr>
                <w:sz w:val="24"/>
                <w:szCs w:val="24"/>
                <w:color w:val="auto"/>
              </w:rPr>
            </w:pPr>
          </w:p>
        </w:tc>
        <w:tc>
          <w:tcPr>
            <w:tcW w:w="13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8"/>
              </w:rPr>
              <w:t>Legal Proceedings</w:t>
            </w:r>
          </w:p>
        </w:tc>
        <w:tc>
          <w:tcPr>
            <w:tcW w:w="1800" w:type="dxa"/>
            <w:vAlign w:val="bottom"/>
            <w:gridSpan w:val="5"/>
          </w:tcPr>
          <w:p>
            <w:pPr>
              <w:spacing w:after="0"/>
              <w:rPr>
                <w:sz w:val="24"/>
                <w:szCs w:val="24"/>
                <w:color w:val="auto"/>
              </w:rPr>
            </w:pPr>
          </w:p>
        </w:tc>
        <w:tc>
          <w:tcPr>
            <w:tcW w:w="1940" w:type="dxa"/>
            <w:vAlign w:val="bottom"/>
            <w:tcBorders>
              <w:top w:val="single" w:sz="8" w:color="0000FF"/>
            </w:tcBorders>
            <w:gridSpan w:val="4"/>
          </w:tcPr>
          <w:p>
            <w:pPr>
              <w:spacing w:after="0"/>
              <w:rPr>
                <w:sz w:val="24"/>
                <w:szCs w:val="24"/>
                <w:color w:val="auto"/>
              </w:rPr>
            </w:pPr>
          </w:p>
        </w:tc>
        <w:tc>
          <w:tcPr>
            <w:tcW w:w="3120" w:type="dxa"/>
            <w:vAlign w:val="bottom"/>
            <w:gridSpan w:val="8"/>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98"/>
        </w:trPr>
        <w:tc>
          <w:tcPr>
            <w:tcW w:w="148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820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15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3860" w:type="dxa"/>
            <w:vAlign w:val="bottom"/>
            <w:gridSpan w:val="11"/>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85"/>
        </w:trPr>
        <w:tc>
          <w:tcPr>
            <w:tcW w:w="520" w:type="dxa"/>
            <w:vAlign w:val="bottom"/>
          </w:tcPr>
          <w:p>
            <w:pPr>
              <w:spacing w:after="0"/>
              <w:rPr>
                <w:sz w:val="20"/>
                <w:szCs w:val="20"/>
                <w:color w:val="auto"/>
              </w:rPr>
            </w:pPr>
            <w:r>
              <w:rPr>
                <w:rFonts w:ascii="Arial" w:cs="Arial" w:eastAsia="Arial" w:hAnsi="Arial"/>
                <w:sz w:val="18"/>
                <w:szCs w:val="18"/>
                <w:color w:val="0000FF"/>
                <w:w w:val="90"/>
              </w:rPr>
              <w:t>Item 2.</w:t>
            </w:r>
          </w:p>
        </w:tc>
        <w:tc>
          <w:tcPr>
            <w:tcW w:w="12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8200" w:type="dxa"/>
            <w:vAlign w:val="bottom"/>
            <w:gridSpan w:val="21"/>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5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85"/>
        </w:trPr>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Item 6.</w:t>
            </w:r>
          </w:p>
        </w:tc>
        <w:tc>
          <w:tcPr>
            <w:tcW w:w="960" w:type="dxa"/>
            <w:vAlign w:val="bottom"/>
            <w:gridSpan w:val="3"/>
          </w:tcPr>
          <w:p>
            <w:pPr>
              <w:spacing w:after="0"/>
              <w:rPr>
                <w:sz w:val="24"/>
                <w:szCs w:val="24"/>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1"/>
              </w:rPr>
              <w:t>Exhibits</w:t>
            </w:r>
          </w:p>
        </w:tc>
        <w:tc>
          <w:tcPr>
            <w:tcW w:w="3740" w:type="dxa"/>
            <w:vAlign w:val="bottom"/>
            <w:tcBorders>
              <w:top w:val="single" w:sz="8" w:color="0000FF"/>
            </w:tcBorders>
            <w:gridSpan w:val="9"/>
          </w:tcPr>
          <w:p>
            <w:pPr>
              <w:spacing w:after="0"/>
              <w:rPr>
                <w:sz w:val="24"/>
                <w:szCs w:val="24"/>
                <w:color w:val="auto"/>
              </w:rPr>
            </w:pPr>
          </w:p>
        </w:tc>
        <w:tc>
          <w:tcPr>
            <w:tcW w:w="3860" w:type="dxa"/>
            <w:vAlign w:val="bottom"/>
            <w:gridSpan w:val="11"/>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790"/>
        </w:trPr>
        <w:tc>
          <w:tcPr>
            <w:tcW w:w="148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831"/>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4340" w:type="dxa"/>
            <w:vAlign w:val="bottom"/>
            <w:gridSpan w:val="10"/>
          </w:tcPr>
          <w:p>
            <w:pPr>
              <w:ind w:left="41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520"/>
        </w:trPr>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ind w:left="4520"/>
        <w:spacing w:after="0" w:line="237" w:lineRule="auto"/>
        <w:rPr>
          <w:sz w:val="20"/>
          <w:szCs w:val="20"/>
          <w:color w:val="auto"/>
        </w:rPr>
      </w:pPr>
      <w:r>
        <w:rPr>
          <w:rFonts w:ascii="Arial" w:cs="Arial" w:eastAsia="Arial" w:hAnsi="Arial"/>
          <w:sz w:val="18"/>
          <w:szCs w:val="18"/>
          <w:b w:val="1"/>
          <w:bCs w:val="1"/>
          <w:color w:val="auto"/>
        </w:rPr>
        <w:t>DULUTH HOLDINGS INC.</w:t>
      </w:r>
    </w:p>
    <w:p>
      <w:pPr>
        <w:ind w:left="3760"/>
        <w:spacing w:after="0" w:line="219" w:lineRule="auto"/>
        <w:rPr>
          <w:sz w:val="20"/>
          <w:szCs w:val="20"/>
          <w:color w:val="auto"/>
        </w:rPr>
      </w:pPr>
      <w:r>
        <w:rPr>
          <w:rFonts w:ascii="Arial" w:cs="Arial" w:eastAsia="Arial" w:hAnsi="Arial"/>
          <w:sz w:val="18"/>
          <w:szCs w:val="18"/>
          <w:b w:val="1"/>
          <w:bCs w:val="1"/>
          <w:color w:val="auto"/>
        </w:rPr>
        <w:t>Condensed Consolidated Balance Sheets - Assets</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2023</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29, 2023</w:t>
            </w:r>
          </w:p>
        </w:tc>
      </w:tr>
      <w:tr>
        <w:trPr>
          <w:trHeight w:val="223"/>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43"/>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w:t>
            </w:r>
          </w:p>
        </w:tc>
        <w:tc>
          <w:tcPr>
            <w:tcW w:w="5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45,548</w:t>
            </w:r>
          </w:p>
        </w:tc>
      </w:tr>
      <w:tr>
        <w:trPr>
          <w:trHeight w:val="229"/>
        </w:trPr>
        <w:tc>
          <w:tcPr>
            <w:tcW w:w="7680" w:type="dxa"/>
            <w:vAlign w:val="bottom"/>
          </w:tcPr>
          <w:p>
            <w:pPr>
              <w:ind w:left="120"/>
              <w:spacing w:after="0"/>
              <w:rPr>
                <w:sz w:val="20"/>
                <w:szCs w:val="20"/>
                <w:color w:val="auto"/>
              </w:rPr>
            </w:pPr>
            <w:r>
              <w:rPr>
                <w:rFonts w:ascii="Arial" w:cs="Arial" w:eastAsia="Arial" w:hAnsi="Arial"/>
                <w:sz w:val="18"/>
                <w:szCs w:val="18"/>
                <w:color w:val="auto"/>
              </w:rPr>
              <w:t>Receivables</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6,437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6,041</w:t>
            </w:r>
          </w:p>
        </w:tc>
      </w:tr>
      <w:tr>
        <w:trPr>
          <w:trHeight w:val="270"/>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 less reserves of $1,929 and $1,837, respectively</w:t>
            </w:r>
          </w:p>
        </w:tc>
        <w:tc>
          <w:tcPr>
            <w:tcW w:w="4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144,969</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154,922</w:t>
            </w:r>
          </w:p>
        </w:tc>
      </w:tr>
      <w:tr>
        <w:trPr>
          <w:trHeight w:val="230"/>
        </w:trPr>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&amp; other current assets</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15,918</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15,154</w:t>
            </w:r>
          </w:p>
        </w:tc>
      </w:tr>
      <w:tr>
        <w:trPr>
          <w:trHeight w:val="223"/>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176,534</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221,665</w:t>
            </w: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122,812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112,564</w:t>
            </w:r>
          </w:p>
        </w:tc>
      </w:tr>
      <w:tr>
        <w:trPr>
          <w:trHeight w:val="229"/>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128,436</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131,753</w:t>
            </w: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Finance lease right-of-use assets, net</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46,474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47,206</w:t>
            </w:r>
          </w:p>
        </w:tc>
      </w:tr>
      <w:tr>
        <w:trPr>
          <w:trHeight w:val="243"/>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security</w:t>
            </w: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w:t>
            </w: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Other assets, net</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8,591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8,727</w:t>
            </w:r>
          </w:p>
        </w:tc>
      </w:tr>
      <w:tr>
        <w:trPr>
          <w:trHeight w:val="229"/>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680" w:type="dxa"/>
            <w:vAlign w:val="bottom"/>
          </w:tcPr>
          <w:p>
            <w:pPr>
              <w:ind w:left="220"/>
              <w:spacing w:after="0" w:line="196" w:lineRule="exact"/>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488,399</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527,454</w:t>
            </w:r>
          </w:p>
        </w:tc>
      </w:tr>
      <w:tr>
        <w:trPr>
          <w:trHeight w:val="20"/>
        </w:trPr>
        <w:tc>
          <w:tcPr>
            <w:tcW w:w="7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 w:name="page4"/>
    <w:bookmarkEnd w:id="3"/>
    <w:p>
      <w:pPr>
        <w:ind w:left="4520"/>
        <w:spacing w:after="0"/>
        <w:rPr>
          <w:sz w:val="20"/>
          <w:szCs w:val="20"/>
          <w:color w:val="auto"/>
        </w:rPr>
      </w:pPr>
      <w:r>
        <w:rPr>
          <w:rFonts w:ascii="Arial" w:cs="Arial" w:eastAsia="Arial" w:hAnsi="Arial"/>
          <w:sz w:val="18"/>
          <w:szCs w:val="18"/>
          <w:b w:val="1"/>
          <w:bCs w:val="1"/>
          <w:color w:val="auto"/>
        </w:rPr>
        <w:t>DULUTH HOLDINGS INC.</w:t>
      </w:r>
    </w:p>
    <w:p>
      <w:pPr>
        <w:ind w:left="2600"/>
        <w:spacing w:after="0" w:line="237" w:lineRule="auto"/>
        <w:rPr>
          <w:sz w:val="20"/>
          <w:szCs w:val="20"/>
          <w:color w:val="auto"/>
        </w:rPr>
      </w:pPr>
      <w:r>
        <w:rPr>
          <w:rFonts w:ascii="Arial" w:cs="Arial" w:eastAsia="Arial" w:hAnsi="Arial"/>
          <w:sz w:val="18"/>
          <w:szCs w:val="18"/>
          <w:b w:val="1"/>
          <w:bCs w:val="1"/>
          <w:color w:val="auto"/>
        </w:rPr>
        <w:t>Condensed Consolidated Balance Sheets – Liabilities and Shareholders’ Equity</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2023</w:t>
            </w:r>
          </w:p>
        </w:tc>
        <w:tc>
          <w:tcPr>
            <w:tcW w:w="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29, 2023</w:t>
            </w: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43"/>
        </w:trPr>
        <w:tc>
          <w:tcPr>
            <w:tcW w:w="7680" w:type="dxa"/>
            <w:vAlign w:val="bottom"/>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0"/>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accounts payable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36,123</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56,547</w:t>
            </w:r>
          </w:p>
        </w:tc>
      </w:tr>
      <w:tr>
        <w:trPr>
          <w:trHeight w:val="229"/>
        </w:trPr>
        <w:tc>
          <w:tcPr>
            <w:tcW w:w="768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30,921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40,815</w:t>
            </w:r>
          </w:p>
        </w:tc>
      </w:tr>
      <w:tr>
        <w:trPr>
          <w:trHeight w:val="229"/>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r>
      <w:tr>
        <w:trPr>
          <w:trHeight w:val="243"/>
        </w:trPr>
        <w:tc>
          <w:tcPr>
            <w:tcW w:w="7680" w:type="dxa"/>
            <w:vAlign w:val="bottom"/>
          </w:tcPr>
          <w:p>
            <w:pPr>
              <w:ind w:left="120"/>
              <w:spacing w:after="0"/>
              <w:rPr>
                <w:sz w:val="20"/>
                <w:szCs w:val="20"/>
                <w:color w:val="auto"/>
              </w:rPr>
            </w:pPr>
            <w:r>
              <w:rPr>
                <w:rFonts w:ascii="Arial" w:cs="Arial" w:eastAsia="Arial" w:hAnsi="Arial"/>
                <w:sz w:val="18"/>
                <w:szCs w:val="18"/>
                <w:color w:val="auto"/>
              </w:rPr>
              <w:t>Current portion of operating lease liabilities</w:t>
            </w: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15,713</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15,571</w:t>
            </w:r>
          </w:p>
        </w:tc>
      </w:tr>
      <w:tr>
        <w:trPr>
          <w:trHeight w:val="229"/>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finance lease liabilities</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r>
      <w:tr>
        <w:trPr>
          <w:trHeight w:val="230"/>
        </w:trPr>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Current maturities of TRI long-term debt</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r>
      <w:tr>
        <w:trPr>
          <w:trHeight w:val="20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118,304</w:t>
            </w:r>
          </w:p>
        </w:tc>
      </w:tr>
      <w:tr>
        <w:trPr>
          <w:trHeight w:val="243"/>
        </w:trPr>
        <w:tc>
          <w:tcPr>
            <w:tcW w:w="7680" w:type="dxa"/>
            <w:vAlign w:val="bottom"/>
          </w:tcPr>
          <w:p>
            <w:pPr>
              <w:spacing w:after="0"/>
              <w:rPr>
                <w:sz w:val="20"/>
                <w:szCs w:val="20"/>
                <w:color w:val="auto"/>
              </w:rPr>
            </w:pPr>
            <w:r>
              <w:rPr>
                <w:rFonts w:ascii="Arial" w:cs="Arial" w:eastAsia="Arial" w:hAnsi="Arial"/>
                <w:sz w:val="18"/>
                <w:szCs w:val="18"/>
                <w:color w:val="auto"/>
              </w:rPr>
              <w:t>Operating lease liabilities, less current maturities</w:t>
            </w: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114,019</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117,366</w:t>
            </w:r>
          </w:p>
        </w:tc>
      </w:tr>
      <w:tr>
        <w:trPr>
          <w:trHeight w:val="229"/>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liabilities, less current maturities</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36,688</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37,425</w:t>
            </w: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TRI long-term debt, less current maturities</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25,726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25,913</w:t>
            </w:r>
          </w:p>
        </w:tc>
      </w:tr>
      <w:tr>
        <w:trPr>
          <w:trHeight w:val="229"/>
        </w:trPr>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23"/>
        </w:trPr>
        <w:tc>
          <w:tcPr>
            <w:tcW w:w="768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264,285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300,257</w:t>
            </w:r>
          </w:p>
        </w:tc>
      </w:tr>
      <w:tr>
        <w:trPr>
          <w:trHeight w:val="229"/>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2"/>
        </w:trPr>
        <w:tc>
          <w:tcPr>
            <w:tcW w:w="7680" w:type="dxa"/>
            <w:vAlign w:val="bottom"/>
          </w:tcPr>
          <w:p>
            <w:pPr>
              <w:spacing w:after="0"/>
              <w:rPr>
                <w:sz w:val="20"/>
                <w:szCs w:val="20"/>
                <w:color w:val="auto"/>
              </w:rPr>
            </w:pPr>
            <w:r>
              <w:rPr>
                <w:rFonts w:ascii="Arial" w:cs="Arial" w:eastAsia="Arial" w:hAnsi="Arial"/>
                <w:sz w:val="18"/>
                <w:szCs w:val="18"/>
                <w:color w:val="auto"/>
              </w:rPr>
              <w:t>Preferred stock, no par value; 10,000 shares authorized; no shares</w:t>
            </w: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0"/>
        </w:trPr>
        <w:tc>
          <w:tcPr>
            <w:tcW w:w="7680" w:type="dxa"/>
            <w:vAlign w:val="bottom"/>
          </w:tcPr>
          <w:p>
            <w:pPr>
              <w:ind w:left="140"/>
              <w:spacing w:after="0"/>
              <w:rPr>
                <w:sz w:val="20"/>
                <w:szCs w:val="20"/>
                <w:color w:val="auto"/>
              </w:rPr>
            </w:pPr>
            <w:r>
              <w:rPr>
                <w:rFonts w:ascii="Arial" w:cs="Arial" w:eastAsia="Arial" w:hAnsi="Arial"/>
                <w:sz w:val="18"/>
                <w:szCs w:val="18"/>
                <w:color w:val="auto"/>
              </w:rPr>
              <w:t>issued or outstanding as of April 30, 2023 and January 29, 2023</w:t>
            </w:r>
          </w:p>
        </w:tc>
        <w:tc>
          <w:tcPr>
            <w:tcW w:w="4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72"/>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Common stock (Class A), no par value; 10,000 shares authorized;</w:t>
            </w: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17"/>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3,364 shares issued and outstanding as of April 30, 2023 and January 29, 2023</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526"/>
        </w:trPr>
        <w:tc>
          <w:tcPr>
            <w:tcW w:w="7680" w:type="dxa"/>
            <w:vAlign w:val="bottom"/>
          </w:tcPr>
          <w:p>
            <w:pPr>
              <w:spacing w:after="0"/>
              <w:rPr>
                <w:sz w:val="20"/>
                <w:szCs w:val="20"/>
                <w:color w:val="auto"/>
              </w:rPr>
            </w:pPr>
            <w:r>
              <w:rPr>
                <w:rFonts w:ascii="Arial" w:cs="Arial" w:eastAsia="Arial" w:hAnsi="Arial"/>
                <w:sz w:val="18"/>
                <w:szCs w:val="18"/>
                <w:color w:val="auto"/>
              </w:rPr>
              <w:t>Common stock (Class B), no par value; 200,000 shares authorized;</w:t>
            </w: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9"/>
        </w:trPr>
        <w:tc>
          <w:tcPr>
            <w:tcW w:w="7680" w:type="dxa"/>
            <w:vAlign w:val="bottom"/>
          </w:tcPr>
          <w:p>
            <w:pPr>
              <w:ind w:left="140"/>
              <w:spacing w:after="0" w:line="189" w:lineRule="exact"/>
              <w:rPr>
                <w:sz w:val="20"/>
                <w:szCs w:val="20"/>
                <w:color w:val="auto"/>
              </w:rPr>
            </w:pPr>
            <w:r>
              <w:rPr>
                <w:rFonts w:ascii="Arial" w:cs="Arial" w:eastAsia="Arial" w:hAnsi="Arial"/>
                <w:sz w:val="18"/>
                <w:szCs w:val="18"/>
                <w:color w:val="auto"/>
              </w:rPr>
              <w:t>31,264 shares issued and 31,110 shares outstanding as of April 30, 2023,</w:t>
            </w: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0"/>
        </w:trPr>
        <w:tc>
          <w:tcPr>
            <w:tcW w:w="7680" w:type="dxa"/>
            <w:vAlign w:val="bottom"/>
          </w:tcPr>
          <w:p>
            <w:pPr>
              <w:ind w:left="140"/>
              <w:spacing w:after="0"/>
              <w:rPr>
                <w:sz w:val="20"/>
                <w:szCs w:val="20"/>
                <w:color w:val="auto"/>
              </w:rPr>
            </w:pPr>
            <w:r>
              <w:rPr>
                <w:rFonts w:ascii="Arial" w:cs="Arial" w:eastAsia="Arial" w:hAnsi="Arial"/>
                <w:sz w:val="18"/>
                <w:szCs w:val="18"/>
                <w:color w:val="auto"/>
              </w:rPr>
              <w:t>30,191 shares issued and 30,079 shares outstanding as of January 29, 2023</w:t>
            </w:r>
          </w:p>
        </w:tc>
        <w:tc>
          <w:tcPr>
            <w:tcW w:w="4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154 and 112 shares as of April 30, 2023 and</w:t>
            </w: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17"/>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January 29, 2023, respectively</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Capital stock</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99,968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98,842</w:t>
            </w:r>
          </w:p>
        </w:tc>
      </w:tr>
      <w:tr>
        <w:trPr>
          <w:trHeight w:val="243"/>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129,303</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133,172</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23"/>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shareholders' equity of Duluth Holdings Inc.</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227,332</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230,407</w:t>
            </w:r>
          </w:p>
        </w:tc>
      </w:tr>
      <w:tr>
        <w:trPr>
          <w:trHeight w:val="230"/>
        </w:trPr>
        <w:tc>
          <w:tcPr>
            <w:tcW w:w="7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w:t>
            </w:r>
          </w:p>
        </w:tc>
      </w:tr>
      <w:tr>
        <w:trPr>
          <w:trHeight w:val="21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shareholders' equity</w:t>
            </w: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224,114</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227,197</w:t>
            </w:r>
          </w:p>
        </w:tc>
      </w:tr>
      <w:tr>
        <w:trPr>
          <w:trHeight w:val="196"/>
        </w:trPr>
        <w:tc>
          <w:tcPr>
            <w:tcW w:w="7680" w:type="dxa"/>
            <w:vAlign w:val="bottom"/>
          </w:tcPr>
          <w:p>
            <w:pPr>
              <w:ind w:left="2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46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488,399</w:t>
            </w:r>
          </w:p>
        </w:tc>
        <w:tc>
          <w:tcPr>
            <w:tcW w:w="5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527,454</w:t>
            </w:r>
          </w:p>
        </w:tc>
      </w:tr>
      <w:tr>
        <w:trPr>
          <w:trHeight w:val="20"/>
        </w:trPr>
        <w:tc>
          <w:tcPr>
            <w:tcW w:w="7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 w:name="page5"/>
    <w:bookmarkEnd w:id="4"/>
    <w:p>
      <w:pPr>
        <w:ind w:left="4520"/>
        <w:spacing w:after="0"/>
        <w:rPr>
          <w:sz w:val="20"/>
          <w:szCs w:val="20"/>
          <w:color w:val="auto"/>
        </w:rPr>
      </w:pPr>
      <w:r>
        <w:rPr>
          <w:rFonts w:ascii="Arial" w:cs="Arial" w:eastAsia="Arial" w:hAnsi="Arial"/>
          <w:sz w:val="18"/>
          <w:szCs w:val="18"/>
          <w:b w:val="1"/>
          <w:bCs w:val="1"/>
          <w:color w:val="auto"/>
        </w:rPr>
        <w:t>DULUTH HOLDINGS INC.</w:t>
      </w:r>
    </w:p>
    <w:p>
      <w:pPr>
        <w:ind w:left="3680"/>
        <w:spacing w:after="0" w:line="237" w:lineRule="auto"/>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figures)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5"/>
          </w:tcPr>
          <w:p>
            <w:pPr>
              <w:jc w:val="right"/>
              <w:ind w:right="113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April 30, 2023</w:t>
            </w:r>
          </w:p>
        </w:tc>
        <w:tc>
          <w:tcPr>
            <w:tcW w:w="100" w:type="dxa"/>
            <w:vAlign w:val="bottom"/>
            <w:tcBorders>
              <w:bottom w:val="single" w:sz="8" w:color="CCEEFF"/>
            </w:tcBorders>
            <w:gridSpan w:val="2"/>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May 1, 2022</w:t>
            </w:r>
          </w:p>
        </w:tc>
        <w:tc>
          <w:tcPr>
            <w:tcW w:w="0" w:type="dxa"/>
            <w:vAlign w:val="bottom"/>
          </w:tcPr>
          <w:p>
            <w:pPr>
              <w:spacing w:after="0"/>
              <w:rPr>
                <w:sz w:val="1"/>
                <w:szCs w:val="1"/>
                <w:color w:val="auto"/>
              </w:rPr>
            </w:pPr>
          </w:p>
        </w:tc>
      </w:tr>
      <w:tr>
        <w:trPr>
          <w:trHeight w:val="25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122,904</w:t>
            </w:r>
          </w:p>
        </w:tc>
        <w:tc>
          <w:tcPr>
            <w:tcW w:w="0" w:type="dxa"/>
            <w:vAlign w:val="bottom"/>
          </w:tcPr>
          <w:p>
            <w:pPr>
              <w:spacing w:after="0"/>
              <w:rPr>
                <w:sz w:val="1"/>
                <w:szCs w:val="1"/>
                <w:color w:val="auto"/>
              </w:rPr>
            </w:pPr>
          </w:p>
        </w:tc>
      </w:tr>
      <w:tr>
        <w:trPr>
          <w:trHeight w:val="229"/>
        </w:trPr>
        <w:tc>
          <w:tcPr>
            <w:tcW w:w="7480" w:type="dxa"/>
            <w:vAlign w:val="bottom"/>
          </w:tcPr>
          <w:p>
            <w:pPr>
              <w:spacing w:after="0"/>
              <w:rPr>
                <w:sz w:val="20"/>
                <w:szCs w:val="20"/>
                <w:color w:val="auto"/>
              </w:rPr>
            </w:pPr>
            <w:r>
              <w:rPr>
                <w:rFonts w:ascii="Arial" w:cs="Arial" w:eastAsia="Arial" w:hAnsi="Arial"/>
                <w:sz w:val="18"/>
                <w:szCs w:val="18"/>
                <w:color w:val="auto"/>
              </w:rPr>
              <w:t>Cost of goods sold (excluding depreciation and amortization)</w:t>
            </w: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55,841</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67,063</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70,200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67,994</w:t>
            </w: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43"/>
        </w:trPr>
        <w:tc>
          <w:tcPr>
            <w:tcW w:w="748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(5,335)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Net loss attributable to controlling interest</w:t>
            </w:r>
          </w:p>
        </w:tc>
        <w:tc>
          <w:tcPr>
            <w:tcW w:w="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(3,869)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197"/>
        </w:trPr>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earnings per share (Class A and Class B):</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Weighted average shares of common stock outstanding</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32,714</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controlling interest</w:t>
            </w:r>
          </w:p>
        </w:tc>
        <w:tc>
          <w:tcPr>
            <w:tcW w:w="2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Diluted earnings per share (Class A and Class B):</w:t>
            </w: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and equivalents outstanding</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32,714</w:t>
            </w:r>
          </w:p>
        </w:tc>
        <w:tc>
          <w:tcPr>
            <w:tcW w:w="0" w:type="dxa"/>
            <w:vAlign w:val="bottom"/>
          </w:tcPr>
          <w:p>
            <w:pPr>
              <w:spacing w:after="0"/>
              <w:rPr>
                <w:sz w:val="1"/>
                <w:szCs w:val="1"/>
                <w:color w:val="auto"/>
              </w:rPr>
            </w:pPr>
          </w:p>
        </w:tc>
      </w:tr>
      <w:tr>
        <w:trPr>
          <w:trHeight w:val="209"/>
        </w:trPr>
        <w:tc>
          <w:tcPr>
            <w:tcW w:w="7480" w:type="dxa"/>
            <w:vAlign w:val="bottom"/>
          </w:tcPr>
          <w:p>
            <w:pPr>
              <w:spacing w:after="0"/>
              <w:rPr>
                <w:sz w:val="20"/>
                <w:szCs w:val="20"/>
                <w:color w:val="auto"/>
              </w:rPr>
            </w:pPr>
            <w:r>
              <w:rPr>
                <w:rFonts w:ascii="Arial" w:cs="Arial" w:eastAsia="Arial" w:hAnsi="Arial"/>
                <w:sz w:val="18"/>
                <w:szCs w:val="18"/>
                <w:color w:val="auto"/>
              </w:rPr>
              <w:t>Net loss per share attributable to controlling interest</w:t>
            </w:r>
          </w:p>
        </w:tc>
        <w:tc>
          <w:tcPr>
            <w:tcW w:w="28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 w:name="page6"/>
    <w:bookmarkEnd w:id="5"/>
    <w:p>
      <w:pPr>
        <w:ind w:left="4520"/>
        <w:spacing w:after="0"/>
        <w:rPr>
          <w:sz w:val="20"/>
          <w:szCs w:val="20"/>
          <w:color w:val="auto"/>
        </w:rPr>
      </w:pPr>
      <w:r>
        <w:rPr>
          <w:rFonts w:ascii="Arial" w:cs="Arial" w:eastAsia="Arial" w:hAnsi="Arial"/>
          <w:sz w:val="18"/>
          <w:szCs w:val="18"/>
          <w:b w:val="1"/>
          <w:bCs w:val="1"/>
          <w:color w:val="auto"/>
        </w:rPr>
        <w:t>DULUTH HOLDINGS INC.</w:t>
      </w:r>
    </w:p>
    <w:p>
      <w:pPr>
        <w:ind w:left="2940"/>
        <w:spacing w:after="0" w:line="237" w:lineRule="auto"/>
        <w:rPr>
          <w:sz w:val="20"/>
          <w:szCs w:val="20"/>
          <w:color w:val="auto"/>
        </w:rPr>
      </w:pPr>
      <w:r>
        <w:rPr>
          <w:rFonts w:ascii="Arial" w:cs="Arial" w:eastAsia="Arial" w:hAnsi="Arial"/>
          <w:sz w:val="18"/>
          <w:szCs w:val="18"/>
          <w:b w:val="1"/>
          <w:bCs w:val="1"/>
          <w:color w:val="auto"/>
        </w:rPr>
        <w:t>Condensed Consolidated Statements of Comprehensive (Loss) Income</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4"/>
          </w:tcPr>
          <w:p>
            <w:pPr>
              <w:jc w:val="right"/>
              <w:ind w:right="115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3"/>
        </w:trPr>
        <w:tc>
          <w:tcPr>
            <w:tcW w:w="7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April 30, 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May 1, 2022</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available-for sale:</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120"/>
              <w:spacing w:after="0"/>
              <w:rPr>
                <w:sz w:val="20"/>
                <w:szCs w:val="20"/>
                <w:color w:val="auto"/>
              </w:rPr>
            </w:pPr>
            <w:r>
              <w:rPr>
                <w:rFonts w:ascii="Arial" w:cs="Arial" w:eastAsia="Arial" w:hAnsi="Arial"/>
                <w:sz w:val="18"/>
                <w:szCs w:val="18"/>
                <w:color w:val="auto"/>
              </w:rPr>
              <w:t>Unrealized security loss arising during the period</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7460" w:type="dxa"/>
            <w:vAlign w:val="bottom"/>
          </w:tcPr>
          <w:p>
            <w:pPr>
              <w:spacing w:after="0" w:line="196" w:lineRule="exact"/>
              <w:rPr>
                <w:sz w:val="20"/>
                <w:szCs w:val="20"/>
                <w:color w:val="auto"/>
              </w:rPr>
            </w:pPr>
            <w:r>
              <w:rPr>
                <w:rFonts w:ascii="Arial" w:cs="Arial" w:eastAsia="Arial" w:hAnsi="Arial"/>
                <w:sz w:val="18"/>
                <w:szCs w:val="18"/>
                <w:color w:val="auto"/>
              </w:rPr>
              <w:t>Other comprehensive loss</w:t>
            </w: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2"/>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4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to controlling interest</w:t>
            </w:r>
          </w:p>
        </w:tc>
        <w:tc>
          <w:tcPr>
            <w:tcW w:w="300" w:type="dxa"/>
            <w:vAlign w:val="bottom"/>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 w:name="page7"/>
    <w:bookmarkEnd w:id="6"/>
    <w:p>
      <w:pPr>
        <w:ind w:left="4520"/>
        <w:spacing w:after="0"/>
        <w:rPr>
          <w:sz w:val="20"/>
          <w:szCs w:val="20"/>
          <w:color w:val="auto"/>
        </w:rPr>
      </w:pPr>
      <w:r>
        <w:rPr>
          <w:rFonts w:ascii="Arial" w:cs="Arial" w:eastAsia="Arial" w:hAnsi="Arial"/>
          <w:sz w:val="18"/>
          <w:szCs w:val="18"/>
          <w:b w:val="1"/>
          <w:bCs w:val="1"/>
          <w:color w:val="auto"/>
        </w:rPr>
        <w:t>DULUTH HOLDINGS INC.</w:t>
      </w:r>
    </w:p>
    <w:p>
      <w:pPr>
        <w:ind w:left="3320"/>
        <w:spacing w:after="0" w:line="237" w:lineRule="auto"/>
        <w:rPr>
          <w:sz w:val="20"/>
          <w:szCs w:val="20"/>
          <w:color w:val="auto"/>
        </w:rPr>
      </w:pPr>
      <w:r>
        <w:rPr>
          <w:rFonts w:ascii="Arial" w:cs="Arial" w:eastAsia="Arial" w:hAnsi="Arial"/>
          <w:sz w:val="18"/>
          <w:szCs w:val="18"/>
          <w:b w:val="1"/>
          <w:bCs w:val="1"/>
          <w:color w:val="auto"/>
        </w:rPr>
        <w:t>Condensed Consolidated Statement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4"/>
                <w:szCs w:val="14"/>
                <w:b w:val="1"/>
                <w:bCs w:val="1"/>
                <w:color w:val="auto"/>
              </w:rPr>
              <w:t>Three Months Ended April 30, 2023</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4"/>
        </w:trPr>
        <w:tc>
          <w:tcPr>
            <w:tcW w:w="3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6"/>
                <w:szCs w:val="16"/>
                <w:color w:val="auto"/>
              </w:rPr>
            </w:pPr>
          </w:p>
        </w:tc>
        <w:tc>
          <w:tcPr>
            <w:tcW w:w="116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1"/>
        </w:trPr>
        <w:tc>
          <w:tcPr>
            <w:tcW w:w="37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Capital stock</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7"/>
                <w:szCs w:val="17"/>
                <w:color w:val="auto"/>
              </w:rPr>
            </w:pPr>
          </w:p>
        </w:tc>
        <w:tc>
          <w:tcPr>
            <w:tcW w:w="1160" w:type="dxa"/>
            <w:vAlign w:val="bottom"/>
          </w:tcPr>
          <w:p>
            <w:pPr>
              <w:jc w:val="center"/>
              <w:ind w:right="16"/>
              <w:spacing w:after="0"/>
              <w:rPr>
                <w:sz w:val="20"/>
                <w:szCs w:val="20"/>
                <w:color w:val="auto"/>
              </w:rPr>
            </w:pPr>
            <w:r>
              <w:rPr>
                <w:rFonts w:ascii="Arial" w:cs="Arial" w:eastAsia="Arial" w:hAnsi="Arial"/>
                <w:sz w:val="14"/>
                <w:szCs w:val="14"/>
                <w:b w:val="1"/>
                <w:bCs w:val="1"/>
                <w:color w:val="auto"/>
                <w:w w:val="92"/>
              </w:rPr>
              <w:t>interest 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Total</w:t>
            </w:r>
          </w:p>
        </w:tc>
      </w:tr>
      <w:tr>
        <w:trPr>
          <w:trHeight w:val="197"/>
        </w:trPr>
        <w:tc>
          <w:tcPr>
            <w:tcW w:w="3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w w:val="97"/>
              </w:rPr>
              <w:t>Treasury</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134"/>
              <w:spacing w:after="0"/>
              <w:rPr>
                <w:sz w:val="20"/>
                <w:szCs w:val="20"/>
                <w:color w:val="auto"/>
              </w:rPr>
            </w:pPr>
            <w:r>
              <w:rPr>
                <w:rFonts w:ascii="Arial" w:cs="Arial" w:eastAsia="Arial" w:hAnsi="Arial"/>
                <w:sz w:val="14"/>
                <w:szCs w:val="14"/>
                <w:b w:val="1"/>
                <w:bCs w:val="1"/>
                <w:color w:val="auto"/>
                <w:w w:val="98"/>
              </w:rPr>
              <w:t>Retained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7"/>
                <w:szCs w:val="17"/>
                <w:color w:val="auto"/>
              </w:rPr>
            </w:pPr>
          </w:p>
        </w:tc>
        <w:tc>
          <w:tcPr>
            <w:tcW w:w="116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variable interest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shareholders'</w:t>
            </w:r>
          </w:p>
        </w:tc>
      </w:tr>
      <w:tr>
        <w:trPr>
          <w:trHeight w:val="188"/>
        </w:trPr>
        <w:tc>
          <w:tcPr>
            <w:tcW w:w="3720" w:type="dxa"/>
            <w:vAlign w:val="bottom"/>
          </w:tcPr>
          <w:p>
            <w:pPr>
              <w:spacing w:after="0"/>
              <w:rPr>
                <w:sz w:val="16"/>
                <w:szCs w:val="16"/>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earnings</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entity</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2"/>
              </w:rPr>
              <w:t>equity</w:t>
            </w:r>
          </w:p>
        </w:tc>
      </w:tr>
      <w:tr>
        <w:trPr>
          <w:trHeight w:val="223"/>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29, 2023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133,172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227,197</w:t>
            </w:r>
          </w:p>
        </w:tc>
      </w:tr>
      <w:tr>
        <w:trPr>
          <w:trHeight w:val="230"/>
        </w:trPr>
        <w:tc>
          <w:tcPr>
            <w:tcW w:w="372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1,081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r>
      <w:tr>
        <w:trPr>
          <w:trHeight w:val="216"/>
        </w:trPr>
        <w:tc>
          <w:tcPr>
            <w:tcW w:w="3720" w:type="dxa"/>
            <w:vAlign w:val="bottom"/>
          </w:tcPr>
          <w:p>
            <w:pPr>
              <w:ind w:left="120"/>
              <w:spacing w:after="0"/>
              <w:rPr>
                <w:sz w:val="20"/>
                <w:szCs w:val="20"/>
                <w:color w:val="auto"/>
              </w:rPr>
            </w:pPr>
            <w:r>
              <w:rPr>
                <w:rFonts w:ascii="Arial" w:cs="Arial" w:eastAsia="Arial" w:hAnsi="Arial"/>
                <w:sz w:val="18"/>
                <w:szCs w:val="18"/>
                <w:color w:val="auto"/>
              </w:rPr>
              <w:t>Restricted stock forfeitures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372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r>
      <w:tr>
        <w:trPr>
          <w:trHeight w:val="224"/>
        </w:trPr>
        <w:tc>
          <w:tcPr>
            <w:tcW w:w="3720" w:type="dxa"/>
            <w:vAlign w:val="bottom"/>
          </w:tcPr>
          <w:p>
            <w:pPr>
              <w:spacing w:after="0"/>
              <w:rPr>
                <w:sz w:val="20"/>
                <w:szCs w:val="20"/>
                <w:color w:val="auto"/>
              </w:rPr>
            </w:pPr>
            <w:r>
              <w:rPr>
                <w:rFonts w:ascii="Arial" w:cs="Arial" w:eastAsia="Arial" w:hAnsi="Arial"/>
                <w:sz w:val="18"/>
                <w:szCs w:val="18"/>
                <w:color w:val="auto"/>
              </w:rPr>
              <w:t>Balance at April 30, 2023</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34,474</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99,968</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129,303</w:t>
            </w: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(3,218)</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224,114</w:t>
            </w:r>
          </w:p>
        </w:tc>
      </w:tr>
    </w:tbl>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 w:name="page8"/>
    <w:bookmarkEnd w:id="7"/>
    <w:p>
      <w:pPr>
        <w:ind w:left="4520"/>
        <w:spacing w:after="0"/>
        <w:rPr>
          <w:sz w:val="20"/>
          <w:szCs w:val="20"/>
          <w:color w:val="auto"/>
        </w:rPr>
      </w:pPr>
      <w:r>
        <w:rPr>
          <w:rFonts w:ascii="Arial" w:cs="Arial" w:eastAsia="Arial" w:hAnsi="Arial"/>
          <w:sz w:val="18"/>
          <w:szCs w:val="18"/>
          <w:b w:val="1"/>
          <w:bCs w:val="1"/>
          <w:color w:val="auto"/>
        </w:rPr>
        <w:t>DULUTH HOLDINGS INC.</w:t>
      </w:r>
    </w:p>
    <w:p>
      <w:pPr>
        <w:ind w:left="3320"/>
        <w:spacing w:after="0" w:line="237" w:lineRule="auto"/>
        <w:rPr>
          <w:sz w:val="20"/>
          <w:szCs w:val="20"/>
          <w:color w:val="auto"/>
        </w:rPr>
      </w:pPr>
      <w:r>
        <w:rPr>
          <w:rFonts w:ascii="Arial" w:cs="Arial" w:eastAsia="Arial" w:hAnsi="Arial"/>
          <w:sz w:val="18"/>
          <w:szCs w:val="18"/>
          <w:b w:val="1"/>
          <w:bCs w:val="1"/>
          <w:color w:val="auto"/>
        </w:rPr>
        <w:t>Condensed Consolidated Statement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8"/>
          </w:tcPr>
          <w:p>
            <w:pPr>
              <w:jc w:val="right"/>
              <w:ind w:right="860"/>
              <w:spacing w:after="0"/>
              <w:rPr>
                <w:sz w:val="20"/>
                <w:szCs w:val="20"/>
                <w:color w:val="auto"/>
              </w:rPr>
            </w:pPr>
            <w:r>
              <w:rPr>
                <w:rFonts w:ascii="Arial" w:cs="Arial" w:eastAsia="Arial" w:hAnsi="Arial"/>
                <w:sz w:val="14"/>
                <w:szCs w:val="14"/>
                <w:b w:val="1"/>
                <w:bCs w:val="1"/>
                <w:color w:val="auto"/>
              </w:rPr>
              <w:t>Three Months Ended May 1, 2022</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1"/>
        </w:trPr>
        <w:tc>
          <w:tcPr>
            <w:tcW w:w="3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8"/>
                <w:szCs w:val="18"/>
                <w:color w:val="auto"/>
              </w:rPr>
            </w:pPr>
          </w:p>
        </w:tc>
        <w:tc>
          <w:tcPr>
            <w:tcW w:w="116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37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Capital stock</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8"/>
                <w:szCs w:val="18"/>
                <w:color w:val="auto"/>
              </w:rPr>
            </w:pPr>
          </w:p>
        </w:tc>
        <w:tc>
          <w:tcPr>
            <w:tcW w:w="1160" w:type="dxa"/>
            <w:vAlign w:val="bottom"/>
          </w:tcPr>
          <w:p>
            <w:pPr>
              <w:jc w:val="center"/>
              <w:ind w:right="16"/>
              <w:spacing w:after="0"/>
              <w:rPr>
                <w:sz w:val="20"/>
                <w:szCs w:val="20"/>
                <w:color w:val="auto"/>
              </w:rPr>
            </w:pPr>
            <w:r>
              <w:rPr>
                <w:rFonts w:ascii="Arial" w:cs="Arial" w:eastAsia="Arial" w:hAnsi="Arial"/>
                <w:sz w:val="14"/>
                <w:szCs w:val="14"/>
                <w:b w:val="1"/>
                <w:bCs w:val="1"/>
                <w:color w:val="auto"/>
                <w:w w:val="92"/>
              </w:rPr>
              <w:t>interest 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Total</w:t>
            </w:r>
          </w:p>
        </w:tc>
      </w:tr>
      <w:tr>
        <w:trPr>
          <w:trHeight w:val="211"/>
        </w:trPr>
        <w:tc>
          <w:tcPr>
            <w:tcW w:w="3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w w:val="97"/>
              </w:rPr>
              <w:t>Treasury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34"/>
              <w:spacing w:after="0"/>
              <w:rPr>
                <w:sz w:val="20"/>
                <w:szCs w:val="20"/>
                <w:color w:val="auto"/>
              </w:rPr>
            </w:pPr>
            <w:r>
              <w:rPr>
                <w:rFonts w:ascii="Arial" w:cs="Arial" w:eastAsia="Arial" w:hAnsi="Arial"/>
                <w:sz w:val="14"/>
                <w:szCs w:val="14"/>
                <w:b w:val="1"/>
                <w:bCs w:val="1"/>
                <w:color w:val="auto"/>
                <w:w w:val="98"/>
              </w:rPr>
              <w:t>Retained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8"/>
                <w:szCs w:val="18"/>
                <w:color w:val="auto"/>
              </w:rPr>
            </w:pPr>
          </w:p>
        </w:tc>
        <w:tc>
          <w:tcPr>
            <w:tcW w:w="116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variable interest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shareholders'</w:t>
            </w:r>
          </w:p>
        </w:tc>
      </w:tr>
      <w:tr>
        <w:trPr>
          <w:trHeight w:val="201"/>
        </w:trPr>
        <w:tc>
          <w:tcPr>
            <w:tcW w:w="3720" w:type="dxa"/>
            <w:vAlign w:val="bottom"/>
          </w:tcPr>
          <w:p>
            <w:pPr>
              <w:spacing w:after="0"/>
              <w:rPr>
                <w:sz w:val="17"/>
                <w:szCs w:val="17"/>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earnings</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entity</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2"/>
              </w:rPr>
              <w:t>equity</w:t>
            </w: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30, 2022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130,868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222,718</w:t>
            </w:r>
          </w:p>
        </w:tc>
      </w:tr>
      <w:tr>
        <w:trPr>
          <w:trHeight w:val="216"/>
        </w:trPr>
        <w:tc>
          <w:tcPr>
            <w:tcW w:w="372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16"/>
        </w:trPr>
        <w:tc>
          <w:tcPr>
            <w:tcW w:w="3720" w:type="dxa"/>
            <w:vAlign w:val="bottom"/>
          </w:tcPr>
          <w:p>
            <w:pPr>
              <w:ind w:left="120"/>
              <w:spacing w:after="0"/>
              <w:rPr>
                <w:sz w:val="20"/>
                <w:szCs w:val="20"/>
                <w:color w:val="auto"/>
              </w:rPr>
            </w:pPr>
            <w:r>
              <w:rPr>
                <w:rFonts w:ascii="Arial" w:cs="Arial" w:eastAsia="Arial" w:hAnsi="Arial"/>
                <w:sz w:val="18"/>
                <w:szCs w:val="18"/>
                <w:color w:val="auto"/>
              </w:rPr>
              <w:t>Restricted stock forfeitures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29"/>
        </w:trPr>
        <w:tc>
          <w:tcPr>
            <w:tcW w:w="3720" w:type="dxa"/>
            <w:vAlign w:val="bottom"/>
          </w:tcPr>
          <w:p>
            <w:pPr>
              <w:ind w:left="120"/>
              <w:spacing w:after="0"/>
              <w:rPr>
                <w:sz w:val="20"/>
                <w:szCs w:val="20"/>
                <w:color w:val="auto"/>
              </w:rPr>
            </w:pPr>
            <w:r>
              <w:rPr>
                <w:rFonts w:ascii="Arial" w:cs="Arial" w:eastAsia="Arial" w:hAnsi="Arial"/>
                <w:sz w:val="18"/>
                <w:szCs w:val="18"/>
                <w:color w:val="auto"/>
              </w:rPr>
              <w:t>Other comprehensive income</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03"/>
        </w:trPr>
        <w:tc>
          <w:tcPr>
            <w:tcW w:w="3720" w:type="dxa"/>
            <w:vAlign w:val="bottom"/>
            <w:tcBorders>
              <w:bottom w:val="single" w:sz="8" w:color="CCEEFF"/>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(1,294)</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(1,323)</w:t>
            </w:r>
          </w:p>
        </w:tc>
      </w:tr>
      <w:tr>
        <w:trPr>
          <w:trHeight w:val="196"/>
        </w:trPr>
        <w:tc>
          <w:tcPr>
            <w:tcW w:w="3720" w:type="dxa"/>
            <w:vAlign w:val="bottom"/>
          </w:tcPr>
          <w:p>
            <w:pPr>
              <w:spacing w:after="0" w:line="196" w:lineRule="exact"/>
              <w:rPr>
                <w:sz w:val="20"/>
                <w:szCs w:val="20"/>
                <w:color w:val="auto"/>
              </w:rPr>
            </w:pPr>
            <w:r>
              <w:rPr>
                <w:rFonts w:ascii="Arial" w:cs="Arial" w:eastAsia="Arial" w:hAnsi="Arial"/>
                <w:sz w:val="18"/>
                <w:szCs w:val="18"/>
                <w:color w:val="auto"/>
              </w:rPr>
              <w:t>Balance at May 1, 2022</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33,329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96,299</w:t>
            </w:r>
          </w:p>
        </w:tc>
        <w:tc>
          <w:tcPr>
            <w:tcW w:w="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(1,457)</w:t>
            </w:r>
          </w:p>
        </w:tc>
        <w:tc>
          <w:tcPr>
            <w:tcW w:w="2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129,574</w:t>
            </w:r>
          </w:p>
        </w:tc>
        <w:tc>
          <w:tcPr>
            <w:tcW w:w="1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c>
          <w:tcPr>
            <w:tcW w:w="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(3,181)</w:t>
            </w:r>
          </w:p>
        </w:tc>
        <w:tc>
          <w:tcPr>
            <w:tcW w:w="1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221,388</w:t>
            </w:r>
          </w:p>
        </w:tc>
      </w:tr>
      <w:tr>
        <w:trPr>
          <w:trHeight w:val="20"/>
        </w:trPr>
        <w:tc>
          <w:tcPr>
            <w:tcW w:w="3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 w:name="page9"/>
    <w:bookmarkEnd w:id="8"/>
    <w:p>
      <w:pPr>
        <w:ind w:left="4520"/>
        <w:spacing w:after="0"/>
        <w:rPr>
          <w:sz w:val="20"/>
          <w:szCs w:val="20"/>
          <w:color w:val="auto"/>
        </w:rPr>
      </w:pPr>
      <w:r>
        <w:rPr>
          <w:rFonts w:ascii="Arial" w:cs="Arial" w:eastAsia="Arial" w:hAnsi="Arial"/>
          <w:sz w:val="18"/>
          <w:szCs w:val="18"/>
          <w:b w:val="1"/>
          <w:bCs w:val="1"/>
          <w:color w:val="auto"/>
        </w:rPr>
        <w:t>DULUTH HOLDINGS INC.</w:t>
      </w:r>
    </w:p>
    <w:p>
      <w:pPr>
        <w:ind w:left="3660"/>
        <w:spacing w:after="0" w:line="237"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Borders>
              <w:bottom w:val="single" w:sz="8" w:color="auto"/>
            </w:tcBorders>
          </w:tcPr>
          <w:p>
            <w:pPr>
              <w:spacing w:after="0"/>
              <w:rPr>
                <w:sz w:val="16"/>
                <w:szCs w:val="16"/>
                <w:color w:val="auto"/>
              </w:rPr>
            </w:pPr>
          </w:p>
        </w:tc>
      </w:tr>
      <w:tr>
        <w:trPr>
          <w:trHeight w:val="196"/>
        </w:trPr>
        <w:tc>
          <w:tcPr>
            <w:tcW w:w="7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April 30, 2023</w:t>
            </w:r>
          </w:p>
        </w:tc>
        <w:tc>
          <w:tcPr>
            <w:tcW w:w="1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95"/>
              </w:rPr>
              <w:t>May 1, 2022</w:t>
            </w: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(3,877)</w:t>
            </w:r>
          </w:p>
        </w:tc>
        <w:tc>
          <w:tcPr>
            <w:tcW w:w="7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(1,323)</w:t>
            </w:r>
          </w:p>
        </w:tc>
      </w:tr>
      <w:tr>
        <w:trPr>
          <w:trHeight w:val="243"/>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3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7,413</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7,520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29"/>
        </w:trPr>
        <w:tc>
          <w:tcPr>
            <w:tcW w:w="7280" w:type="dxa"/>
            <w:vAlign w:val="bottom"/>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(1,365)</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and equipment</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29"/>
        </w:trPr>
        <w:tc>
          <w:tcPr>
            <w:tcW w:w="728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9,953</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(29,572)</w:t>
            </w:r>
          </w:p>
        </w:tc>
      </w:tr>
      <w:tr>
        <w:trPr>
          <w:trHeight w:val="216"/>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 &amp; other current assets</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r>
      <w:tr>
        <w:trPr>
          <w:trHeight w:val="216"/>
        </w:trPr>
        <w:tc>
          <w:tcPr>
            <w:tcW w:w="7280" w:type="dxa"/>
            <w:vAlign w:val="bottom"/>
          </w:tcPr>
          <w:p>
            <w:pPr>
              <w:ind w:left="120"/>
              <w:spacing w:after="0"/>
              <w:rPr>
                <w:sz w:val="20"/>
                <w:szCs w:val="20"/>
                <w:color w:val="auto"/>
              </w:rPr>
            </w:pPr>
            <w:r>
              <w:rPr>
                <w:rFonts w:ascii="Arial" w:cs="Arial" w:eastAsia="Arial" w:hAnsi="Arial"/>
                <w:sz w:val="18"/>
                <w:szCs w:val="18"/>
                <w:color w:val="auto"/>
              </w:rPr>
              <w:t>Software hosting implementation costs, net</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(746)</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(1,007)</w:t>
            </w:r>
          </w:p>
        </w:tc>
      </w:tr>
      <w:tr>
        <w:trPr>
          <w:trHeight w:val="230"/>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catalog costs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280" w:type="dxa"/>
            <w:vAlign w:val="bottom"/>
          </w:tcPr>
          <w:p>
            <w:pPr>
              <w:ind w:left="120"/>
              <w:spacing w:after="0"/>
              <w:rPr>
                <w:sz w:val="20"/>
                <w:szCs w:val="20"/>
                <w:color w:val="auto"/>
              </w:rPr>
            </w:pPr>
            <w:r>
              <w:rPr>
                <w:rFonts w:ascii="Arial" w:cs="Arial" w:eastAsia="Arial" w:hAnsi="Arial"/>
                <w:sz w:val="18"/>
                <w:szCs w:val="18"/>
                <w:color w:val="auto"/>
              </w:rPr>
              <w:t>Trade accounts payable</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(21,080)</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10,362</w:t>
            </w:r>
          </w:p>
        </w:tc>
      </w:tr>
      <w:tr>
        <w:trPr>
          <w:trHeight w:val="216"/>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r>
      <w:tr>
        <w:trPr>
          <w:trHeight w:val="230"/>
        </w:trPr>
        <w:tc>
          <w:tcPr>
            <w:tcW w:w="7280" w:type="dxa"/>
            <w:vAlign w:val="bottom"/>
          </w:tcPr>
          <w:p>
            <w:pPr>
              <w:ind w:left="120"/>
              <w:spacing w:after="0"/>
              <w:rPr>
                <w:sz w:val="20"/>
                <w:szCs w:val="20"/>
                <w:color w:val="auto"/>
              </w:rPr>
            </w:pPr>
            <w:r>
              <w:rPr>
                <w:rFonts w:ascii="Arial" w:cs="Arial" w:eastAsia="Arial" w:hAnsi="Arial"/>
                <w:sz w:val="18"/>
                <w:szCs w:val="18"/>
                <w:color w:val="auto"/>
              </w:rPr>
              <w:t>Accrued expenses and deferred rent obligations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(4,475)</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(17,500)</w:t>
            </w:r>
          </w:p>
        </w:tc>
      </w:tr>
      <w:tr>
        <w:trPr>
          <w:trHeight w:val="216"/>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Noncash lease impacts</w:t>
            </w: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196"/>
        </w:trPr>
        <w:tc>
          <w:tcPr>
            <w:tcW w:w="72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(13,973)</w:t>
            </w:r>
          </w:p>
        </w:tc>
        <w:tc>
          <w:tcPr>
            <w:tcW w:w="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(31,717)</w:t>
            </w:r>
          </w:p>
        </w:tc>
      </w:tr>
      <w:tr>
        <w:trPr>
          <w:trHeight w:val="210"/>
        </w:trPr>
        <w:tc>
          <w:tcPr>
            <w:tcW w:w="72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(21,392)</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Principal receipts from available-for-sale security</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3"/>
        </w:trPr>
        <w:tc>
          <w:tcPr>
            <w:tcW w:w="72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from disposals</w:t>
            </w:r>
          </w:p>
        </w:tc>
        <w:tc>
          <w:tcPr>
            <w:tcW w:w="3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r>
      <w:tr>
        <w:trPr>
          <w:trHeight w:val="210"/>
        </w:trPr>
        <w:tc>
          <w:tcPr>
            <w:tcW w:w="7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(21,348)</w:t>
            </w: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w:t>
            </w:r>
          </w:p>
        </w:tc>
      </w:tr>
      <w:tr>
        <w:trPr>
          <w:trHeight w:val="196"/>
        </w:trPr>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Proceeds from line of credit</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Payments on line of credit</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Payments on TRI long term debt</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Payments on finance lease obligations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Payments of tax withholding on vested restricted shares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196"/>
        </w:trPr>
        <w:tc>
          <w:tcPr>
            <w:tcW w:w="72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(1,017)</w:t>
            </w:r>
          </w:p>
        </w:tc>
        <w:tc>
          <w:tcPr>
            <w:tcW w:w="1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(1,121)</w:t>
            </w:r>
          </w:p>
        </w:tc>
      </w:tr>
      <w:tr>
        <w:trPr>
          <w:trHeight w:val="209"/>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(36,338)</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(36,681)</w:t>
            </w:r>
          </w:p>
        </w:tc>
      </w:tr>
      <w:tr>
        <w:trPr>
          <w:trHeight w:val="216"/>
        </w:trPr>
        <w:tc>
          <w:tcPr>
            <w:tcW w:w="7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45,548</w:t>
            </w: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77,051</w:t>
            </w:r>
          </w:p>
        </w:tc>
      </w:tr>
      <w:tr>
        <w:trPr>
          <w:trHeight w:val="223"/>
        </w:trPr>
        <w:tc>
          <w:tcPr>
            <w:tcW w:w="72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9,210</w:t>
            </w:r>
          </w:p>
        </w:tc>
        <w:tc>
          <w:tcPr>
            <w:tcW w:w="1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40,370</w:t>
            </w:r>
          </w:p>
        </w:tc>
      </w:tr>
      <w:tr>
        <w:trPr>
          <w:trHeight w:val="196"/>
        </w:trPr>
        <w:tc>
          <w:tcPr>
            <w:tcW w:w="728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7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Income taxes paid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216</w:t>
            </w:r>
          </w:p>
        </w:tc>
        <w:tc>
          <w:tcPr>
            <w:tcW w:w="7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1,610</w:t>
            </w:r>
          </w:p>
        </w:tc>
      </w:tr>
      <w:tr>
        <w:trPr>
          <w:trHeight w:val="230"/>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Unpaid liability to acquire property and equipment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1,832</w:t>
            </w:r>
          </w:p>
        </w:tc>
        <w:tc>
          <w:tcPr>
            <w:tcW w:w="7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4,121</w:t>
            </w:r>
          </w:p>
        </w:tc>
      </w:tr>
    </w:tbl>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65"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PRESENTATION</w:t>
      </w:r>
    </w:p>
    <w:p>
      <w:pPr>
        <w:spacing w:after="0" w:line="175"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Nature of Operations</w:t>
      </w:r>
    </w:p>
    <w:p>
      <w:pPr>
        <w:spacing w:after="0" w:line="171" w:lineRule="exact"/>
        <w:rPr>
          <w:sz w:val="20"/>
          <w:szCs w:val="20"/>
          <w:color w:val="auto"/>
        </w:rPr>
      </w:pPr>
    </w:p>
    <w:p>
      <w:pPr>
        <w:ind w:right="400" w:firstLine="428"/>
        <w:spacing w:after="0" w:line="253" w:lineRule="auto"/>
        <w:rPr>
          <w:sz w:val="20"/>
          <w:szCs w:val="20"/>
          <w:color w:val="auto"/>
        </w:rPr>
      </w:pPr>
      <w:r>
        <w:rPr>
          <w:rFonts w:ascii="Arial" w:cs="Arial" w:eastAsia="Arial" w:hAnsi="Arial"/>
          <w:sz w:val="17"/>
          <w:szCs w:val="17"/>
          <w:color w:val="auto"/>
        </w:rPr>
        <w:t>Duluth Holdings Inc. (“Duluth Trading” or the “Company”), a Wisconsin corporation, is a lifestyle brand of men’s and women’s casual wear, workwear and accessories sold primarily through the Company’s own omnichannel platform. The Company’s products are marketed under the Duluth Trading name, with the majority of products being exclusively developed and sold as Duluth Trading branded merchandise.</w:t>
      </w:r>
    </w:p>
    <w:p>
      <w:pPr>
        <w:spacing w:after="0" w:line="138" w:lineRule="exact"/>
        <w:rPr>
          <w:sz w:val="20"/>
          <w:szCs w:val="20"/>
          <w:color w:val="auto"/>
        </w:rPr>
      </w:pPr>
    </w:p>
    <w:p>
      <w:pPr>
        <w:ind w:right="300" w:firstLine="492"/>
        <w:spacing w:after="0"/>
        <w:rPr>
          <w:sz w:val="20"/>
          <w:szCs w:val="20"/>
          <w:color w:val="auto"/>
        </w:rPr>
      </w:pPr>
      <w:r>
        <w:rPr>
          <w:rFonts w:ascii="Arial" w:cs="Arial" w:eastAsia="Arial" w:hAnsi="Arial"/>
          <w:sz w:val="18"/>
          <w:szCs w:val="18"/>
          <w:color w:val="auto"/>
        </w:rPr>
        <w:t>The Company identifies its operating segments according to how its business activities are managed and evaluated. The Company continues to report one reportable external segment, consistent with the Company’s omnichannel business approach. The Company’s revenues generated outside the United States were insignificant.</w:t>
      </w:r>
    </w:p>
    <w:p>
      <w:pPr>
        <w:spacing w:after="0" w:line="149" w:lineRule="exact"/>
        <w:rPr>
          <w:sz w:val="20"/>
          <w:szCs w:val="20"/>
          <w:color w:val="auto"/>
        </w:rPr>
      </w:pPr>
    </w:p>
    <w:p>
      <w:pPr>
        <w:jc w:val="both"/>
        <w:ind w:right="360" w:firstLine="428"/>
        <w:spacing w:after="0" w:line="251" w:lineRule="auto"/>
        <w:rPr>
          <w:sz w:val="20"/>
          <w:szCs w:val="20"/>
          <w:color w:val="auto"/>
        </w:rPr>
      </w:pPr>
      <w:r>
        <w:rPr>
          <w:rFonts w:ascii="Arial" w:cs="Arial" w:eastAsia="Arial" w:hAnsi="Arial"/>
          <w:sz w:val="17"/>
          <w:szCs w:val="17"/>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1"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right="220" w:firstLine="428"/>
        <w:spacing w:after="0"/>
        <w:rPr>
          <w:sz w:val="20"/>
          <w:szCs w:val="20"/>
          <w:color w:val="auto"/>
        </w:rPr>
      </w:pPr>
      <w:r>
        <w:rPr>
          <w:rFonts w:ascii="Arial" w:cs="Arial" w:eastAsia="Arial" w:hAnsi="Arial"/>
          <w:sz w:val="18"/>
          <w:szCs w:val="18"/>
          <w:color w:val="auto"/>
        </w:rPr>
        <w:t>The condensed consolidated financial statements are prepared in accordance with U.S. Generally Accepted Accounting Principles (“U.S. GAAP”). The Company consolidates TRI Holdings, LLC (“TRI”) as a variable interest entity (see Note 6 “Variable Interest Entity” for further information). All significant intercompany balances and transactions have been eliminated in consolidation.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fiscal year ends on the Sunday nearest to January 31 of the following year. Fiscal 2023 is a 52-week period and ends on January 28,</w:t>
      </w:r>
    </w:p>
    <w:p>
      <w:pPr>
        <w:spacing w:after="0" w:line="2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2024. Fiscal 2022 was a 52-week period and ended on January 29, 2023. The three months of fiscal 2023 and fiscal 2022 represent the Company’s 13-week periods ended April 30, 2023 and May 1, 2022, respectively.</w:t>
      </w:r>
    </w:p>
    <w:p>
      <w:pPr>
        <w:spacing w:after="0" w:line="132" w:lineRule="exact"/>
        <w:rPr>
          <w:sz w:val="20"/>
          <w:szCs w:val="20"/>
          <w:color w:val="auto"/>
        </w:rPr>
      </w:pPr>
    </w:p>
    <w:p>
      <w:pPr>
        <w:ind w:right="60" w:firstLine="428"/>
        <w:spacing w:after="0" w:line="265" w:lineRule="auto"/>
        <w:rPr>
          <w:sz w:val="20"/>
          <w:szCs w:val="20"/>
          <w:color w:val="auto"/>
        </w:rPr>
      </w:pPr>
      <w:r>
        <w:rPr>
          <w:rFonts w:ascii="Arial" w:cs="Arial" w:eastAsia="Arial" w:hAnsi="Arial"/>
          <w:sz w:val="16"/>
          <w:szCs w:val="16"/>
          <w:color w:val="auto"/>
        </w:rPr>
        <w:t>The accompanying condensed consolidated financial statements as of and for the three months ended April 30, 2023 and May 1, 2022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months ended April 30, 2023 and May 1, 2022. These interim condensed consolidated financial statements should be read in conjunction with the consolidated financial statements and notes included in the Company’s annual report on Form 10-K for the fiscal year ended January 29, 2023.</w:t>
      </w:r>
    </w:p>
    <w:p>
      <w:pPr>
        <w:spacing w:after="0" w:line="117"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Analysis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April 30, 2023 and for the three months ended, no triggering events or indicators of asset impairment were noted.</w:t>
      </w:r>
    </w:p>
    <w:p>
      <w:pPr>
        <w:spacing w:after="0" w:line="17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Inventory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Inventory, consisting of purchased product, is valued at the lower of cost or net realizable value, under the first-in, first-out method. The</w:t>
      </w:r>
    </w:p>
    <w:p>
      <w:pPr>
        <w:spacing w:after="0" w:line="23" w:lineRule="exact"/>
        <w:rPr>
          <w:sz w:val="20"/>
          <w:szCs w:val="20"/>
          <w:color w:val="auto"/>
        </w:rPr>
      </w:pPr>
    </w:p>
    <w:p>
      <w:pPr>
        <w:jc w:val="both"/>
        <w:ind w:right="60"/>
        <w:spacing w:after="0" w:line="265" w:lineRule="auto"/>
        <w:rPr>
          <w:sz w:val="20"/>
          <w:szCs w:val="20"/>
          <w:color w:val="auto"/>
        </w:rPr>
      </w:pPr>
      <w:r>
        <w:rPr>
          <w:rFonts w:ascii="Arial" w:cs="Arial" w:eastAsia="Arial" w:hAnsi="Arial"/>
          <w:sz w:val="16"/>
          <w:szCs w:val="16"/>
          <w:color w:val="auto"/>
        </w:rPr>
        <w:t>significant estimates used in inventory valuation are obsolescence (including excess and slow-moving inventory and lower of cost or market reserves) and estimates of inventory shrinkage. Both estimates have calculations that require the Company to make assumptions and apply judgment regarding a number of factors, including market conditions, the selling environment, historical results and current inventory trends. Inventory is adjusted periodically to reflect current market conditions, which requires management’s judgment that may significantly affect the ending inventory valuation, as well as gross margin.</w:t>
      </w:r>
    </w:p>
    <w:p>
      <w:pPr>
        <w:spacing w:after="0" w:line="130" w:lineRule="exact"/>
        <w:rPr>
          <w:sz w:val="20"/>
          <w:szCs w:val="20"/>
          <w:color w:val="auto"/>
        </w:rPr>
      </w:pPr>
    </w:p>
    <w:p>
      <w:pPr>
        <w:jc w:val="both"/>
        <w:ind w:right="120" w:firstLine="648"/>
        <w:spacing w:after="0"/>
        <w:rPr>
          <w:sz w:val="20"/>
          <w:szCs w:val="20"/>
          <w:color w:val="auto"/>
        </w:rPr>
      </w:pPr>
      <w:r>
        <w:rPr>
          <w:rFonts w:ascii="Arial" w:cs="Arial" w:eastAsia="Arial" w:hAnsi="Arial"/>
          <w:sz w:val="18"/>
          <w:szCs w:val="18"/>
          <w:color w:val="auto"/>
        </w:rPr>
        <w:t>The reserve for inventory shrinkage is adjusted to reflect the trend of historical physical inventory count results. The Company performs its retail store physical inventory counts in July and the difference between actual and estimated shrinkage, recorded in Cost of goods sold, may cause fluctuations in second fiscal quarter results.</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4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Prepaid Expenses and Other Assets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Prepaid expenses and other assets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2023</w:t>
            </w:r>
          </w:p>
        </w:tc>
        <w:tc>
          <w:tcPr>
            <w:tcW w:w="6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January 29, 2023</w:t>
            </w:r>
          </w:p>
        </w:tc>
      </w:tr>
      <w:tr>
        <w:trPr>
          <w:trHeight w:val="196"/>
        </w:trPr>
        <w:tc>
          <w:tcPr>
            <w:tcW w:w="66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Prepaid expenses &amp; other current assets</w:t>
            </w:r>
          </w:p>
        </w:tc>
        <w:tc>
          <w:tcPr>
            <w:tcW w:w="1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03"/>
        </w:trPr>
        <w:tc>
          <w:tcPr>
            <w:tcW w:w="6620" w:type="dxa"/>
            <w:vAlign w:val="bottom"/>
          </w:tcPr>
          <w:p>
            <w:pPr>
              <w:ind w:left="120"/>
              <w:spacing w:after="0" w:line="202" w:lineRule="exact"/>
              <w:rPr>
                <w:sz w:val="20"/>
                <w:szCs w:val="20"/>
                <w:color w:val="auto"/>
              </w:rPr>
            </w:pPr>
            <w:r>
              <w:rPr>
                <w:rFonts w:ascii="Arial" w:cs="Arial" w:eastAsia="Arial" w:hAnsi="Arial"/>
                <w:sz w:val="18"/>
                <w:szCs w:val="18"/>
                <w:color w:val="auto"/>
              </w:rPr>
              <w:t>Pending returns inventory, net</w:t>
            </w:r>
          </w:p>
        </w:tc>
        <w:tc>
          <w:tcPr>
            <w:tcW w:w="1580" w:type="dxa"/>
            <w:vAlign w:val="bottom"/>
          </w:tcPr>
          <w:p>
            <w:pPr>
              <w:jc w:val="right"/>
              <w:ind w:right="142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2,001</w:t>
            </w: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2,373</w:t>
            </w:r>
          </w:p>
        </w:tc>
      </w:tr>
      <w:tr>
        <w:trPr>
          <w:trHeight w:val="203"/>
        </w:trPr>
        <w:tc>
          <w:tcPr>
            <w:tcW w:w="66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Current software hosting implementation costs, net</w:t>
            </w:r>
          </w:p>
        </w:tc>
        <w:tc>
          <w:tcPr>
            <w:tcW w:w="15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3,024</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3,074</w:t>
            </w:r>
          </w:p>
        </w:tc>
      </w:tr>
      <w:tr>
        <w:trPr>
          <w:trHeight w:val="203"/>
        </w:trPr>
        <w:tc>
          <w:tcPr>
            <w:tcW w:w="6620" w:type="dxa"/>
            <w:vAlign w:val="bottom"/>
          </w:tcPr>
          <w:p>
            <w:pPr>
              <w:ind w:left="120"/>
              <w:spacing w:after="0" w:line="202" w:lineRule="exact"/>
              <w:rPr>
                <w:sz w:val="20"/>
                <w:szCs w:val="20"/>
                <w:color w:val="auto"/>
              </w:rPr>
            </w:pPr>
            <w:r>
              <w:rPr>
                <w:rFonts w:ascii="Arial" w:cs="Arial" w:eastAsia="Arial" w:hAnsi="Arial"/>
                <w:sz w:val="18"/>
                <w:szCs w:val="18"/>
                <w:color w:val="auto"/>
              </w:rPr>
              <w:t>Other prepaid expenses</w:t>
            </w:r>
          </w:p>
        </w:tc>
        <w:tc>
          <w:tcPr>
            <w:tcW w:w="15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10,893</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9,707</w:t>
            </w:r>
          </w:p>
        </w:tc>
      </w:tr>
      <w:tr>
        <w:trPr>
          <w:trHeight w:val="196"/>
        </w:trPr>
        <w:tc>
          <w:tcPr>
            <w:tcW w:w="66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Prepaid expenses &amp; other current assets</w:t>
            </w:r>
          </w:p>
        </w:tc>
        <w:tc>
          <w:tcPr>
            <w:tcW w:w="1580" w:type="dxa"/>
            <w:vAlign w:val="bottom"/>
            <w:shd w:val="clear" w:color="auto" w:fill="CCEEFF"/>
          </w:tcPr>
          <w:p>
            <w:pPr>
              <w:jc w:val="right"/>
              <w:ind w:right="142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15,918</w:t>
            </w:r>
          </w:p>
        </w:tc>
        <w:tc>
          <w:tcPr>
            <w:tcW w:w="5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15,154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6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assets, net</w:t>
            </w:r>
          </w:p>
        </w:tc>
        <w:tc>
          <w:tcPr>
            <w:tcW w:w="1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580" w:type="dxa"/>
            <w:vAlign w:val="bottom"/>
          </w:tcPr>
          <w:p>
            <w:pPr>
              <w:jc w:val="right"/>
              <w:ind w:right="142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402</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03"/>
        </w:trPr>
        <w:tc>
          <w:tcPr>
            <w:tcW w:w="66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Intangible assets, net</w:t>
            </w:r>
          </w:p>
        </w:tc>
        <w:tc>
          <w:tcPr>
            <w:tcW w:w="15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445</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w:t>
            </w: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Non-current software hosting implementation costs</w:t>
            </w:r>
          </w:p>
        </w:tc>
        <w:tc>
          <w:tcPr>
            <w:tcW w:w="1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6,047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6,148</w:t>
            </w:r>
          </w:p>
        </w:tc>
      </w:tr>
      <w:tr>
        <w:trPr>
          <w:trHeight w:val="189"/>
        </w:trPr>
        <w:tc>
          <w:tcPr>
            <w:tcW w:w="6620" w:type="dxa"/>
            <w:vAlign w:val="bottom"/>
            <w:tcBorders>
              <w:bottom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Other assets, net</w:t>
            </w:r>
          </w:p>
        </w:tc>
        <w:tc>
          <w:tcPr>
            <w:tcW w:w="15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1,697</w:t>
            </w:r>
          </w:p>
        </w:tc>
        <w:tc>
          <w:tcPr>
            <w:tcW w:w="2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1,727</w:t>
            </w:r>
          </w:p>
        </w:tc>
      </w:tr>
      <w:tr>
        <w:trPr>
          <w:trHeight w:val="196"/>
        </w:trPr>
        <w:tc>
          <w:tcPr>
            <w:tcW w:w="6620" w:type="dxa"/>
            <w:vAlign w:val="bottom"/>
          </w:tcPr>
          <w:p>
            <w:pPr>
              <w:ind w:left="220"/>
              <w:spacing w:after="0" w:line="196" w:lineRule="exact"/>
              <w:rPr>
                <w:sz w:val="20"/>
                <w:szCs w:val="20"/>
                <w:color w:val="auto"/>
              </w:rPr>
            </w:pPr>
            <w:r>
              <w:rPr>
                <w:rFonts w:ascii="Arial" w:cs="Arial" w:eastAsia="Arial" w:hAnsi="Arial"/>
                <w:sz w:val="18"/>
                <w:szCs w:val="18"/>
                <w:color w:val="auto"/>
              </w:rPr>
              <w:t>Other assets, net</w:t>
            </w:r>
          </w:p>
        </w:tc>
        <w:tc>
          <w:tcPr>
            <w:tcW w:w="1580" w:type="dxa"/>
            <w:vAlign w:val="bottom"/>
          </w:tcPr>
          <w:p>
            <w:pPr>
              <w:jc w:val="right"/>
              <w:ind w:right="142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8,591</w:t>
            </w:r>
          </w:p>
        </w:tc>
        <w:tc>
          <w:tcPr>
            <w:tcW w:w="5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8,727</w:t>
            </w:r>
          </w:p>
        </w:tc>
      </w:tr>
      <w:tr>
        <w:trPr>
          <w:trHeight w:val="20"/>
        </w:trPr>
        <w:tc>
          <w:tcPr>
            <w:tcW w:w="66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Seasonality of Business</w:t>
      </w:r>
    </w:p>
    <w:p>
      <w:pPr>
        <w:spacing w:after="0" w:line="158" w:lineRule="exact"/>
        <w:rPr>
          <w:sz w:val="20"/>
          <w:szCs w:val="20"/>
          <w:color w:val="auto"/>
        </w:rPr>
      </w:pPr>
    </w:p>
    <w:p>
      <w:pPr>
        <w:ind w:right="280" w:firstLine="428"/>
        <w:spacing w:after="0" w:line="324" w:lineRule="auto"/>
        <w:rPr>
          <w:sz w:val="20"/>
          <w:szCs w:val="20"/>
          <w:color w:val="auto"/>
        </w:rPr>
      </w:pPr>
      <w:r>
        <w:rPr>
          <w:rFonts w:ascii="Arial" w:cs="Arial" w:eastAsia="Arial" w:hAnsi="Arial"/>
          <w:sz w:val="16"/>
          <w:szCs w:val="16"/>
          <w:color w:val="auto"/>
        </w:rPr>
        <w:t>The Company’s business is affected by the pattern of seasonality common to most apparel businesses. Historically, the Company has recognized a significant portion of its revenue and operating profit in the fourth fiscal quarter of each year due to increased sales during the holiday season.</w:t>
      </w:r>
    </w:p>
    <w:p>
      <w:pPr>
        <w:spacing w:after="0" w:line="7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5"/>
          <w:szCs w:val="15"/>
          <w:b w:val="1"/>
          <w:bCs w:val="1"/>
          <w:i w:val="1"/>
          <w:iCs w:val="1"/>
          <w:color w:val="auto"/>
        </w:rPr>
        <w:t>Cash and Cash Equivalents</w:t>
      </w:r>
    </w:p>
    <w:p>
      <w:pPr>
        <w:spacing w:after="0" w:line="171" w:lineRule="exact"/>
        <w:rPr>
          <w:sz w:val="20"/>
          <w:szCs w:val="20"/>
          <w:color w:val="auto"/>
        </w:rPr>
      </w:pPr>
    </w:p>
    <w:p>
      <w:pPr>
        <w:ind w:right="360" w:firstLine="428"/>
        <w:spacing w:after="0"/>
        <w:rPr>
          <w:sz w:val="20"/>
          <w:szCs w:val="20"/>
          <w:color w:val="auto"/>
        </w:rPr>
      </w:pPr>
      <w:r>
        <w:rPr>
          <w:rFonts w:ascii="Arial" w:cs="Arial" w:eastAsia="Arial" w:hAnsi="Arial"/>
          <w:sz w:val="18"/>
          <w:szCs w:val="18"/>
          <w:color w:val="auto"/>
        </w:rPr>
        <w:t>The Company considers short-term investments with original maturities of three months or less when purchased to be cash equivalents. Amounts receivable from credit card issuers are typically converted to cash within 2 to 4 days of the original sales transaction and are considered to be cash equivalents.</w:t>
      </w:r>
    </w:p>
    <w:p>
      <w:pPr>
        <w:spacing w:after="0" w:line="14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5"/>
          <w:szCs w:val="15"/>
          <w:b w:val="1"/>
          <w:bCs w:val="1"/>
          <w:i w:val="1"/>
          <w:iCs w:val="1"/>
          <w:color w:val="auto"/>
        </w:rPr>
        <w:t>Reclassifications</w:t>
      </w:r>
    </w:p>
    <w:p>
      <w:pPr>
        <w:spacing w:after="0" w:line="158" w:lineRule="exact"/>
        <w:rPr>
          <w:sz w:val="20"/>
          <w:szCs w:val="20"/>
          <w:color w:val="auto"/>
        </w:rPr>
      </w:pPr>
    </w:p>
    <w:p>
      <w:pPr>
        <w:ind w:right="140" w:firstLine="428"/>
        <w:spacing w:after="0" w:line="261" w:lineRule="auto"/>
        <w:rPr>
          <w:sz w:val="20"/>
          <w:szCs w:val="20"/>
          <w:color w:val="auto"/>
        </w:rPr>
      </w:pPr>
      <w:r>
        <w:rPr>
          <w:rFonts w:ascii="Arial" w:cs="Arial" w:eastAsia="Arial" w:hAnsi="Arial"/>
          <w:sz w:val="17"/>
          <w:szCs w:val="17"/>
          <w:color w:val="auto"/>
        </w:rPr>
        <w:t>Certain reclassifications have been made to the 2022 financial statements in order to conform to 2023 presentation. The Company reclassified $4.2 million and ($4.2) million from Property, Plant &amp; Equipment and Prepaid Expenses, respectively, in the prior period. There were no changes to previously reported shareholders' equity, statement of cash flows or net income (loss) as a result of the reclassifications.</w:t>
      </w:r>
    </w:p>
    <w:p>
      <w:pPr>
        <w:spacing w:after="0" w:line="132"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w:t>
      </w:r>
    </w:p>
    <w:p>
      <w:pPr>
        <w:spacing w:after="0" w:line="171" w:lineRule="exact"/>
        <w:rPr>
          <w:sz w:val="20"/>
          <w:szCs w:val="20"/>
          <w:color w:val="auto"/>
        </w:rPr>
      </w:pPr>
    </w:p>
    <w:p>
      <w:pPr>
        <w:ind w:right="120" w:firstLine="428"/>
        <w:spacing w:after="0" w:line="246" w:lineRule="auto"/>
        <w:rPr>
          <w:sz w:val="20"/>
          <w:szCs w:val="20"/>
          <w:color w:val="auto"/>
        </w:rPr>
      </w:pPr>
      <w:r>
        <w:rPr>
          <w:rFonts w:ascii="Arial" w:cs="Arial" w:eastAsia="Arial" w:hAnsi="Arial"/>
          <w:sz w:val="18"/>
          <w:szCs w:val="18"/>
          <w:color w:val="auto"/>
        </w:rPr>
        <w:t>There have been no significant changes to the Company’s significant accounting policies as described in the Company’s Annual Report on Form 10-K for the year ended January 29, 2023.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4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LEASES</w:t>
      </w:r>
    </w:p>
    <w:p>
      <w:pPr>
        <w:spacing w:after="0" w:line="175" w:lineRule="exact"/>
        <w:rPr>
          <w:sz w:val="20"/>
          <w:szCs w:val="20"/>
          <w:color w:val="auto"/>
        </w:rPr>
      </w:pPr>
    </w:p>
    <w:p>
      <w:pPr>
        <w:ind w:right="340" w:firstLine="492"/>
        <w:spacing w:after="0" w:line="247" w:lineRule="auto"/>
        <w:rPr>
          <w:sz w:val="20"/>
          <w:szCs w:val="20"/>
          <w:color w:val="auto"/>
        </w:rPr>
      </w:pPr>
      <w:r>
        <w:rPr>
          <w:rFonts w:ascii="Arial" w:cs="Arial" w:eastAsia="Arial" w:hAnsi="Arial"/>
          <w:sz w:val="17"/>
          <w:szCs w:val="17"/>
          <w:color w:val="auto"/>
        </w:rPr>
        <w:t xml:space="preserve">Based on the criteria set forth in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the Company recognizes Right-of-use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29" w:lineRule="exact"/>
        <w:rPr>
          <w:sz w:val="20"/>
          <w:szCs w:val="20"/>
          <w:color w:val="auto"/>
        </w:rPr>
      </w:pPr>
    </w:p>
    <w:p>
      <w:pPr>
        <w:ind w:right="200" w:firstLine="492"/>
        <w:spacing w:after="0" w:line="257" w:lineRule="auto"/>
        <w:rPr>
          <w:sz w:val="20"/>
          <w:szCs w:val="20"/>
          <w:color w:val="auto"/>
        </w:rPr>
      </w:pPr>
      <w:r>
        <w:rPr>
          <w:rFonts w:ascii="Arial" w:cs="Arial" w:eastAsia="Arial" w:hAnsi="Arial"/>
          <w:sz w:val="17"/>
          <w:szCs w:val="17"/>
          <w:color w:val="auto"/>
        </w:rPr>
        <w:t>The Company leases retail space under non-cancelable lease agreements, which expire on various dates through 2036. Substantially all of these arrangements are store leases. Store leases generally have initial lease terms ranging from five years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21" w:lineRule="exact"/>
        <w:rPr>
          <w:sz w:val="20"/>
          <w:szCs w:val="20"/>
          <w:color w:val="auto"/>
        </w:rPr>
      </w:pPr>
    </w:p>
    <w:p>
      <w:pPr>
        <w:ind w:right="560" w:firstLine="492"/>
        <w:spacing w:after="0" w:line="261" w:lineRule="auto"/>
        <w:rPr>
          <w:sz w:val="20"/>
          <w:szCs w:val="20"/>
          <w:color w:val="auto"/>
        </w:rPr>
      </w:pPr>
      <w:r>
        <w:rPr>
          <w:rFonts w:ascii="Arial" w:cs="Arial" w:eastAsia="Arial" w:hAnsi="Arial"/>
          <w:sz w:val="18"/>
          <w:szCs w:val="18"/>
          <w:color w:val="auto"/>
        </w:rPr>
        <w:t>When calculating the lease liability on a discounted basis, the Company applies its estimated discount. The Company bases this discount on a collateralized interest rate as well as publicly available data for instruments with similar characteristics.</w:t>
      </w:r>
    </w:p>
    <w:p>
      <w:pPr>
        <w:spacing w:after="0" w:line="117" w:lineRule="exact"/>
        <w:rPr>
          <w:sz w:val="20"/>
          <w:szCs w:val="20"/>
          <w:color w:val="auto"/>
        </w:rPr>
      </w:pPr>
    </w:p>
    <w:p>
      <w:pPr>
        <w:ind w:right="200" w:firstLine="492"/>
        <w:spacing w:after="0" w:line="324" w:lineRule="auto"/>
        <w:rPr>
          <w:sz w:val="20"/>
          <w:szCs w:val="20"/>
          <w:color w:val="auto"/>
        </w:rPr>
      </w:pPr>
      <w:r>
        <w:rPr>
          <w:rFonts w:ascii="Arial" w:cs="Arial" w:eastAsia="Arial" w:hAnsi="Arial"/>
          <w:sz w:val="16"/>
          <w:szCs w:val="16"/>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expense components of the Company’s leases reflected on the Company’s consolidated statement of operations were as follows: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Consolidated Statement</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of Operations</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April 30, 2023</w:t>
            </w:r>
          </w:p>
        </w:tc>
        <w:tc>
          <w:tcPr>
            <w:tcW w:w="2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7"/>
              </w:rPr>
              <w:t>May 1, 2022</w:t>
            </w:r>
          </w:p>
        </w:tc>
        <w:tc>
          <w:tcPr>
            <w:tcW w:w="0" w:type="dxa"/>
            <w:vAlign w:val="bottom"/>
          </w:tcPr>
          <w:p>
            <w:pPr>
              <w:spacing w:after="0"/>
              <w:rPr>
                <w:sz w:val="1"/>
                <w:szCs w:val="1"/>
                <w:color w:val="auto"/>
              </w:rPr>
            </w:pPr>
          </w:p>
        </w:tc>
      </w:tr>
      <w:tr>
        <w:trPr>
          <w:trHeight w:val="195"/>
        </w:trPr>
        <w:tc>
          <w:tcPr>
            <w:tcW w:w="32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Finance lease expenses</w:t>
            </w: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Amortization of right-of-use</w:t>
            </w:r>
          </w:p>
        </w:tc>
        <w:tc>
          <w:tcPr>
            <w:tcW w:w="3640" w:type="dxa"/>
            <w:vAlign w:val="bottom"/>
            <w:gridSpan w:val="3"/>
            <w:shd w:val="clear" w:color="auto" w:fill="CCEEFF"/>
          </w:tcPr>
          <w:p>
            <w:pPr>
              <w:ind w:left="1020"/>
              <w:spacing w:after="0" w:line="202" w:lineRule="exact"/>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206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w w:val="91"/>
              </w:rPr>
              <w:t>administrative‎</w:t>
            </w:r>
          </w:p>
        </w:tc>
        <w:tc>
          <w:tcPr>
            <w:tcW w:w="1580" w:type="dxa"/>
            <w:vAlign w:val="bottom"/>
            <w:tcBorders>
              <w:bottom w:val="single" w:sz="8" w:color="CCEEFF"/>
            </w:tcBorders>
            <w:shd w:val="clear" w:color="auto" w:fill="CCEEFF"/>
          </w:tcPr>
          <w:p>
            <w:pPr>
              <w:jc w:val="center"/>
              <w:ind w:right="790"/>
              <w:spacing w:after="0"/>
              <w:rPr>
                <w:sz w:val="20"/>
                <w:szCs w:val="20"/>
                <w:color w:val="auto"/>
              </w:rPr>
            </w:pPr>
            <w:r>
              <w:rPr>
                <w:rFonts w:ascii="Arial" w:cs="Arial" w:eastAsia="Arial" w:hAnsi="Arial"/>
                <w:sz w:val="18"/>
                <w:szCs w:val="18"/>
                <w:color w:val="auto"/>
                <w:w w:val="85"/>
              </w:rPr>
              <w:t>expenses</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80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30"/>
        </w:trPr>
        <w:tc>
          <w:tcPr>
            <w:tcW w:w="322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3640" w:type="dxa"/>
            <w:vAlign w:val="bottom"/>
            <w:gridSpan w:val="3"/>
          </w:tcPr>
          <w:p>
            <w:pPr>
              <w:ind w:left="10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2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finance lease expense</w:t>
            </w:r>
          </w:p>
        </w:tc>
        <w:tc>
          <w:tcPr>
            <w:tcW w:w="10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29"/>
        </w:trPr>
        <w:tc>
          <w:tcPr>
            <w:tcW w:w="322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3640" w:type="dxa"/>
            <w:vAlign w:val="bottom"/>
            <w:gridSpan w:val="3"/>
          </w:tcPr>
          <w:p>
            <w:pPr>
              <w:ind w:left="1020"/>
              <w:spacing w:after="0"/>
              <w:rPr>
                <w:sz w:val="20"/>
                <w:szCs w:val="20"/>
                <w:color w:val="auto"/>
              </w:rPr>
            </w:pPr>
            <w:r>
              <w:rPr>
                <w:rFonts w:ascii="Arial" w:cs="Arial" w:eastAsia="Arial" w:hAnsi="Arial"/>
                <w:sz w:val="18"/>
                <w:szCs w:val="18"/>
                <w:color w:val="auto"/>
              </w:rPr>
              <w:t>Selling, general and</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2060" w:type="dxa"/>
            <w:vAlign w:val="bottom"/>
            <w:gridSpan w:val="2"/>
          </w:tcPr>
          <w:p>
            <w:pPr>
              <w:ind w:left="1020"/>
              <w:spacing w:after="0"/>
              <w:rPr>
                <w:sz w:val="20"/>
                <w:szCs w:val="20"/>
                <w:color w:val="auto"/>
              </w:rPr>
            </w:pPr>
            <w:r>
              <w:rPr>
                <w:rFonts w:ascii="Arial" w:cs="Arial" w:eastAsia="Arial" w:hAnsi="Arial"/>
                <w:sz w:val="18"/>
                <w:szCs w:val="18"/>
                <w:color w:val="auto"/>
                <w:w w:val="91"/>
              </w:rPr>
              <w:t>administrative‎</w:t>
            </w:r>
          </w:p>
        </w:tc>
        <w:tc>
          <w:tcPr>
            <w:tcW w:w="1580" w:type="dxa"/>
            <w:vAlign w:val="bottom"/>
          </w:tcPr>
          <w:p>
            <w:pPr>
              <w:jc w:val="center"/>
              <w:ind w:right="790"/>
              <w:spacing w:after="0"/>
              <w:rPr>
                <w:sz w:val="20"/>
                <w:szCs w:val="20"/>
                <w:color w:val="auto"/>
              </w:rPr>
            </w:pPr>
            <w:r>
              <w:rPr>
                <w:rFonts w:ascii="Arial" w:cs="Arial" w:eastAsia="Arial" w:hAnsi="Arial"/>
                <w:sz w:val="18"/>
                <w:szCs w:val="18"/>
                <w:color w:val="auto"/>
                <w:w w:val="85"/>
              </w:rPr>
              <w:t>expenses</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5,050</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4,389</w:t>
            </w:r>
          </w:p>
        </w:tc>
        <w:tc>
          <w:tcPr>
            <w:tcW w:w="0" w:type="dxa"/>
            <w:vAlign w:val="bottom"/>
          </w:tcPr>
          <w:p>
            <w:pPr>
              <w:spacing w:after="0"/>
              <w:rPr>
                <w:sz w:val="1"/>
                <w:szCs w:val="1"/>
                <w:color w:val="auto"/>
              </w:rPr>
            </w:pPr>
          </w:p>
        </w:tc>
      </w:tr>
      <w:tr>
        <w:trPr>
          <w:trHeight w:val="175"/>
        </w:trPr>
        <w:tc>
          <w:tcPr>
            <w:tcW w:w="32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Amortization of build-to-suit</w:t>
            </w:r>
          </w:p>
        </w:tc>
        <w:tc>
          <w:tcPr>
            <w:tcW w:w="3640" w:type="dxa"/>
            <w:vAlign w:val="bottom"/>
            <w:gridSpan w:val="3"/>
            <w:vMerge w:val="restart"/>
            <w:shd w:val="clear" w:color="auto" w:fill="CCEEFF"/>
          </w:tcPr>
          <w:p>
            <w:pPr>
              <w:ind w:left="102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leases capital contribution</w:t>
            </w:r>
          </w:p>
        </w:tc>
        <w:tc>
          <w:tcPr>
            <w:tcW w:w="3640" w:type="dxa"/>
            <w:vAlign w:val="bottom"/>
            <w:gridSpan w:val="3"/>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3220" w:type="dxa"/>
            <w:vAlign w:val="bottom"/>
            <w:tcBorders>
              <w:bottom w:val="single" w:sz="8" w:color="CCEEFF"/>
            </w:tcBorders>
            <w:vMerge w:val="continue"/>
            <w:shd w:val="clear" w:color="auto" w:fill="CCEEFF"/>
          </w:tcPr>
          <w:p>
            <w:pPr>
              <w:spacing w:after="0"/>
              <w:rPr>
                <w:sz w:val="17"/>
                <w:szCs w:val="17"/>
                <w:color w:val="auto"/>
              </w:rPr>
            </w:pPr>
          </w:p>
        </w:tc>
        <w:tc>
          <w:tcPr>
            <w:tcW w:w="2060" w:type="dxa"/>
            <w:vAlign w:val="bottom"/>
            <w:tcBorders>
              <w:bottom w:val="single" w:sz="8" w:color="CCEEFF"/>
            </w:tcBorders>
            <w:gridSpan w:val="2"/>
            <w:shd w:val="clear" w:color="auto" w:fill="CCEEFF"/>
          </w:tcPr>
          <w:p>
            <w:pPr>
              <w:ind w:left="1020"/>
              <w:spacing w:after="0" w:line="197" w:lineRule="exact"/>
              <w:rPr>
                <w:sz w:val="20"/>
                <w:szCs w:val="20"/>
                <w:color w:val="auto"/>
              </w:rPr>
            </w:pPr>
            <w:r>
              <w:rPr>
                <w:rFonts w:ascii="Arial" w:cs="Arial" w:eastAsia="Arial" w:hAnsi="Arial"/>
                <w:sz w:val="18"/>
                <w:szCs w:val="18"/>
                <w:color w:val="auto"/>
                <w:w w:val="91"/>
              </w:rPr>
              <w:t>administrative‎</w:t>
            </w:r>
          </w:p>
        </w:tc>
        <w:tc>
          <w:tcPr>
            <w:tcW w:w="1580" w:type="dxa"/>
            <w:vAlign w:val="bottom"/>
            <w:tcBorders>
              <w:bottom w:val="single" w:sz="8" w:color="CCEEFF"/>
            </w:tcBorders>
            <w:shd w:val="clear" w:color="auto" w:fill="CCEEFF"/>
          </w:tcPr>
          <w:p>
            <w:pPr>
              <w:jc w:val="center"/>
              <w:ind w:right="790"/>
              <w:spacing w:after="0" w:line="197" w:lineRule="exact"/>
              <w:rPr>
                <w:sz w:val="20"/>
                <w:szCs w:val="20"/>
                <w:color w:val="auto"/>
              </w:rPr>
            </w:pPr>
            <w:r>
              <w:rPr>
                <w:rFonts w:ascii="Arial" w:cs="Arial" w:eastAsia="Arial" w:hAnsi="Arial"/>
                <w:sz w:val="18"/>
                <w:szCs w:val="18"/>
                <w:color w:val="auto"/>
                <w:w w:val="85"/>
              </w:rPr>
              <w:t>expenses</w:t>
            </w: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321</w:t>
            </w:r>
          </w:p>
        </w:tc>
        <w:tc>
          <w:tcPr>
            <w:tcW w:w="2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9"/>
        </w:trPr>
        <w:tc>
          <w:tcPr>
            <w:tcW w:w="3220" w:type="dxa"/>
            <w:vAlign w:val="bottom"/>
          </w:tcPr>
          <w:p>
            <w:pPr>
              <w:spacing w:after="0"/>
              <w:rPr>
                <w:sz w:val="20"/>
                <w:szCs w:val="20"/>
                <w:color w:val="auto"/>
              </w:rPr>
            </w:pPr>
            <w:r>
              <w:rPr>
                <w:rFonts w:ascii="Arial" w:cs="Arial" w:eastAsia="Arial" w:hAnsi="Arial"/>
                <w:sz w:val="18"/>
                <w:szCs w:val="18"/>
                <w:color w:val="auto"/>
              </w:rPr>
              <w:t>Variable lease expense</w:t>
            </w:r>
          </w:p>
        </w:tc>
        <w:tc>
          <w:tcPr>
            <w:tcW w:w="3640" w:type="dxa"/>
            <w:vAlign w:val="bottom"/>
            <w:gridSpan w:val="3"/>
          </w:tcPr>
          <w:p>
            <w:pPr>
              <w:ind w:left="1020"/>
              <w:spacing w:after="0"/>
              <w:rPr>
                <w:sz w:val="20"/>
                <w:szCs w:val="20"/>
                <w:color w:val="auto"/>
              </w:rPr>
            </w:pPr>
            <w:r>
              <w:rPr>
                <w:rFonts w:ascii="Arial" w:cs="Arial" w:eastAsia="Arial" w:hAnsi="Arial"/>
                <w:sz w:val="18"/>
                <w:szCs w:val="18"/>
                <w:color w:val="auto"/>
              </w:rPr>
              <w:t>Selling, general and</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3640" w:type="dxa"/>
            <w:vAlign w:val="bottom"/>
            <w:gridSpan w:val="3"/>
          </w:tcPr>
          <w:p>
            <w:pPr>
              <w:ind w:left="1020"/>
              <w:spacing w:after="0"/>
              <w:rPr>
                <w:sz w:val="20"/>
                <w:szCs w:val="20"/>
                <w:color w:val="auto"/>
              </w:rPr>
            </w:pPr>
            <w:r>
              <w:rPr>
                <w:rFonts w:ascii="Arial" w:cs="Arial" w:eastAsia="Arial" w:hAnsi="Arial"/>
                <w:sz w:val="18"/>
                <w:szCs w:val="18"/>
                <w:color w:val="auto"/>
              </w:rPr>
              <w:t>‎administrative expenses</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2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36"/>
        </w:trPr>
        <w:tc>
          <w:tcPr>
            <w:tcW w:w="3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expense</w:t>
            </w:r>
          </w:p>
        </w:tc>
        <w:tc>
          <w:tcPr>
            <w:tcW w:w="10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9,563</w:t>
            </w:r>
          </w:p>
        </w:tc>
        <w:tc>
          <w:tcPr>
            <w:tcW w:w="800" w:type="dxa"/>
            <w:vAlign w:val="bottom"/>
            <w:gridSpan w:val="2"/>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7,988</w:t>
            </w:r>
          </w:p>
        </w:tc>
        <w:tc>
          <w:tcPr>
            <w:tcW w:w="0" w:type="dxa"/>
            <w:vAlign w:val="bottom"/>
          </w:tcPr>
          <w:p>
            <w:pPr>
              <w:spacing w:after="0"/>
              <w:rPr>
                <w:sz w:val="1"/>
                <w:szCs w:val="1"/>
                <w:color w:val="auto"/>
              </w:rPr>
            </w:pPr>
          </w:p>
        </w:tc>
      </w:tr>
      <w:tr>
        <w:trPr>
          <w:trHeight w:val="777"/>
        </w:trPr>
        <w:tc>
          <w:tcPr>
            <w:tcW w:w="32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tcPr>
          <w:p>
            <w:pPr>
              <w:jc w:val="center"/>
              <w:ind w:right="790"/>
              <w:spacing w:after="0"/>
              <w:rPr>
                <w:sz w:val="20"/>
                <w:szCs w:val="20"/>
                <w:color w:val="auto"/>
              </w:rPr>
            </w:pPr>
            <w:r>
              <w:rPr>
                <w:rFonts w:ascii="Arial" w:cs="Arial" w:eastAsia="Arial" w:hAnsi="Arial"/>
                <w:sz w:val="18"/>
                <w:szCs w:val="18"/>
                <w:color w:val="auto"/>
                <w:w w:val="89"/>
              </w:rPr>
              <w:t>12</w:t>
            </w: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information related to leases were as follows:</w:t>
      </w:r>
    </w:p>
    <w:p>
      <w:pPr>
        <w:spacing w:after="0" w:line="284"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6350</wp:posOffset>
            </wp:positionV>
            <wp:extent cx="26835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8351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2023</w:t>
            </w:r>
          </w:p>
        </w:tc>
        <w:tc>
          <w:tcPr>
            <w:tcW w:w="5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May 1, 2022</w:t>
            </w:r>
          </w:p>
        </w:tc>
      </w:tr>
      <w:tr>
        <w:trPr>
          <w:trHeight w:val="210"/>
        </w:trPr>
        <w:tc>
          <w:tcPr>
            <w:tcW w:w="62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2300" w:type="dxa"/>
            <w:vAlign w:val="bottom"/>
            <w:gridSpan w:val="2"/>
          </w:tcPr>
          <w:p>
            <w:pPr>
              <w:jc w:val="right"/>
              <w:ind w:right="134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694</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16"/>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2300" w:type="dxa"/>
            <w:vAlign w:val="bottom"/>
            <w:gridSpan w:val="2"/>
            <w:shd w:val="clear" w:color="auto" w:fill="CCEEFF"/>
          </w:tcPr>
          <w:p>
            <w:pPr>
              <w:jc w:val="right"/>
              <w:ind w:right="134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30"/>
        </w:trPr>
        <w:tc>
          <w:tcPr>
            <w:tcW w:w="622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2300" w:type="dxa"/>
            <w:vAlign w:val="bottom"/>
            <w:gridSpan w:val="2"/>
          </w:tcPr>
          <w:p>
            <w:pPr>
              <w:jc w:val="right"/>
              <w:ind w:right="134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5,135</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4,439</w:t>
            </w:r>
          </w:p>
        </w:tc>
      </w:tr>
      <w:tr>
        <w:trPr>
          <w:trHeight w:val="216"/>
        </w:trPr>
        <w:tc>
          <w:tcPr>
            <w:tcW w:w="6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Right-of-use assets obtained in exchange for lease liabilities:</w:t>
            </w: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0"/>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8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29"/>
        </w:trPr>
        <w:tc>
          <w:tcPr>
            <w:tcW w:w="622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9"/>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discount rate:</w:t>
            </w:r>
          </w:p>
        </w:tc>
        <w:tc>
          <w:tcPr>
            <w:tcW w:w="8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bl>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the non-cancellable leases are as follows as of April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Fiscal year</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Finance</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Operating</w:t>
            </w:r>
          </w:p>
        </w:tc>
      </w:tr>
      <w:tr>
        <w:trPr>
          <w:trHeight w:val="210"/>
        </w:trPr>
        <w:tc>
          <w:tcPr>
            <w:tcW w:w="68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9"/>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2023 (remainder of fiscal year)</w:t>
            </w:r>
          </w:p>
        </w:tc>
        <w:tc>
          <w:tcPr>
            <w:tcW w:w="60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5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15,569</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4,736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20,313</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19,648</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3,993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18,795</w:t>
            </w:r>
          </w:p>
        </w:tc>
      </w:tr>
      <w:tr>
        <w:trPr>
          <w:trHeight w:val="229"/>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17,545</w:t>
            </w:r>
          </w:p>
        </w:tc>
      </w:tr>
      <w:tr>
        <w:trPr>
          <w:trHeight w:val="216"/>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29,231</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61,036</w:t>
            </w: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future minimum lease payments</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50,471</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152,906</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Less – Discount</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(10,898)</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(23,174)</w:t>
            </w: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Lease liability</w:t>
            </w:r>
          </w:p>
        </w:tc>
        <w:tc>
          <w:tcPr>
            <w:tcW w:w="600" w:type="dxa"/>
            <w:vAlign w:val="bottom"/>
            <w:gridSpan w:val="2"/>
            <w:shd w:val="clear" w:color="auto" w:fill="CCEEFF"/>
          </w:tcPr>
          <w:p>
            <w:pPr>
              <w:jc w:val="right"/>
              <w:ind w:right="247"/>
              <w:spacing w:after="0" w:line="196"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39,573</w:t>
            </w:r>
          </w:p>
        </w:tc>
        <w:tc>
          <w:tcPr>
            <w:tcW w:w="540" w:type="dxa"/>
            <w:vAlign w:val="bottom"/>
            <w:gridSpan w:val="2"/>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129,732</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40" w:right="8040" w:hanging="432"/>
        <w:spacing w:after="0" w:line="454" w:lineRule="auto"/>
        <w:tabs>
          <w:tab w:leader="none" w:pos="327"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DEBT AND CREDIT AGREEMENT </w:t>
      </w:r>
      <w:r>
        <w:rPr>
          <w:rFonts w:ascii="Arial" w:cs="Arial" w:eastAsia="Arial" w:hAnsi="Arial"/>
          <w:sz w:val="18"/>
          <w:szCs w:val="18"/>
          <w:color w:val="auto"/>
        </w:rPr>
        <w:t>Debt consists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April 30, 2023</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January 29, 2023</w:t>
            </w:r>
          </w:p>
        </w:tc>
      </w:tr>
      <w:tr>
        <w:trPr>
          <w:trHeight w:val="210"/>
        </w:trPr>
        <w:tc>
          <w:tcPr>
            <w:tcW w:w="47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TRI Senior Secured Note</w:t>
            </w:r>
          </w:p>
        </w:tc>
        <w:tc>
          <w:tcPr>
            <w:tcW w:w="31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23,013</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23,181</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TRI Note</w:t>
            </w:r>
          </w:p>
        </w:tc>
        <w:tc>
          <w:tcPr>
            <w:tcW w:w="2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r>
      <w:tr>
        <w:trPr>
          <w:trHeight w:val="209"/>
        </w:trPr>
        <w:tc>
          <w:tcPr>
            <w:tcW w:w="470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26,513</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26,681</w:t>
            </w:r>
          </w:p>
        </w:tc>
      </w:tr>
      <w:tr>
        <w:trPr>
          <w:trHeight w:val="216"/>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28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r>
      <w:tr>
        <w:trPr>
          <w:trHeight w:val="222"/>
        </w:trPr>
        <w:tc>
          <w:tcPr>
            <w:tcW w:w="47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TRI long-term debt</w:t>
            </w:r>
          </w:p>
        </w:tc>
        <w:tc>
          <w:tcPr>
            <w:tcW w:w="28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25,726</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25,913</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 Holdings, LLC</w:t>
      </w:r>
    </w:p>
    <w:p>
      <w:pPr>
        <w:spacing w:after="0" w:line="171" w:lineRule="exact"/>
        <w:rPr>
          <w:sz w:val="20"/>
          <w:szCs w:val="20"/>
          <w:color w:val="auto"/>
        </w:rPr>
      </w:pPr>
    </w:p>
    <w:p>
      <w:pPr>
        <w:jc w:val="both"/>
        <w:ind w:right="460" w:firstLine="428"/>
        <w:spacing w:after="0" w:line="230" w:lineRule="auto"/>
        <w:rPr>
          <w:sz w:val="20"/>
          <w:szCs w:val="20"/>
          <w:color w:val="auto"/>
        </w:rPr>
      </w:pPr>
      <w:r>
        <w:rPr>
          <w:rFonts w:ascii="Arial" w:cs="Arial" w:eastAsia="Arial" w:hAnsi="Arial"/>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47" w:lineRule="exact"/>
        <w:rPr>
          <w:sz w:val="20"/>
          <w:szCs w:val="20"/>
          <w:color w:val="auto"/>
        </w:rPr>
      </w:pPr>
    </w:p>
    <w:p>
      <w:pPr>
        <w:ind w:right="220" w:firstLine="428"/>
        <w:spacing w:after="0" w:line="246" w:lineRule="auto"/>
        <w:rPr>
          <w:sz w:val="20"/>
          <w:szCs w:val="20"/>
          <w:color w:val="auto"/>
        </w:rPr>
      </w:pPr>
      <w:r>
        <w:rPr>
          <w:rFonts w:ascii="Arial" w:cs="Arial" w:eastAsia="Arial" w:hAnsi="Arial"/>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While the above notes are consolidated in accordance with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the Company is not the guarantor nor obligor of these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71" w:lineRule="exact"/>
        <w:rPr>
          <w:sz w:val="20"/>
          <w:szCs w:val="20"/>
          <w:color w:val="auto"/>
        </w:rPr>
      </w:pPr>
    </w:p>
    <w:p>
      <w:pPr>
        <w:ind w:right="40" w:firstLine="428"/>
        <w:spacing w:after="0" w:line="245" w:lineRule="auto"/>
        <w:rPr>
          <w:sz w:val="20"/>
          <w:szCs w:val="20"/>
          <w:color w:val="auto"/>
        </w:rPr>
      </w:pPr>
      <w:r>
        <w:rPr>
          <w:rFonts w:ascii="Arial" w:cs="Arial" w:eastAsia="Arial" w:hAnsi="Arial"/>
          <w:sz w:val="17"/>
          <w:szCs w:val="17"/>
          <w:color w:val="auto"/>
        </w:rPr>
        <w:t>On May 14, 2021, the Company entered into a credit agreement (the “Credit Agreement”), which was treated as a modification for accounting purposes. The Credit Agreement originally matured on May 14, 2026 and provided for borrowings of up to $150.0 million that were available under a revolving senior credit facility, with a $5.0 million sublimit for issuance of standby letters of credit, as well as a $10.0 million sublimit for swing line loans. At the Company’s option, the interest rate applicable to the revolving senior credit facility was a floating rate equal to: (i) the Bloomberg Short-Term Bank Yield Index rate (“BSBY”) plus the applicable rate of 1.25% to 2.00% determined based on the Company’s rent adjusted leverage ratio, or (ii) the base rate plus the applicable rate of 0.25% to 1.00% based on the Company’s rent adjusted leverage ratio. The Credit Agreement was secured by essentially all Company assets and requires the Company to maintain compliance with certain financial and non-financial covenants, including a maximum rent adjusted leverage ratio and a minimum fixed charge coverage ratio as defined in the Credit Agreement.</w:t>
      </w:r>
    </w:p>
    <w:p>
      <w:pPr>
        <w:spacing w:after="0" w:line="132" w:lineRule="exact"/>
        <w:rPr>
          <w:sz w:val="20"/>
          <w:szCs w:val="20"/>
          <w:color w:val="auto"/>
        </w:rPr>
      </w:pPr>
    </w:p>
    <w:p>
      <w:pPr>
        <w:ind w:right="700" w:firstLine="428"/>
        <w:spacing w:after="0" w:line="265" w:lineRule="auto"/>
        <w:rPr>
          <w:sz w:val="20"/>
          <w:szCs w:val="20"/>
          <w:color w:val="auto"/>
        </w:rPr>
      </w:pPr>
      <w:r>
        <w:rPr>
          <w:rFonts w:ascii="Arial" w:cs="Arial" w:eastAsia="Arial" w:hAnsi="Arial"/>
          <w:sz w:val="16"/>
          <w:szCs w:val="16"/>
          <w:color w:val="auto"/>
        </w:rPr>
        <w:t>On July 8, 2022, the Company entered into the First Amendment to the Credit Agreement (the “First Amendment”), which was treated as a modification for accounting purposes. The First Amendment amends the Credit Agreement in order to (i) increase the revolving commitment from</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$150 million to $200 million; (ii) extend the maturity date from May 14, 2026 to July 8, 2027; (iii) amend the pricing index to replace BSBY with the Term Secured Overnight Financing Rate; and (iv) to reduce the commitment fee in some instances.</w:t>
      </w:r>
    </w:p>
    <w:p>
      <w:pPr>
        <w:spacing w:after="0" w:line="132" w:lineRule="exact"/>
        <w:rPr>
          <w:sz w:val="20"/>
          <w:szCs w:val="20"/>
          <w:color w:val="auto"/>
        </w:rPr>
      </w:pPr>
    </w:p>
    <w:p>
      <w:pPr>
        <w:ind w:right="160" w:firstLine="428"/>
        <w:spacing w:after="0" w:line="261" w:lineRule="auto"/>
        <w:rPr>
          <w:sz w:val="20"/>
          <w:szCs w:val="20"/>
          <w:color w:val="auto"/>
        </w:rPr>
      </w:pPr>
      <w:r>
        <w:rPr>
          <w:rFonts w:ascii="Arial" w:cs="Arial" w:eastAsia="Arial" w:hAnsi="Arial"/>
          <w:sz w:val="18"/>
          <w:szCs w:val="18"/>
          <w:color w:val="auto"/>
        </w:rPr>
        <w:t>As of April 30, 2023 and for the three months then ended, the Company was in compliance with all financial and non-financial covenants contained within the Credit Agreement and the First Amendment.</w:t>
      </w:r>
    </w:p>
    <w:p>
      <w:pPr>
        <w:spacing w:after="0" w:line="315" w:lineRule="exact"/>
        <w:rPr>
          <w:sz w:val="20"/>
          <w:szCs w:val="20"/>
          <w:color w:val="auto"/>
        </w:rPr>
      </w:pPr>
    </w:p>
    <w:p>
      <w:pPr>
        <w:ind w:left="440" w:right="5720" w:hanging="432"/>
        <w:spacing w:after="0" w:line="541" w:lineRule="auto"/>
        <w:tabs>
          <w:tab w:leader="none" w:pos="327"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 of the following:</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April 30, 2023</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January 29, 2023</w:t>
            </w:r>
          </w:p>
        </w:tc>
      </w:tr>
      <w:tr>
        <w:trPr>
          <w:trHeight w:val="210"/>
        </w:trPr>
        <w:tc>
          <w:tcPr>
            <w:tcW w:w="75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10,249</w:t>
            </w: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Product returns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4,259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5,168</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Unpaid purchases of property &amp; equipment</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Accrued advertising</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2,386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03"/>
        </w:trPr>
        <w:tc>
          <w:tcPr>
            <w:tcW w:w="75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6,571</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7,510</w:t>
            </w:r>
          </w:p>
        </w:tc>
      </w:tr>
      <w:tr>
        <w:trPr>
          <w:trHeight w:val="196"/>
        </w:trPr>
        <w:tc>
          <w:tcPr>
            <w:tcW w:w="7520" w:type="dxa"/>
            <w:vAlign w:val="bottom"/>
          </w:tcPr>
          <w:p>
            <w:pPr>
              <w:spacing w:after="0" w:line="196" w:lineRule="exact"/>
              <w:rPr>
                <w:sz w:val="20"/>
                <w:szCs w:val="20"/>
                <w:color w:val="auto"/>
              </w:rPr>
            </w:pPr>
            <w:r>
              <w:rPr>
                <w:rFonts w:ascii="Arial" w:cs="Arial" w:eastAsia="Arial" w:hAnsi="Arial"/>
                <w:sz w:val="18"/>
                <w:szCs w:val="18"/>
                <w:color w:val="auto"/>
              </w:rPr>
              <w:t>Total accrued expenses and other current liabilities</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30,921</w:t>
            </w:r>
          </w:p>
        </w:tc>
        <w:tc>
          <w:tcPr>
            <w:tcW w:w="4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40,815</w:t>
            </w:r>
          </w:p>
        </w:tc>
      </w:tr>
      <w:tr>
        <w:trPr>
          <w:trHeight w:val="20"/>
        </w:trPr>
        <w:tc>
          <w:tcPr>
            <w:tcW w:w="7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FAIR VALUE</w:t>
      </w:r>
    </w:p>
    <w:p>
      <w:pPr>
        <w:spacing w:after="0" w:line="175" w:lineRule="exact"/>
        <w:rPr>
          <w:sz w:val="20"/>
          <w:szCs w:val="20"/>
          <w:color w:val="auto"/>
        </w:rPr>
      </w:pPr>
    </w:p>
    <w:p>
      <w:pPr>
        <w:ind w:right="60" w:firstLine="440"/>
        <w:spacing w:after="0" w:line="246"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47" w:lineRule="exact"/>
        <w:rPr>
          <w:sz w:val="20"/>
          <w:szCs w:val="20"/>
          <w:color w:val="auto"/>
        </w:rPr>
      </w:pPr>
    </w:p>
    <w:p>
      <w:pPr>
        <w:ind w:right="180" w:firstLine="440"/>
        <w:spacing w:after="0"/>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183" w:lineRule="exact"/>
        <w:rPr>
          <w:sz w:val="20"/>
          <w:szCs w:val="20"/>
          <w:color w:val="auto"/>
        </w:rPr>
      </w:pPr>
    </w:p>
    <w:p>
      <w:pPr>
        <w:ind w:right="60" w:firstLine="440"/>
        <w:spacing w:after="0" w:line="265" w:lineRule="auto"/>
        <w:rPr>
          <w:sz w:val="20"/>
          <w:szCs w:val="20"/>
          <w:color w:val="auto"/>
        </w:rPr>
      </w:pPr>
      <w:r>
        <w:rPr>
          <w:rFonts w:ascii="Arial" w:cs="Arial" w:eastAsia="Arial" w:hAnsi="Arial"/>
          <w:sz w:val="16"/>
          <w:szCs w:val="16"/>
          <w:color w:val="auto"/>
        </w:rPr>
        <w:t>The Company’s assets and liabilities measured at fair value are categorized as Level 1 or Level 3 instruments. The fair value of the Company’s money market account is obtained from real-time quotes for transactions in active exchange markets involving identical assets (Level 1). The fair value of the Company’s available-for-sale security was valued based on a discounted cash flow method (Level 3), which incorporates the U.S. Treasury yield curve, credit information and an estimate of future cash flows. During fiscal 2022, certain changes in the inputs did impact the fair value of the available-for-sale security. The calculated fair value is based on estimates that are subjective in nature and involve uncertainties and matters of significant judgement and, therefore, cannot be determined with precision. Changes in assumptions could significantly affect the estimates.</w:t>
      </w:r>
    </w:p>
    <w:p>
      <w:pPr>
        <w:spacing w:after="0" w:line="145" w:lineRule="exact"/>
        <w:rPr>
          <w:sz w:val="20"/>
          <w:szCs w:val="20"/>
          <w:color w:val="auto"/>
        </w:rPr>
      </w:pPr>
    </w:p>
    <w:p>
      <w:pPr>
        <w:ind w:right="300" w:firstLine="440"/>
        <w:spacing w:after="0" w:line="246" w:lineRule="auto"/>
        <w:rPr>
          <w:sz w:val="20"/>
          <w:szCs w:val="20"/>
          <w:color w:val="auto"/>
        </w:rPr>
      </w:pPr>
      <w:r>
        <w:rPr>
          <w:rFonts w:ascii="Arial" w:cs="Arial" w:eastAsia="Arial" w:hAnsi="Arial"/>
          <w:sz w:val="18"/>
          <w:szCs w:val="18"/>
          <w:color w:val="auto"/>
        </w:rPr>
        <w:t>The amortized cost and fair value of the Company’s money market account and available-for-sale security and the corresponding amount of gross unrealized gains and losses recognized in accumulated other comprehensive income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April 30, 2023</w:t>
            </w: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224"/>
        </w:trPr>
        <w:tc>
          <w:tcPr>
            <w:tcW w:w="4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41"/>
              <w:spacing w:after="0"/>
              <w:rPr>
                <w:sz w:val="20"/>
                <w:szCs w:val="20"/>
                <w:color w:val="auto"/>
              </w:rPr>
            </w:pPr>
            <w:r>
              <w:rPr>
                <w:rFonts w:ascii="Arial" w:cs="Arial" w:eastAsia="Arial" w:hAnsi="Arial"/>
                <w:sz w:val="14"/>
                <w:szCs w:val="14"/>
                <w:b w:val="1"/>
                <w:bCs w:val="1"/>
                <w:color w:val="auto"/>
              </w:rPr>
              <w:t>Cost or</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center"/>
              <w:ind w:right="222"/>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461"/>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center"/>
              <w:ind w:right="222"/>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Arial" w:cs="Arial" w:eastAsia="Arial" w:hAnsi="Arial"/>
                <w:sz w:val="14"/>
                <w:szCs w:val="14"/>
                <w:b w:val="1"/>
                <w:bCs w:val="1"/>
                <w:color w:val="auto"/>
              </w:rPr>
              <w:t>Estimated</w:t>
            </w:r>
          </w:p>
        </w:tc>
      </w:tr>
      <w:tr>
        <w:trPr>
          <w:trHeight w:val="201"/>
        </w:trPr>
        <w:tc>
          <w:tcPr>
            <w:tcW w:w="4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4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Level 1 security:</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460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ind w:left="11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4600" w:type="dxa"/>
            <w:vAlign w:val="bottom"/>
          </w:tcPr>
          <w:p>
            <w:pPr>
              <w:spacing w:after="0"/>
              <w:rPr>
                <w:sz w:val="20"/>
                <w:szCs w:val="20"/>
                <w:color w:val="auto"/>
              </w:rPr>
            </w:pPr>
            <w:r>
              <w:rPr>
                <w:rFonts w:ascii="Arial" w:cs="Arial" w:eastAsia="Arial" w:hAnsi="Arial"/>
                <w:sz w:val="18"/>
                <w:szCs w:val="18"/>
                <w:color w:val="auto"/>
              </w:rPr>
              <w:t>Level 3 security:</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trust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5,693</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8"/>
              </w:rPr>
              <w:t>January 29, 2023</w:t>
            </w: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225"/>
        </w:trPr>
        <w:tc>
          <w:tcPr>
            <w:tcW w:w="4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41"/>
              <w:spacing w:after="0"/>
              <w:rPr>
                <w:sz w:val="20"/>
                <w:szCs w:val="20"/>
                <w:color w:val="auto"/>
              </w:rPr>
            </w:pPr>
            <w:r>
              <w:rPr>
                <w:rFonts w:ascii="Arial" w:cs="Arial" w:eastAsia="Arial" w:hAnsi="Arial"/>
                <w:sz w:val="14"/>
                <w:szCs w:val="14"/>
                <w:b w:val="1"/>
                <w:bCs w:val="1"/>
                <w:color w:val="auto"/>
              </w:rPr>
              <w:t>Cost or</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center"/>
              <w:ind w:right="222"/>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center"/>
              <w:ind w:right="121"/>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461"/>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center"/>
              <w:ind w:right="222"/>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Arial" w:cs="Arial" w:eastAsia="Arial" w:hAnsi="Arial"/>
                <w:sz w:val="14"/>
                <w:szCs w:val="14"/>
                <w:b w:val="1"/>
                <w:bCs w:val="1"/>
                <w:color w:val="auto"/>
              </w:rPr>
              <w:t>Estimated</w:t>
            </w:r>
          </w:p>
        </w:tc>
      </w:tr>
      <w:tr>
        <w:trPr>
          <w:trHeight w:val="201"/>
        </w:trPr>
        <w:tc>
          <w:tcPr>
            <w:tcW w:w="4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4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Level 1 security:</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460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
              <w:spacing w:after="0"/>
              <w:rPr>
                <w:sz w:val="20"/>
                <w:szCs w:val="20"/>
                <w:color w:val="auto"/>
              </w:rPr>
            </w:pPr>
            <w:r>
              <w:rPr>
                <w:rFonts w:ascii="Arial" w:cs="Arial" w:eastAsia="Arial" w:hAnsi="Arial"/>
                <w:sz w:val="18"/>
                <w:szCs w:val="18"/>
                <w:color w:val="auto"/>
              </w:rPr>
              <w:t>25,031</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ind w:left="1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25,031</w:t>
            </w:r>
          </w:p>
        </w:tc>
      </w:tr>
      <w:tr>
        <w:trPr>
          <w:trHeight w:val="432"/>
        </w:trPr>
        <w:tc>
          <w:tcPr>
            <w:tcW w:w="4600" w:type="dxa"/>
            <w:vAlign w:val="bottom"/>
          </w:tcPr>
          <w:p>
            <w:pPr>
              <w:spacing w:after="0"/>
              <w:rPr>
                <w:sz w:val="20"/>
                <w:szCs w:val="20"/>
                <w:color w:val="auto"/>
              </w:rPr>
            </w:pPr>
            <w:r>
              <w:rPr>
                <w:rFonts w:ascii="Arial" w:cs="Arial" w:eastAsia="Arial" w:hAnsi="Arial"/>
                <w:sz w:val="18"/>
                <w:szCs w:val="18"/>
                <w:color w:val="auto"/>
              </w:rPr>
              <w:t>Level 3 security:</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trust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5,737</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w:t>
            </w:r>
          </w:p>
        </w:tc>
      </w:tr>
    </w:tbl>
    <w:p>
      <w:pPr>
        <w:spacing w:after="0" w:line="36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does not intend to sell the available-for-sale-security in the near term and does not believe that it will be required to sell the security.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securities on a quarterly basis to monitor its exposure to other-than-temporary impairment.</w:t>
      </w:r>
    </w:p>
    <w:p>
      <w:pPr>
        <w:spacing w:after="0" w:line="155" w:lineRule="exact"/>
        <w:rPr>
          <w:sz w:val="20"/>
          <w:szCs w:val="20"/>
          <w:color w:val="auto"/>
        </w:rPr>
      </w:pPr>
    </w:p>
    <w:p>
      <w:pPr>
        <w:ind w:right="340" w:firstLine="492"/>
        <w:spacing w:after="0" w:line="246" w:lineRule="auto"/>
        <w:rPr>
          <w:sz w:val="20"/>
          <w:szCs w:val="20"/>
          <w:color w:val="auto"/>
        </w:rPr>
      </w:pPr>
      <w:r>
        <w:rPr>
          <w:rFonts w:ascii="Arial" w:cs="Arial" w:eastAsia="Arial" w:hAnsi="Arial"/>
          <w:sz w:val="18"/>
          <w:szCs w:val="18"/>
          <w:color w:val="auto"/>
        </w:rPr>
        <w:t>No other-than-temporary impairment was recorded in the unaudited condensed consolidated statements of operations for the three months ended April 30, 2023 or May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presents future principal receipts related to the Company’s available-for-sale security by contractual maturity as of April 30,</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860" w:type="dxa"/>
            <w:vAlign w:val="bottom"/>
          </w:tcPr>
          <w:p>
            <w:pPr>
              <w:jc w:val="right"/>
              <w:ind w:right="159"/>
              <w:spacing w:after="0"/>
              <w:rPr>
                <w:sz w:val="20"/>
                <w:szCs w:val="20"/>
                <w:color w:val="auto"/>
              </w:rPr>
            </w:pPr>
            <w:r>
              <w:rPr>
                <w:rFonts w:ascii="Arial" w:cs="Arial" w:eastAsia="Arial" w:hAnsi="Arial"/>
                <w:sz w:val="14"/>
                <w:szCs w:val="14"/>
                <w:b w:val="1"/>
                <w:bCs w:val="1"/>
                <w:color w:val="auto"/>
              </w:rPr>
              <w:t>Amortized</w:t>
            </w: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40" w:type="dxa"/>
            <w:vAlign w:val="bottom"/>
          </w:tcPr>
          <w:p>
            <w:pPr>
              <w:jc w:val="right"/>
              <w:ind w:right="775"/>
              <w:spacing w:after="0"/>
              <w:rPr>
                <w:sz w:val="20"/>
                <w:szCs w:val="20"/>
                <w:color w:val="auto"/>
              </w:rPr>
            </w:pPr>
            <w:r>
              <w:rPr>
                <w:rFonts w:ascii="Arial" w:cs="Arial" w:eastAsia="Arial" w:hAnsi="Arial"/>
                <w:sz w:val="14"/>
                <w:szCs w:val="14"/>
                <w:b w:val="1"/>
                <w:bCs w:val="1"/>
                <w:color w:val="auto"/>
              </w:rPr>
              <w:t>Estimated</w:t>
            </w:r>
          </w:p>
        </w:tc>
      </w:tr>
      <w:tr>
        <w:trPr>
          <w:trHeight w:val="201"/>
        </w:trPr>
        <w:tc>
          <w:tcPr>
            <w:tcW w:w="6060" w:type="dxa"/>
            <w:vAlign w:val="bottom"/>
          </w:tcPr>
          <w:p>
            <w:pPr>
              <w:spacing w:after="0"/>
              <w:rPr>
                <w:sz w:val="17"/>
                <w:szCs w:val="17"/>
                <w:color w:val="auto"/>
              </w:rPr>
            </w:pPr>
          </w:p>
        </w:tc>
        <w:tc>
          <w:tcPr>
            <w:tcW w:w="1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Cost</w:t>
            </w:r>
          </w:p>
        </w:tc>
        <w:tc>
          <w:tcPr>
            <w:tcW w:w="7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60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1860" w:type="dxa"/>
            <w:vAlign w:val="bottom"/>
            <w:shd w:val="clear" w:color="auto" w:fill="CCEEFF"/>
          </w:tcPr>
          <w:p>
            <w:pPr>
              <w:jc w:val="right"/>
              <w:ind w:right="167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8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1,236</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1,146</w:t>
            </w:r>
          </w:p>
        </w:tc>
      </w:tr>
      <w:tr>
        <w:trPr>
          <w:trHeight w:val="23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18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After ten years</w:t>
            </w:r>
          </w:p>
        </w:tc>
        <w:tc>
          <w:tcPr>
            <w:tcW w:w="18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2,399</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2,320</w:t>
            </w: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shd w:val="clear" w:color="auto" w:fill="CCEEFF"/>
          </w:tcPr>
          <w:p>
            <w:pPr>
              <w:jc w:val="right"/>
              <w:ind w:right="167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carrying values and fair values of other financial instruments in the Consolidated Balance Sheets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April 30, 2023</w:t>
            </w:r>
          </w:p>
        </w:tc>
        <w:tc>
          <w:tcPr>
            <w:tcW w:w="1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4"/>
                <w:szCs w:val="14"/>
                <w:b w:val="1"/>
                <w:bCs w:val="1"/>
                <w:color w:val="auto"/>
              </w:rPr>
              <w:t>January 29, 2023</w:t>
            </w:r>
          </w:p>
        </w:tc>
        <w:tc>
          <w:tcPr>
            <w:tcW w:w="0" w:type="dxa"/>
            <w:vAlign w:val="bottom"/>
          </w:tcPr>
          <w:p>
            <w:pPr>
              <w:spacing w:after="0"/>
              <w:rPr>
                <w:sz w:val="1"/>
                <w:szCs w:val="1"/>
                <w:color w:val="auto"/>
              </w:rPr>
            </w:pPr>
          </w:p>
        </w:tc>
      </w:tr>
      <w:tr>
        <w:trPr>
          <w:trHeight w:val="200"/>
        </w:trPr>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Carrying Amount</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center"/>
              <w:ind w:right="24"/>
              <w:spacing w:after="0"/>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TRI Long-term debt, including short-term portion</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26,513</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25,577</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26,681</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26,172</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The above long-term debt, including short-term portion is attributable to the consolidation of TRI in accordance with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was also based on a discounted cash flow method (Level 3) based on credit information and an estimate of future cash flows.</w:t>
      </w:r>
    </w:p>
    <w:p>
      <w:pPr>
        <w:spacing w:after="0" w:line="200" w:lineRule="exact"/>
        <w:rPr>
          <w:sz w:val="20"/>
          <w:szCs w:val="20"/>
          <w:color w:val="auto"/>
        </w:rPr>
      </w:pPr>
    </w:p>
    <w:p>
      <w:pPr>
        <w:spacing w:after="0" w:line="31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VARIABLE INTEREST ENTITY</w:t>
      </w:r>
    </w:p>
    <w:p>
      <w:pPr>
        <w:spacing w:after="0" w:line="175" w:lineRule="exact"/>
        <w:rPr>
          <w:sz w:val="20"/>
          <w:szCs w:val="20"/>
          <w:color w:val="auto"/>
        </w:rPr>
      </w:pPr>
    </w:p>
    <w:p>
      <w:pPr>
        <w:jc w:val="both"/>
        <w:ind w:right="20" w:firstLine="492"/>
        <w:spacing w:after="0" w:line="265" w:lineRule="auto"/>
        <w:rPr>
          <w:sz w:val="20"/>
          <w:szCs w:val="20"/>
          <w:color w:val="auto"/>
        </w:rPr>
      </w:pPr>
      <w:r>
        <w:rPr>
          <w:rFonts w:ascii="Arial" w:cs="Arial" w:eastAsia="Arial" w:hAnsi="Arial"/>
          <w:sz w:val="16"/>
          <w:szCs w:val="16"/>
          <w:color w:val="auto"/>
        </w:rPr>
        <w:t xml:space="preserve">Based upon the criteria set forth in ASC 810, </w:t>
      </w:r>
      <w:r>
        <w:rPr>
          <w:rFonts w:ascii="Arial" w:cs="Arial" w:eastAsia="Arial" w:hAnsi="Arial"/>
          <w:sz w:val="16"/>
          <w:szCs w:val="16"/>
          <w:i w:val="1"/>
          <w:iCs w:val="1"/>
          <w:color w:val="auto"/>
        </w:rPr>
        <w:t>Consolidation</w:t>
      </w:r>
      <w:r>
        <w:rPr>
          <w:rFonts w:ascii="Arial" w:cs="Arial" w:eastAsia="Arial" w:hAnsi="Arial"/>
          <w:sz w:val="16"/>
          <w:szCs w:val="16"/>
          <w:color w:val="auto"/>
        </w:rPr>
        <w:t>, the Company consolidates variable interest entities (“VIEs”) in which it has a controlling financial interest and is therefore deemed the primary beneficiary. A controlling financial interest will have both of the following characteristics:</w:t>
      </w:r>
    </w:p>
    <w:p>
      <w:pPr>
        <w:spacing w:after="0" w:line="1" w:lineRule="exact"/>
        <w:rPr>
          <w:sz w:val="20"/>
          <w:szCs w:val="20"/>
          <w:color w:val="auto"/>
        </w:rPr>
      </w:pPr>
    </w:p>
    <w:p>
      <w:pPr>
        <w:ind w:right="60" w:firstLine="8"/>
        <w:spacing w:after="0" w:line="228" w:lineRule="auto"/>
        <w:tabs>
          <w:tab w:leader="none" w:pos="2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power to direct the VIE activities that most significantly impact economic performance; and (b) the obligation to absorb the VIE losses and the right to receive benefits that are significant to the VIE. The Company has determined that it was the primary beneficiary of one variable interest entity (“VIE”) as of April 30, 2023 and January 29, 2023.</w:t>
      </w:r>
    </w:p>
    <w:p>
      <w:pPr>
        <w:spacing w:after="0" w:line="150" w:lineRule="exact"/>
        <w:rPr>
          <w:sz w:val="20"/>
          <w:szCs w:val="20"/>
          <w:color w:val="auto"/>
        </w:rPr>
      </w:pPr>
    </w:p>
    <w:p>
      <w:pPr>
        <w:ind w:right="60" w:firstLine="428"/>
        <w:spacing w:after="0" w:line="227" w:lineRule="auto"/>
        <w:rPr>
          <w:sz w:val="20"/>
          <w:szCs w:val="20"/>
          <w:color w:val="auto"/>
        </w:rPr>
      </w:pPr>
      <w:r>
        <w:rPr>
          <w:rFonts w:ascii="Arial" w:cs="Arial" w:eastAsia="Arial" w:hAnsi="Arial"/>
          <w:sz w:val="18"/>
          <w:szCs w:val="18"/>
          <w:color w:val="auto"/>
        </w:rPr>
        <w:t>The Company leases the Company’s headquarters in Mt. Horeb, Wisconsin from TRI. In conjunction with the lease, the Company invested $ 6.3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condensed consolidated balance sheets include the following amounts as a result of the consolidation of TRI as of April 30, 2023 and January 29,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April 30, 2023</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January 29, 2023</w:t>
            </w:r>
          </w:p>
        </w:tc>
      </w:tr>
      <w:tr>
        <w:trPr>
          <w:trHeight w:val="210"/>
        </w:trPr>
        <w:tc>
          <w:tcPr>
            <w:tcW w:w="52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5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net</w:t>
            </w:r>
          </w:p>
        </w:tc>
        <w:tc>
          <w:tcPr>
            <w:tcW w:w="2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23,405</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23,612</w:t>
            </w:r>
          </w:p>
        </w:tc>
      </w:tr>
      <w:tr>
        <w:trPr>
          <w:trHeight w:val="223"/>
        </w:trPr>
        <w:tc>
          <w:tcPr>
            <w:tcW w:w="5200" w:type="dxa"/>
            <w:vAlign w:val="bottom"/>
            <w:tcBorders>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assets</w:t>
            </w:r>
          </w:p>
        </w:tc>
        <w:tc>
          <w:tcPr>
            <w:tcW w:w="2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23,431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23,632</w:t>
            </w:r>
          </w:p>
        </w:tc>
      </w:tr>
      <w:tr>
        <w:trPr>
          <w:trHeight w:val="183"/>
        </w:trPr>
        <w:tc>
          <w:tcPr>
            <w:tcW w:w="52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5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TRI Long-term debt</w:t>
            </w:r>
          </w:p>
        </w:tc>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25,913</w:t>
            </w:r>
          </w:p>
        </w:tc>
      </w:tr>
      <w:tr>
        <w:trPr>
          <w:trHeight w:val="216"/>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 in VIE</w:t>
            </w:r>
          </w:p>
        </w:tc>
        <w:tc>
          <w:tcPr>
            <w:tcW w:w="2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w:t>
            </w:r>
          </w:p>
        </w:tc>
      </w:tr>
      <w:tr>
        <w:trPr>
          <w:trHeight w:val="223"/>
        </w:trPr>
        <w:tc>
          <w:tcPr>
            <w:tcW w:w="5200" w:type="dxa"/>
            <w:vAlign w:val="bottom"/>
            <w:tcBorders>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liabilities and shareholders' equity</w:t>
            </w:r>
          </w:p>
        </w:tc>
        <w:tc>
          <w:tcPr>
            <w:tcW w:w="2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23,431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23,632</w:t>
            </w:r>
          </w:p>
        </w:tc>
      </w:tr>
    </w:tbl>
    <w:p>
      <w:pPr>
        <w:spacing w:after="0" w:line="200" w:lineRule="exact"/>
        <w:rPr>
          <w:sz w:val="20"/>
          <w:szCs w:val="20"/>
          <w:color w:val="auto"/>
        </w:rPr>
      </w:pPr>
    </w:p>
    <w:p>
      <w:pPr>
        <w:spacing w:after="0" w:line="3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EARNINGS PER SHARE</w:t>
      </w:r>
    </w:p>
    <w:p>
      <w:pPr>
        <w:spacing w:after="0" w:line="175" w:lineRule="exact"/>
        <w:rPr>
          <w:sz w:val="20"/>
          <w:szCs w:val="20"/>
          <w:color w:val="auto"/>
        </w:rPr>
      </w:pPr>
    </w:p>
    <w:p>
      <w:pPr>
        <w:ind w:right="100" w:firstLine="428"/>
        <w:spacing w:after="0" w:line="246" w:lineRule="auto"/>
        <w:rPr>
          <w:sz w:val="20"/>
          <w:szCs w:val="20"/>
          <w:color w:val="auto"/>
        </w:rPr>
      </w:pPr>
      <w:r>
        <w:rPr>
          <w:rFonts w:ascii="Arial" w:cs="Arial" w:eastAsia="Arial" w:hAnsi="Arial"/>
          <w:sz w:val="17"/>
          <w:szCs w:val="17"/>
          <w:color w:val="auto"/>
        </w:rPr>
        <w:t>Earnings per share is computed under the provisions of ASC 260</w:t>
      </w:r>
      <w:r>
        <w:rPr>
          <w:rFonts w:ascii="Arial" w:cs="Arial" w:eastAsia="Arial" w:hAnsi="Arial"/>
          <w:sz w:val="17"/>
          <w:szCs w:val="17"/>
          <w:i w:val="1"/>
          <w:iCs w:val="1"/>
          <w:color w:val="auto"/>
        </w:rPr>
        <w:t>, Earnings Per Share</w:t>
      </w:r>
      <w:r>
        <w:rPr>
          <w:rFonts w:ascii="Arial" w:cs="Arial" w:eastAsia="Arial" w:hAnsi="Arial"/>
          <w:sz w:val="17"/>
          <w:szCs w:val="17"/>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per share unless considered anti-dilutive. The reconciliation of the numerator and denominator of the basic and diluted earnings per share calculation is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6"/>
              </w:rPr>
              <w:t>Three Months Ended</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60" w:type="dxa"/>
            <w:vAlign w:val="bottom"/>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2023</w:t>
            </w: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May 1, 2022</w:t>
            </w:r>
          </w:p>
        </w:tc>
        <w:tc>
          <w:tcPr>
            <w:tcW w:w="0" w:type="dxa"/>
            <w:vAlign w:val="bottom"/>
          </w:tcPr>
          <w:p>
            <w:pPr>
              <w:spacing w:after="0"/>
              <w:rPr>
                <w:sz w:val="1"/>
                <w:szCs w:val="1"/>
                <w:color w:val="auto"/>
              </w:rPr>
            </w:pPr>
          </w:p>
        </w:tc>
      </w:tr>
      <w:tr>
        <w:trPr>
          <w:trHeight w:val="210"/>
        </w:trPr>
        <w:tc>
          <w:tcPr>
            <w:tcW w:w="6560" w:type="dxa"/>
            <w:vAlign w:val="bottom"/>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 attributable to</w:t>
            </w:r>
          </w:p>
        </w:tc>
        <w:tc>
          <w:tcPr>
            <w:tcW w:w="1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controlling interest</w:t>
            </w:r>
          </w:p>
        </w:tc>
        <w:tc>
          <w:tcPr>
            <w:tcW w:w="1640" w:type="dxa"/>
            <w:vAlign w:val="bottom"/>
            <w:shd w:val="clear" w:color="auto" w:fill="CCEEFF"/>
          </w:tcPr>
          <w:p>
            <w:pPr>
              <w:jc w:val="right"/>
              <w:ind w:right="1455"/>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(3,869)</w:t>
            </w:r>
          </w:p>
        </w:tc>
        <w:tc>
          <w:tcPr>
            <w:tcW w:w="7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Denominator - weighted average shares</w:t>
            </w:r>
          </w:p>
        </w:tc>
        <w:tc>
          <w:tcPr>
            <w:tcW w:w="1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60" w:type="dxa"/>
            <w:vAlign w:val="bottom"/>
          </w:tcPr>
          <w:p>
            <w:pPr>
              <w:ind w:left="140"/>
              <w:spacing w:after="0"/>
              <w:rPr>
                <w:sz w:val="20"/>
                <w:szCs w:val="20"/>
                <w:color w:val="auto"/>
              </w:rPr>
            </w:pPr>
            <w:r>
              <w:rPr>
                <w:rFonts w:ascii="Arial" w:cs="Arial" w:eastAsia="Arial" w:hAnsi="Arial"/>
                <w:sz w:val="18"/>
                <w:szCs w:val="18"/>
                <w:color w:val="auto"/>
              </w:rPr>
              <w:t>(Class A and Class B)</w:t>
            </w: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6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32,714</w:t>
            </w:r>
          </w:p>
        </w:tc>
        <w:tc>
          <w:tcPr>
            <w:tcW w:w="0" w:type="dxa"/>
            <w:vAlign w:val="bottom"/>
          </w:tcPr>
          <w:p>
            <w:pPr>
              <w:spacing w:after="0"/>
              <w:rPr>
                <w:sz w:val="1"/>
                <w:szCs w:val="1"/>
                <w:color w:val="auto"/>
              </w:rPr>
            </w:pPr>
          </w:p>
        </w:tc>
      </w:tr>
      <w:tr>
        <w:trPr>
          <w:trHeight w:val="203"/>
        </w:trPr>
        <w:tc>
          <w:tcPr>
            <w:tcW w:w="6560" w:type="dxa"/>
            <w:vAlign w:val="bottom"/>
          </w:tcPr>
          <w:p>
            <w:pPr>
              <w:ind w:left="120"/>
              <w:spacing w:after="0" w:line="202" w:lineRule="exact"/>
              <w:rPr>
                <w:sz w:val="20"/>
                <w:szCs w:val="20"/>
                <w:color w:val="auto"/>
              </w:rPr>
            </w:pPr>
            <w:r>
              <w:rPr>
                <w:rFonts w:ascii="Arial" w:cs="Arial" w:eastAsia="Arial" w:hAnsi="Arial"/>
                <w:sz w:val="18"/>
                <w:szCs w:val="18"/>
                <w:color w:val="auto"/>
              </w:rPr>
              <w:t>Dilutive shares</w:t>
            </w:r>
          </w:p>
        </w:tc>
        <w:tc>
          <w:tcPr>
            <w:tcW w:w="164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Diluted</w:t>
            </w:r>
          </w:p>
        </w:tc>
        <w:tc>
          <w:tcPr>
            <w:tcW w:w="16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32,865</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spacing w:after="0"/>
              <w:rPr>
                <w:sz w:val="17"/>
                <w:szCs w:val="17"/>
                <w:color w:val="auto"/>
              </w:rPr>
            </w:pPr>
          </w:p>
        </w:tc>
        <w:tc>
          <w:tcPr>
            <w:tcW w:w="1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32,714</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Earnings per share (Class A and Class B)</w:t>
            </w:r>
          </w:p>
        </w:tc>
        <w:tc>
          <w:tcPr>
            <w:tcW w:w="1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vMerge w:val="continue"/>
          </w:tcPr>
          <w:p>
            <w:pPr>
              <w:spacing w:after="0"/>
              <w:rPr>
                <w:sz w:val="19"/>
                <w:szCs w:val="19"/>
                <w:color w:val="auto"/>
              </w:rPr>
            </w:pPr>
          </w:p>
        </w:tc>
        <w:tc>
          <w:tcPr>
            <w:tcW w:w="1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640" w:type="dxa"/>
            <w:vAlign w:val="bottom"/>
            <w:shd w:val="clear" w:color="auto" w:fill="CCEEFF"/>
          </w:tcPr>
          <w:p>
            <w:pPr>
              <w:jc w:val="right"/>
              <w:ind w:right="1455"/>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c>
          <w:tcPr>
            <w:tcW w:w="7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6560" w:type="dxa"/>
            <w:vAlign w:val="bottom"/>
          </w:tcPr>
          <w:p>
            <w:pPr>
              <w:ind w:left="120"/>
              <w:spacing w:after="0"/>
              <w:rPr>
                <w:sz w:val="20"/>
                <w:szCs w:val="20"/>
                <w:color w:val="auto"/>
              </w:rPr>
            </w:pPr>
            <w:r>
              <w:rPr>
                <w:rFonts w:ascii="Arial" w:cs="Arial" w:eastAsia="Arial" w:hAnsi="Arial"/>
                <w:sz w:val="18"/>
                <w:szCs w:val="18"/>
                <w:color w:val="auto"/>
              </w:rPr>
              <w:t>Diluted</w:t>
            </w:r>
          </w:p>
        </w:tc>
        <w:tc>
          <w:tcPr>
            <w:tcW w:w="1640" w:type="dxa"/>
            <w:vAlign w:val="bottom"/>
          </w:tcPr>
          <w:p>
            <w:pPr>
              <w:jc w:val="right"/>
              <w:ind w:right="1455"/>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7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The computation of diluted (loss) earnings per share excluded 0.3 million and 0.2 million shares of unvested restricted stock for the three months ended April 30, 2023 and May 1, 2022, respectively because their inclusion would be anti-dilutive due to a net loss.</w:t>
      </w:r>
    </w:p>
    <w:p>
      <w:pPr>
        <w:spacing w:after="0" w:line="200" w:lineRule="exact"/>
        <w:rPr>
          <w:sz w:val="20"/>
          <w:szCs w:val="20"/>
          <w:color w:val="auto"/>
        </w:rPr>
      </w:pPr>
    </w:p>
    <w:p>
      <w:pPr>
        <w:spacing w:after="0" w:line="3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STOCK-BASED COMPENSATION</w:t>
      </w:r>
    </w:p>
    <w:p>
      <w:pPr>
        <w:spacing w:after="0" w:line="175" w:lineRule="exact"/>
        <w:rPr>
          <w:sz w:val="20"/>
          <w:szCs w:val="20"/>
          <w:color w:val="auto"/>
        </w:rPr>
      </w:pPr>
    </w:p>
    <w:p>
      <w:pPr>
        <w:ind w:right="320" w:firstLine="428"/>
        <w:spacing w:after="0" w:line="274" w:lineRule="auto"/>
        <w:rPr>
          <w:sz w:val="20"/>
          <w:szCs w:val="20"/>
          <w:color w:val="auto"/>
        </w:rPr>
      </w:pPr>
      <w:r>
        <w:rPr>
          <w:rFonts w:ascii="Arial" w:cs="Arial" w:eastAsia="Arial" w:hAnsi="Arial"/>
          <w:sz w:val="17"/>
          <w:szCs w:val="17"/>
          <w:color w:val="auto"/>
        </w:rPr>
        <w:t xml:space="preserve">The Company accounts for its stock-based compensation plan in accordance with ASC 718, </w:t>
      </w:r>
      <w:r>
        <w:rPr>
          <w:rFonts w:ascii="Arial" w:cs="Arial" w:eastAsia="Arial" w:hAnsi="Arial"/>
          <w:sz w:val="17"/>
          <w:szCs w:val="17"/>
          <w:i w:val="1"/>
          <w:iCs w:val="1"/>
          <w:color w:val="auto"/>
        </w:rPr>
        <w:t>Stock Compensation</w:t>
      </w:r>
      <w:r>
        <w:rPr>
          <w:rFonts w:ascii="Arial" w:cs="Arial" w:eastAsia="Arial" w:hAnsi="Arial"/>
          <w:sz w:val="17"/>
          <w:szCs w:val="17"/>
          <w:color w:val="auto"/>
        </w:rPr>
        <w:t>, which requires the Company to measure all share-based payments at grant date fair value and recognize the cost over the requisite service period of the award.</w:t>
      </w:r>
    </w:p>
    <w:p>
      <w:pPr>
        <w:spacing w:after="0" w:line="121" w:lineRule="exact"/>
        <w:rPr>
          <w:sz w:val="20"/>
          <w:szCs w:val="20"/>
          <w:color w:val="auto"/>
        </w:rPr>
      </w:pPr>
    </w:p>
    <w:p>
      <w:pPr>
        <w:ind w:firstLine="428"/>
        <w:spacing w:after="0" w:line="230" w:lineRule="auto"/>
        <w:rPr>
          <w:sz w:val="20"/>
          <w:szCs w:val="20"/>
          <w:color w:val="auto"/>
        </w:rPr>
      </w:pPr>
      <w:r>
        <w:rPr>
          <w:rFonts w:ascii="Arial" w:cs="Arial" w:eastAsia="Arial" w:hAnsi="Arial"/>
          <w:sz w:val="18"/>
          <w:szCs w:val="18"/>
          <w:color w:val="auto"/>
        </w:rPr>
        <w:t>Total stock compensation expense associated with restricted stock recognized by the Company was $1.0 million and $0.6 million for the three months ended April 30, 2023 and May 1, 2022, respectively. The Company’s total stock compensation expense is included in selling, general and administrative expenses on the Condensed 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activity in the Company’s unvested restricted stock during the three months ended April 30, 2023 is as follows: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w:t>
            </w:r>
          </w:p>
        </w:tc>
      </w:tr>
      <w:tr>
        <w:trPr>
          <w:trHeight w:val="243"/>
        </w:trPr>
        <w:tc>
          <w:tcPr>
            <w:tcW w:w="8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average</w:t>
            </w:r>
          </w:p>
        </w:tc>
      </w:tr>
      <w:tr>
        <w:trPr>
          <w:trHeight w:val="229"/>
        </w:trPr>
        <w:tc>
          <w:tcPr>
            <w:tcW w:w="8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fair value</w:t>
            </w:r>
          </w:p>
        </w:tc>
      </w:tr>
      <w:tr>
        <w:trPr>
          <w:trHeight w:val="215"/>
        </w:trPr>
        <w:tc>
          <w:tcPr>
            <w:tcW w:w="8360" w:type="dxa"/>
            <w:vAlign w:val="bottom"/>
          </w:tcPr>
          <w:p>
            <w:pPr>
              <w:spacing w:after="0"/>
              <w:rPr>
                <w:sz w:val="18"/>
                <w:szCs w:val="18"/>
                <w:color w:val="auto"/>
              </w:rPr>
            </w:pPr>
          </w:p>
        </w:tc>
        <w:tc>
          <w:tcPr>
            <w:tcW w:w="13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1"/>
              </w:rPr>
              <w:t>per share</w:t>
            </w:r>
          </w:p>
        </w:tc>
      </w:tr>
      <w:tr>
        <w:trPr>
          <w:trHeight w:val="223"/>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29, 2023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618,772</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229"/>
        </w:trPr>
        <w:tc>
          <w:tcPr>
            <w:tcW w:w="83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1,066,091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30"/>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(119,825)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r>
      <w:tr>
        <w:trPr>
          <w:trHeight w:val="229"/>
        </w:trPr>
        <w:tc>
          <w:tcPr>
            <w:tcW w:w="836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r>
      <w:tr>
        <w:trPr>
          <w:trHeight w:val="236"/>
        </w:trPr>
        <w:tc>
          <w:tcPr>
            <w:tcW w:w="8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April 30, 2023</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1,556,482</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8.54</w:t>
            </w:r>
          </w:p>
        </w:tc>
      </w:tr>
    </w:tbl>
    <w:p>
      <w:pPr>
        <w:spacing w:after="0" w:line="161" w:lineRule="exact"/>
        <w:rPr>
          <w:sz w:val="20"/>
          <w:szCs w:val="20"/>
          <w:color w:val="auto"/>
        </w:rPr>
      </w:pPr>
    </w:p>
    <w:p>
      <w:pPr>
        <w:ind w:right="40" w:firstLine="428"/>
        <w:spacing w:after="0" w:line="246" w:lineRule="auto"/>
        <w:rPr>
          <w:sz w:val="20"/>
          <w:szCs w:val="20"/>
          <w:color w:val="auto"/>
        </w:rPr>
      </w:pPr>
      <w:r>
        <w:rPr>
          <w:rFonts w:ascii="Arial" w:cs="Arial" w:eastAsia="Arial" w:hAnsi="Arial"/>
          <w:sz w:val="18"/>
          <w:szCs w:val="18"/>
          <w:color w:val="auto"/>
        </w:rPr>
        <w:t>At April 30, 2023, the Company had unrecognized compensation expense of $10.9 million related to the restricted stock awards, which is expected to be recognized over a weighted average period of 2.9 years.</w:t>
      </w:r>
    </w:p>
    <w:p>
      <w:pPr>
        <w:spacing w:after="0" w:line="3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PROPERTY AND EQUIPMENT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April 30, 2023</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January 29, 2023</w:t>
            </w:r>
          </w:p>
        </w:tc>
      </w:tr>
      <w:tr>
        <w:trPr>
          <w:trHeight w:val="196"/>
        </w:trPr>
        <w:tc>
          <w:tcPr>
            <w:tcW w:w="74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50,793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49,450</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36,183</w:t>
            </w:r>
          </w:p>
        </w:tc>
      </w:tr>
      <w:tr>
        <w:trPr>
          <w:trHeight w:val="230"/>
        </w:trPr>
        <w:tc>
          <w:tcPr>
            <w:tcW w:w="7460" w:type="dxa"/>
            <w:vAlign w:val="bottom"/>
          </w:tcPr>
          <w:p>
            <w:pPr>
              <w:spacing w:after="0"/>
              <w:rPr>
                <w:sz w:val="20"/>
                <w:szCs w:val="20"/>
                <w:color w:val="auto"/>
              </w:rPr>
            </w:pPr>
            <w:r>
              <w:rPr>
                <w:rFonts w:ascii="Arial" w:cs="Arial" w:eastAsia="Arial" w:hAnsi="Arial"/>
                <w:sz w:val="18"/>
                <w:szCs w:val="18"/>
                <w:color w:val="auto"/>
              </w:rPr>
              <w:t>Vehicles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Warehouse equipment</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25,951</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53,763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53,713</w:t>
            </w:r>
          </w:p>
        </w:tc>
      </w:tr>
      <w:tr>
        <w:trPr>
          <w:trHeight w:val="23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w:t>
            </w: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Software</w:t>
            </w: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36,878</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36,260</w:t>
            </w:r>
          </w:p>
        </w:tc>
      </w:tr>
      <w:tr>
        <w:trPr>
          <w:trHeight w:val="209"/>
        </w:trPr>
        <w:tc>
          <w:tcPr>
            <w:tcW w:w="7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217,736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215,389</w:t>
            </w:r>
          </w:p>
        </w:tc>
      </w:tr>
      <w:tr>
        <w:trPr>
          <w:trHeight w:val="216"/>
        </w:trPr>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 and amortization</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(125,431)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(118,989)</w:t>
            </w:r>
          </w:p>
        </w:tc>
      </w:tr>
      <w:tr>
        <w:trPr>
          <w:trHeight w:val="210"/>
        </w:trPr>
        <w:tc>
          <w:tcPr>
            <w:tcW w:w="7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92,305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96,400</w:t>
            </w:r>
          </w:p>
        </w:tc>
      </w:tr>
      <w:tr>
        <w:trPr>
          <w:trHeight w:val="216"/>
        </w:trPr>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16,164</w:t>
            </w:r>
          </w:p>
        </w:tc>
      </w:tr>
      <w:tr>
        <w:trPr>
          <w:trHeight w:val="183"/>
        </w:trPr>
        <w:tc>
          <w:tcPr>
            <w:tcW w:w="74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122,812</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112,564</w:t>
            </w: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REVENUE</w:t>
      </w:r>
    </w:p>
    <w:p>
      <w:pPr>
        <w:spacing w:after="0" w:line="175" w:lineRule="exact"/>
        <w:rPr>
          <w:sz w:val="20"/>
          <w:szCs w:val="20"/>
          <w:color w:val="auto"/>
        </w:rPr>
      </w:pPr>
    </w:p>
    <w:p>
      <w:pPr>
        <w:ind w:right="220" w:firstLine="570"/>
        <w:spacing w:after="0" w:line="246" w:lineRule="auto"/>
        <w:rPr>
          <w:sz w:val="20"/>
          <w:szCs w:val="20"/>
          <w:color w:val="auto"/>
        </w:rPr>
      </w:pPr>
      <w:r>
        <w:rPr>
          <w:rFonts w:ascii="Arial" w:cs="Arial" w:eastAsia="Arial" w:hAnsi="Arial"/>
          <w:sz w:val="17"/>
          <w:szCs w:val="17"/>
          <w:color w:val="auto"/>
        </w:rPr>
        <w:t>The Company’s revenue primarily consists of the sale of apparel, footwear and hard goods. Revenue for merchandise that is shipped to our customers from our distribution centers and stores is recognized upon shipment. Store revenue is recognized at the point of sale, net of returns, and excludes taxes.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4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Sales disaggregated based upon sales channel is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23"/>
        </w:trPr>
        <w:tc>
          <w:tcPr>
            <w:tcW w:w="40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right"/>
              <w:ind w:right="517"/>
              <w:spacing w:after="0"/>
              <w:rPr>
                <w:sz w:val="20"/>
                <w:szCs w:val="20"/>
                <w:color w:val="auto"/>
              </w:rPr>
            </w:pPr>
            <w:r>
              <w:rPr>
                <w:rFonts w:ascii="Arial" w:cs="Arial" w:eastAsia="Arial" w:hAnsi="Arial"/>
                <w:sz w:val="14"/>
                <w:szCs w:val="14"/>
                <w:b w:val="1"/>
                <w:bCs w:val="1"/>
                <w:color w:val="auto"/>
              </w:rPr>
              <w:t>April 30, 2023</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1, 2022</w:t>
            </w:r>
          </w:p>
        </w:tc>
      </w:tr>
      <w:tr>
        <w:trPr>
          <w:trHeight w:val="209"/>
        </w:trPr>
        <w:tc>
          <w:tcPr>
            <w:tcW w:w="40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43"/>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Direct-to-consumer</w:t>
            </w:r>
          </w:p>
        </w:tc>
        <w:tc>
          <w:tcPr>
            <w:tcW w:w="2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79,502</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77,680</w:t>
            </w:r>
          </w:p>
        </w:tc>
        <w:tc>
          <w:tcPr>
            <w:tcW w:w="220" w:type="dxa"/>
            <w:vAlign w:val="bottom"/>
            <w:shd w:val="clear" w:color="auto" w:fill="CCEEFF"/>
          </w:tcPr>
          <w:p>
            <w:pPr>
              <w:spacing w:after="0"/>
              <w:rPr>
                <w:sz w:val="21"/>
                <w:szCs w:val="2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Stores</w:t>
            </w:r>
          </w:p>
        </w:tc>
        <w:tc>
          <w:tcPr>
            <w:tcW w:w="2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44,257</w:t>
            </w:r>
          </w:p>
        </w:tc>
        <w:tc>
          <w:tcPr>
            <w:tcW w:w="2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45,224</w:t>
            </w:r>
          </w:p>
        </w:tc>
        <w:tc>
          <w:tcPr>
            <w:tcW w:w="220" w:type="dxa"/>
            <w:vAlign w:val="bottom"/>
          </w:tcPr>
          <w:p>
            <w:pPr>
              <w:spacing w:after="0"/>
              <w:rPr>
                <w:sz w:val="18"/>
                <w:szCs w:val="18"/>
                <w:color w:val="auto"/>
              </w:rPr>
            </w:pPr>
          </w:p>
        </w:tc>
      </w:tr>
      <w:tr>
        <w:trPr>
          <w:trHeight w:val="209"/>
        </w:trPr>
        <w:tc>
          <w:tcPr>
            <w:tcW w:w="404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123,759</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122,904</w:t>
            </w:r>
          </w:p>
        </w:tc>
        <w:tc>
          <w:tcPr>
            <w:tcW w:w="220" w:type="dxa"/>
            <w:vAlign w:val="bottom"/>
            <w:shd w:val="clear" w:color="auto" w:fill="CCEEFF"/>
          </w:tcPr>
          <w:p>
            <w:pPr>
              <w:spacing w:after="0"/>
              <w:rPr>
                <w:sz w:val="18"/>
                <w:szCs w:val="18"/>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58" w:lineRule="exact"/>
        <w:rPr>
          <w:sz w:val="20"/>
          <w:szCs w:val="20"/>
          <w:color w:val="auto"/>
        </w:rPr>
      </w:pPr>
    </w:p>
    <w:p>
      <w:pPr>
        <w:ind w:right="160" w:firstLine="492"/>
        <w:spacing w:after="0" w:line="251" w:lineRule="auto"/>
        <w:rPr>
          <w:sz w:val="20"/>
          <w:szCs w:val="20"/>
          <w:color w:val="auto"/>
        </w:rPr>
      </w:pPr>
      <w:r>
        <w:rPr>
          <w:rFonts w:ascii="Arial" w:cs="Arial" w:eastAsia="Arial" w:hAnsi="Arial"/>
          <w:sz w:val="17"/>
          <w:szCs w:val="17"/>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in Accrued expenses and other current liabilities under deferred revenue (see Note 4 “Accrued Expenses and Other Current Liabilities”) on the Company’s consolidated balance sheets. Upon issuance of a gift card, a liability is established for its cash value. The gift card liability is relieved and revenues on gift cards are recorded at the time of redemption by the customer.</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Contract assets and liabilities on the Company’s consolidated balance sheets are presented in the following table: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April 30, 2023</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January 29, 2023</w:t>
            </w:r>
          </w:p>
        </w:tc>
      </w:tr>
      <w:tr>
        <w:trPr>
          <w:trHeight w:val="209"/>
        </w:trPr>
        <w:tc>
          <w:tcPr>
            <w:tcW w:w="40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3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Contract liabilities</w:t>
            </w:r>
          </w:p>
        </w:tc>
        <w:tc>
          <w:tcPr>
            <w:tcW w:w="3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8,525</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10,249</w:t>
            </w:r>
          </w:p>
        </w:tc>
      </w:tr>
    </w:tbl>
    <w:p>
      <w:pPr>
        <w:spacing w:after="0" w:line="336" w:lineRule="exact"/>
        <w:rPr>
          <w:sz w:val="20"/>
          <w:szCs w:val="20"/>
          <w:color w:val="auto"/>
        </w:rPr>
      </w:pPr>
    </w:p>
    <w:p>
      <w:pPr>
        <w:ind w:firstLine="570"/>
        <w:spacing w:after="0" w:line="238" w:lineRule="auto"/>
        <w:rPr>
          <w:sz w:val="20"/>
          <w:szCs w:val="20"/>
          <w:color w:val="auto"/>
        </w:rPr>
      </w:pPr>
      <w:r>
        <w:rPr>
          <w:rFonts w:ascii="Arial" w:cs="Arial" w:eastAsia="Arial" w:hAnsi="Arial"/>
          <w:sz w:val="18"/>
          <w:szCs w:val="18"/>
          <w:color w:val="auto"/>
        </w:rPr>
        <w:t>Revenue from gift cards is recognized when the gift card is redeemed by the customer for merchandise or as a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 for the nine months ended: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2023</w:t>
            </w:r>
          </w:p>
        </w:tc>
        <w:tc>
          <w:tcPr>
            <w:tcW w:w="6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May 1, 2022</w:t>
            </w:r>
          </w:p>
        </w:tc>
      </w:tr>
      <w:tr>
        <w:trPr>
          <w:trHeight w:val="223"/>
        </w:trPr>
        <w:tc>
          <w:tcPr>
            <w:tcW w:w="46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beginning of period</w:t>
            </w:r>
          </w:p>
        </w:tc>
        <w:tc>
          <w:tcPr>
            <w:tcW w:w="3680" w:type="dxa"/>
            <w:vAlign w:val="bottom"/>
            <w:gridSpan w:val="2"/>
            <w:shd w:val="clear" w:color="auto" w:fill="CCEEFF"/>
          </w:tcPr>
          <w:p>
            <w:pPr>
              <w:jc w:val="right"/>
              <w:ind w:right="134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10,249</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10,791</w:t>
            </w: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Gift cards sold</w:t>
            </w:r>
          </w:p>
        </w:tc>
        <w:tc>
          <w:tcPr>
            <w:tcW w:w="2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1,878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1,909</w:t>
            </w:r>
          </w:p>
        </w:tc>
      </w:tr>
      <w:tr>
        <w:trPr>
          <w:trHeight w:val="24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Gift cards redeemed</w:t>
            </w:r>
          </w:p>
        </w:tc>
        <w:tc>
          <w:tcPr>
            <w:tcW w:w="21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(3,553)</w:t>
            </w:r>
          </w:p>
        </w:tc>
        <w:tc>
          <w:tcPr>
            <w:tcW w:w="3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Gift card breakage</w:t>
            </w:r>
          </w:p>
        </w:tc>
        <w:tc>
          <w:tcPr>
            <w:tcW w:w="218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end of period</w:t>
            </w:r>
          </w:p>
        </w:tc>
        <w:tc>
          <w:tcPr>
            <w:tcW w:w="3680" w:type="dxa"/>
            <w:vAlign w:val="bottom"/>
            <w:gridSpan w:val="2"/>
            <w:shd w:val="clear" w:color="auto" w:fill="CCEEFF"/>
          </w:tcPr>
          <w:p>
            <w:pPr>
              <w:jc w:val="right"/>
              <w:ind w:right="134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right="20" w:firstLine="428"/>
        <w:spacing w:after="0" w:line="251" w:lineRule="auto"/>
        <w:rPr>
          <w:sz w:val="20"/>
          <w:szCs w:val="20"/>
          <w:color w:val="auto"/>
        </w:rPr>
      </w:pPr>
      <w:r>
        <w:rPr>
          <w:rFonts w:ascii="Arial" w:cs="Arial" w:eastAsia="Arial" w:hAnsi="Arial"/>
          <w:sz w:val="17"/>
          <w:szCs w:val="17"/>
          <w:color w:val="auto"/>
        </w:rPr>
        <w:t>The provision for income taxes for the interim period is based on an estimate of the annual effective tax rate adjusted to reflect the impact of discrete items. Management judgment is required in projecting ordinary income to estimate the Company’s annual effective tax rate. The effective tax rate related to controlling interest was 27% and 25% for the three months ended April 30, 2023 and May 1, 2022, respectively. The income from TRI was excluded from the calculation of the Company’s effective tax rate, as TRI is a limited liability company and not subject to income taxes.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5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RECENT ACCOUNTING PRONOUNCEMENTS</w:t>
      </w:r>
    </w:p>
    <w:p>
      <w:pPr>
        <w:spacing w:after="0" w:line="16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6"/>
          <w:szCs w:val="16"/>
          <w:color w:val="auto"/>
        </w:rPr>
        <w:t xml:space="preserve">In June 2016, the FASB issued Accounting Standards Update No. 2016-13 </w:t>
      </w:r>
      <w:r>
        <w:rPr>
          <w:rFonts w:ascii="Arial" w:cs="Arial" w:eastAsia="Arial" w:hAnsi="Arial"/>
          <w:sz w:val="16"/>
          <w:szCs w:val="16"/>
          <w:i w:val="1"/>
          <w:iCs w:val="1"/>
          <w:color w:val="auto"/>
        </w:rPr>
        <w:t>“Financial Instruments-Credit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 Losses on Financial Instruments,” </w:t>
      </w:r>
      <w:r>
        <w:rPr>
          <w:rFonts w:ascii="Arial" w:cs="Arial" w:eastAsia="Arial" w:hAnsi="Arial"/>
          <w:sz w:val="16"/>
          <w:szCs w:val="16"/>
          <w:color w:val="auto"/>
        </w:rPr>
        <w:t>(“ASU 2016-13”), which amends the impairment model by requiring entities to use a forward-looking approach</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expected losses to estimate credit losses on certain types of financial instruments, which include trade and other receivables, loans and held-to-maturity debt securities, to record an allowance for credit risk based on expected losses rather than incurred losses, otherwise known as “CECL”. In</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 xml:space="preserve">addition, this guidance changes the recognition for credit losses on available-for-sale debt securities, which can occur as a result of market and credit risk and requires additional disclosures. On November 15, 2019, the FASB issued ASU No. 2019-10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Derivatives and Hedging (Topic 815, and Leases (Topic 842),” </w:t>
      </w:r>
      <w:r>
        <w:rPr>
          <w:rFonts w:ascii="Arial" w:cs="Arial" w:eastAsia="Arial" w:hAnsi="Arial"/>
          <w:sz w:val="18"/>
          <w:szCs w:val="18"/>
          <w:color w:val="auto"/>
        </w:rPr>
        <w:t>(ASU 2019-10”), which provides a framework to stagger effective dates for future major</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and amends the effective dates for certain major new accounting standards to give implementation relief to certain types of entities. ASU 2019-10 amends the effective dates for ASU 2016-13 for smaller reporting companies with fiscal years beginning after December 15, 2022, and interim periods within those years. The Company adopted ASU 2016-13 on January 30, 2023, the first day of the Company’s first quarter for the fiscal year ending January 28, 2024, the Company’s fiscal year 2023. The adoption of the standard did not have a material impact on the Company’s consolidated financial results.</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4" w:lineRule="exact"/>
        <w:rPr>
          <w:sz w:val="20"/>
          <w:szCs w:val="20"/>
          <w:color w:val="auto"/>
        </w:rPr>
      </w:pPr>
    </w:p>
    <w:p>
      <w:pPr>
        <w:ind w:right="40" w:firstLine="428"/>
        <w:spacing w:after="0" w:line="258" w:lineRule="auto"/>
        <w:rPr>
          <w:sz w:val="20"/>
          <w:szCs w:val="20"/>
          <w:color w:val="auto"/>
        </w:rPr>
      </w:pPr>
      <w:r>
        <w:rPr>
          <w:rFonts w:ascii="Arial" w:cs="Arial" w:eastAsia="Arial" w:hAnsi="Arial"/>
          <w:sz w:val="13"/>
          <w:szCs w:val="13"/>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year ended January 29, 2023 (“2022 Form 10-K”).</w:t>
      </w:r>
    </w:p>
    <w:p>
      <w:pPr>
        <w:spacing w:after="0" w:line="165" w:lineRule="exact"/>
        <w:rPr>
          <w:sz w:val="20"/>
          <w:szCs w:val="20"/>
          <w:color w:val="auto"/>
        </w:rPr>
      </w:pPr>
    </w:p>
    <w:p>
      <w:pPr>
        <w:ind w:right="280" w:firstLine="428"/>
        <w:spacing w:after="0" w:line="290" w:lineRule="auto"/>
        <w:rPr>
          <w:sz w:val="20"/>
          <w:szCs w:val="20"/>
          <w:color w:val="auto"/>
        </w:rPr>
      </w:pPr>
      <w:r>
        <w:rPr>
          <w:rFonts w:ascii="Arial" w:cs="Arial" w:eastAsia="Arial" w:hAnsi="Arial"/>
          <w:sz w:val="13"/>
          <w:szCs w:val="13"/>
          <w:i w:val="1"/>
          <w:iCs w:val="1"/>
          <w:color w:val="auto"/>
        </w:rPr>
        <w:t>The Company’s fiscal year ends on the Sunday nearest to January 31 of the following year. Fiscal 2023 is a 52-week period and ends on January 28, 2024. Fiscal 2022 was a 52-week period and ended on January 29, 2023. The three months of fiscal 2023 and fiscal 2022 represent our 13-week periods ended April 30, 2023 and May 1, 2022, respectively.</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Unless the context indicates otherwise, the terms the “Company,” “Duluth,” “Duluth Trading,” “we,” “our,” or “us” are used to refer to Duluth Holdings Inc.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428"/>
        <w:spacing w:after="0" w:line="239"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initiatives, or strategies are forward-looking statements. All forward-looking statements are subject to risks and uncertainties, including the risks and uncertainties described under Part I, Item 1A “Risk Factors,” in our 2022 Form 10-K, and other SEC filings, which factors are incorporated by reference herein. These risks and uncertainties include, but are not limited to, the following: the impact of inflation on our results of operations; the prolonged effects of COVID-19 on store traffic and disruptions to our distribution network, supply chains and operations; our ability to maintain and enhance a strong brand image; effectively adapting to new challenges associated with our expansion into new geographic markets; generating adequate cash from our existing stores to support our growth; effectively relying on sources for merchandise located in foreign markets; transportation delays and interruptions, including port congestion; inability to timely and effectively obtain shipments of products from our suppliers and deliver merchandise to our customers; the inability to maintain the performance of a maturing store portfolio; the impact of changes in corporate tax regulations; identifying and responding to new and changing customer preferences; the success of the locations in which our stores are located; our ability to attract and retain customers in the various retail venues and locations in which our stores are located; competing effectively in an environment of intense competition; our ability to adapt to significant changes in sales due to the seasonality of our business; price reductions or inventory shortages resulting from failure to purchase the appropriate amount of inventory in advance of the season in which it will be sold due to global market constraints; increases in costs of fuel or other energy, transportation or utility costs and in the costs of labor and employment; failure of our information technology systems to support our current and growing business, before and after our planned upgrades; and other factors that may be disclosed in our SEC filings or otherwise. 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63" w:lineRule="exact"/>
        <w:rPr>
          <w:sz w:val="20"/>
          <w:szCs w:val="20"/>
          <w:color w:val="auto"/>
        </w:rPr>
      </w:pPr>
    </w:p>
    <w:p>
      <w:pPr>
        <w:ind w:right="1180" w:firstLine="428"/>
        <w:spacing w:after="0" w:line="430" w:lineRule="auto"/>
        <w:rPr>
          <w:sz w:val="20"/>
          <w:szCs w:val="20"/>
          <w:color w:val="auto"/>
        </w:rPr>
      </w:pPr>
      <w:r>
        <w:rPr>
          <w:rFonts w:ascii="Arial" w:cs="Arial" w:eastAsia="Arial" w:hAnsi="Arial"/>
          <w:sz w:val="18"/>
          <w:szCs w:val="18"/>
          <w:color w:val="auto"/>
        </w:rPr>
        <w:t xml:space="preserve">We undertake no obligation to update or revise these forward-looking statements, except as required under the federal securities laws. </w:t>
      </w:r>
      <w:r>
        <w:rPr>
          <w:rFonts w:ascii="Arial" w:cs="Arial" w:eastAsia="Arial" w:hAnsi="Arial"/>
          <w:sz w:val="18"/>
          <w:szCs w:val="18"/>
          <w:b w:val="1"/>
          <w:bCs w:val="1"/>
          <w:color w:val="auto"/>
        </w:rPr>
        <w:t>Overview</w:t>
      </w:r>
    </w:p>
    <w:p>
      <w:pPr>
        <w:spacing w:after="0" w:line="1" w:lineRule="exact"/>
        <w:rPr>
          <w:sz w:val="20"/>
          <w:szCs w:val="20"/>
          <w:color w:val="auto"/>
        </w:rPr>
      </w:pPr>
    </w:p>
    <w:p>
      <w:pPr>
        <w:ind w:right="160" w:firstLine="428"/>
        <w:spacing w:after="0" w:line="261" w:lineRule="auto"/>
        <w:rPr>
          <w:sz w:val="20"/>
          <w:szCs w:val="20"/>
          <w:color w:val="auto"/>
        </w:rPr>
      </w:pPr>
      <w:r>
        <w:rPr>
          <w:rFonts w:ascii="Arial" w:cs="Arial" w:eastAsia="Arial" w:hAnsi="Arial"/>
          <w:sz w:val="17"/>
          <w:szCs w:val="17"/>
          <w:color w:val="auto"/>
        </w:rPr>
        <w:t>We are a lifestyle brand of men’s and women’s casual wear, workwear and accessories sold primarily through our own omnichannel platform. We offer products nationwide through our website and catalog. In 2010, we initiated our omnichannel platform with the opening of our first store. Since then, we have expanded our retail presence, and as of April 30, 2023, we operated 62 retail stores and three outlet stores.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offer a comprehensive line of innovative, durable and functional products, such as our Longtail 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shirts, Buck Naked</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underwear, Fire Hose</w:t>
      </w:r>
      <w:r>
        <w:rPr>
          <w:rFonts w:ascii="Arial" w:cs="Arial" w:eastAsia="Arial" w:hAnsi="Arial"/>
          <w:sz w:val="20"/>
          <w:szCs w:val="20"/>
          <w:color w:val="auto"/>
          <w:vertAlign w:val="superscript"/>
        </w:rPr>
        <w:t>®</w:t>
      </w:r>
    </w:p>
    <w:p>
      <w:pPr>
        <w:spacing w:after="0" w:line="14" w:lineRule="exact"/>
        <w:rPr>
          <w:sz w:val="20"/>
          <w:szCs w:val="20"/>
          <w:color w:val="auto"/>
        </w:rPr>
      </w:pPr>
    </w:p>
    <w:p>
      <w:pPr>
        <w:ind w:right="240"/>
        <w:spacing w:after="0" w:line="216" w:lineRule="auto"/>
        <w:rPr>
          <w:sz w:val="20"/>
          <w:szCs w:val="20"/>
          <w:color w:val="auto"/>
        </w:rPr>
      </w:pPr>
      <w:r>
        <w:rPr>
          <w:rFonts w:ascii="Arial" w:cs="Arial" w:eastAsia="Arial" w:hAnsi="Arial"/>
          <w:sz w:val="18"/>
          <w:szCs w:val="18"/>
          <w:color w:val="auto"/>
        </w:rPr>
        <w:t>work pants, and No-Yank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right="20" w:firstLine="428"/>
        <w:spacing w:after="0" w:line="238" w:lineRule="auto"/>
        <w:rPr>
          <w:sz w:val="20"/>
          <w:szCs w:val="20"/>
          <w:color w:val="auto"/>
        </w:rPr>
      </w:pPr>
      <w:r>
        <w:rPr>
          <w:rFonts w:ascii="Arial" w:cs="Arial" w:eastAsia="Arial" w:hAnsi="Arial"/>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financial results is as follows: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sales increased by 0.7% over the prior year first quarter to $123.8 million;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loss of $3.9 million in fiscal 2023 first quarter compared to the prior year first quarter net loss of $1.3 million; and</w:t>
      </w:r>
    </w:p>
    <w:p>
      <w:pPr>
        <w:spacing w:after="0" w:line="90" w:lineRule="exact"/>
        <w:rPr>
          <w:sz w:val="20"/>
          <w:szCs w:val="20"/>
          <w:color w:val="auto"/>
        </w:rPr>
      </w:pPr>
    </w:p>
    <w:p>
      <w:pPr>
        <w:ind w:left="880" w:right="440"/>
        <w:spacing w:after="0" w:line="277" w:lineRule="auto"/>
        <w:rPr>
          <w:sz w:val="20"/>
          <w:szCs w:val="20"/>
          <w:color w:val="auto"/>
        </w:rPr>
      </w:pPr>
      <w:r>
        <w:rPr>
          <w:rFonts w:ascii="Arial" w:cs="Arial" w:eastAsia="Arial" w:hAnsi="Arial"/>
          <w:sz w:val="18"/>
          <w:szCs w:val="18"/>
          <w:color w:val="auto"/>
        </w:rPr>
        <w:t>Adjusted EBITDA decreased to $5.3 million in fiscal 2023 first quarter compared to the prior year first quarter Adjusted EBITDA of $7.9 million.</w:t>
      </w:r>
    </w:p>
    <w:p>
      <w:pPr>
        <w:spacing w:after="0" w:line="116" w:lineRule="exact"/>
        <w:rPr>
          <w:sz w:val="20"/>
          <w:szCs w:val="20"/>
          <w:color w:val="auto"/>
        </w:rPr>
      </w:pPr>
    </w:p>
    <w:p>
      <w:pPr>
        <w:jc w:val="both"/>
        <w:ind w:right="80" w:firstLine="402"/>
        <w:spacing w:after="0" w:line="253" w:lineRule="auto"/>
        <w:rPr>
          <w:sz w:val="20"/>
          <w:szCs w:val="20"/>
          <w:color w:val="auto"/>
        </w:rPr>
      </w:pPr>
      <w:r>
        <w:rPr>
          <w:rFonts w:ascii="Arial" w:cs="Arial" w:eastAsia="Arial" w:hAnsi="Arial"/>
          <w:sz w:val="17"/>
          <w:szCs w:val="17"/>
          <w:color w:val="auto"/>
        </w:rPr>
        <w:t>See the “Reconciliation of Net Income (Loss) to EBITDA and EBITDA to Adjusted EBITDA” section for a reconciliation of our net income (loss)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38" w:lineRule="exact"/>
        <w:rPr>
          <w:sz w:val="20"/>
          <w:szCs w:val="20"/>
          <w:color w:val="auto"/>
        </w:rPr>
      </w:pPr>
    </w:p>
    <w:p>
      <w:pPr>
        <w:jc w:val="both"/>
        <w:ind w:right="80" w:firstLine="402"/>
        <w:spacing w:after="0"/>
        <w:rPr>
          <w:sz w:val="20"/>
          <w:szCs w:val="20"/>
          <w:color w:val="auto"/>
        </w:rPr>
      </w:pPr>
      <w:r>
        <w:rPr>
          <w:rFonts w:ascii="Arial" w:cs="Arial" w:eastAsia="Arial" w:hAnsi="Arial"/>
          <w:sz w:val="18"/>
          <w:szCs w:val="18"/>
          <w:color w:val="auto"/>
        </w:rPr>
        <w:t>Our management’s discussion and analysis includes market sales metrics for our stores, website and catalog sales. Market areas are determined by a third-party that divides the United States and Puerto Rico into 280 unique geographical areas. Our store market sales metrics include sales from our stores, website and catalog. Our non-store market sales metrics include sales from our website and catalog.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w:t>
      </w:r>
    </w:p>
    <w:p>
      <w:pPr>
        <w:spacing w:after="0" w:line="158" w:lineRule="exact"/>
        <w:rPr>
          <w:sz w:val="20"/>
          <w:szCs w:val="20"/>
          <w:color w:val="auto"/>
        </w:rPr>
      </w:pPr>
    </w:p>
    <w:p>
      <w:pPr>
        <w:ind w:right="260" w:firstLine="492"/>
        <w:spacing w:after="0" w:line="261" w:lineRule="auto"/>
        <w:rPr>
          <w:sz w:val="20"/>
          <w:szCs w:val="20"/>
          <w:color w:val="auto"/>
        </w:rPr>
      </w:pPr>
      <w:r>
        <w:rPr>
          <w:rFonts w:ascii="Arial" w:cs="Arial" w:eastAsia="Arial" w:hAnsi="Arial"/>
          <w:sz w:val="18"/>
          <w:szCs w:val="18"/>
          <w:color w:val="auto"/>
        </w:rPr>
        <w:t>The United States economy has experienced continued high inflation during the first quarter of 2023 and there are expectations in the market that inflation may remain at elevated levels.</w:t>
      </w:r>
    </w:p>
    <w:p>
      <w:pPr>
        <w:spacing w:after="0" w:line="117" w:lineRule="exact"/>
        <w:rPr>
          <w:sz w:val="20"/>
          <w:szCs w:val="20"/>
          <w:color w:val="auto"/>
        </w:rPr>
      </w:pPr>
    </w:p>
    <w:p>
      <w:pPr>
        <w:ind w:right="80" w:firstLine="492"/>
        <w:spacing w:after="0" w:line="291" w:lineRule="auto"/>
        <w:rPr>
          <w:sz w:val="20"/>
          <w:szCs w:val="20"/>
          <w:color w:val="auto"/>
        </w:rPr>
      </w:pPr>
      <w:r>
        <w:rPr>
          <w:rFonts w:ascii="Arial" w:cs="Arial" w:eastAsia="Arial" w:hAnsi="Arial"/>
          <w:sz w:val="17"/>
          <w:szCs w:val="17"/>
          <w:color w:val="auto"/>
        </w:rPr>
        <w:t>The ultimate impact of higher inflationary periods on our operational and financial performance still depends on future developments outside of our control. Given the uncertainty, we cannot reasonably estimate store traffic patterns and the prolonged impact on overall consumer demand.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assessing the performance of our business, we consider a variety of financial and operating measures that affect our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71" w:lineRule="exact"/>
        <w:rPr>
          <w:sz w:val="20"/>
          <w:szCs w:val="20"/>
          <w:color w:val="auto"/>
        </w:rPr>
      </w:pPr>
    </w:p>
    <w:p>
      <w:pPr>
        <w:ind w:right="380" w:firstLine="428"/>
        <w:spacing w:after="0" w:line="246" w:lineRule="auto"/>
        <w:rPr>
          <w:sz w:val="20"/>
          <w:szCs w:val="20"/>
          <w:color w:val="auto"/>
        </w:rPr>
      </w:pPr>
      <w:r>
        <w:rPr>
          <w:rFonts w:ascii="Arial" w:cs="Arial" w:eastAsia="Arial" w:hAnsi="Arial"/>
          <w:sz w:val="18"/>
          <w:szCs w:val="18"/>
          <w:color w:val="auto"/>
        </w:rPr>
        <w:t>Net sales reflect our sale of merchandise plus shipping and handling revenue collected from our customers, less returns and discounts. Direct-to-consumer sales are recognized upon shipment of the product and store sales are recognized at the point of sale.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firstLine="428"/>
        <w:spacing w:after="0" w:line="262" w:lineRule="auto"/>
        <w:rPr>
          <w:sz w:val="20"/>
          <w:szCs w:val="20"/>
          <w:color w:val="auto"/>
        </w:rPr>
      </w:pPr>
      <w:r>
        <w:rPr>
          <w:rFonts w:ascii="Arial" w:cs="Arial" w:eastAsia="Arial" w:hAnsi="Arial"/>
          <w:sz w:val="16"/>
          <w:szCs w:val="16"/>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Our gross profit may not be comparable to other retailers, as we do not include distribution network and store occupancy expenses in calculating gross profit, but instead we include them in selling, general and administrative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71" w:lineRule="exact"/>
        <w:rPr>
          <w:sz w:val="20"/>
          <w:szCs w:val="20"/>
          <w:color w:val="auto"/>
        </w:rPr>
      </w:pPr>
    </w:p>
    <w:p>
      <w:pPr>
        <w:ind w:right="300" w:firstLine="428"/>
        <w:spacing w:after="0" w:line="229" w:lineRule="auto"/>
        <w:rPr>
          <w:sz w:val="20"/>
          <w:szCs w:val="20"/>
          <w:color w:val="auto"/>
        </w:rPr>
      </w:pPr>
      <w:r>
        <w:rPr>
          <w:rFonts w:ascii="Arial" w:cs="Arial" w:eastAsia="Arial" w:hAnsi="Arial"/>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digital and television advertising, catalog production, mailing and print advertising costs, as well as all logistics costs associated with shipping product to our customers, consulting and software expenses and professional services fees. Selling,</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7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general and administrative expenses as a percentage of net sales is usually higher in lower-volume quarters and lower in higher-volume quarters because a portion of the costs are relatively fixed.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ind w:right="160" w:firstLine="428"/>
        <w:spacing w:after="0" w:line="251" w:lineRule="auto"/>
        <w:rPr>
          <w:sz w:val="20"/>
          <w:szCs w:val="20"/>
          <w:color w:val="auto"/>
        </w:rPr>
      </w:pPr>
      <w:r>
        <w:rPr>
          <w:rFonts w:ascii="Arial" w:cs="Arial" w:eastAsia="Arial" w:hAnsi="Arial"/>
          <w:sz w:val="17"/>
          <w:szCs w:val="17"/>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1" w:lineRule="exact"/>
        <w:rPr>
          <w:sz w:val="20"/>
          <w:szCs w:val="20"/>
          <w:color w:val="auto"/>
        </w:rPr>
      </w:pPr>
    </w:p>
    <w:p>
      <w:pPr>
        <w:ind w:right="140" w:firstLine="428"/>
        <w:spacing w:after="0" w:line="231" w:lineRule="auto"/>
        <w:rPr>
          <w:sz w:val="20"/>
          <w:szCs w:val="20"/>
          <w:color w:val="auto"/>
        </w:rPr>
      </w:pPr>
      <w:r>
        <w:rPr>
          <w:rFonts w:ascii="Arial" w:cs="Arial" w:eastAsia="Arial" w:hAnsi="Arial"/>
          <w:sz w:val="18"/>
          <w:szCs w:val="18"/>
          <w:color w:val="auto"/>
        </w:rPr>
        <w:t>We define Adjusted EBITDA as consolidated net income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 We also use Adjusted EBITDA as the key financial metric in determining bonus compensation for our employees. This non-GAAP measure may not be comparable to similarly titled measures used by other companies.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unaudited consolidated results of operations for the periods indicated, both in dollars and as a percentage of net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2023</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May 1, 2022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20" w:type="dxa"/>
            <w:vAlign w:val="bottom"/>
            <w:gridSpan w:val="2"/>
            <w:shd w:val="clear" w:color="auto" w:fill="CCEEFF"/>
          </w:tcPr>
          <w:p>
            <w:pPr>
              <w:jc w:val="right"/>
              <w:ind w:right="1379"/>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123,759</w:t>
            </w:r>
          </w:p>
        </w:tc>
        <w:tc>
          <w:tcPr>
            <w:tcW w:w="82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122,904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Cost of goods sold (excluding depreciation and amortization)</w:t>
            </w:r>
          </w:p>
        </w:tc>
        <w:tc>
          <w:tcPr>
            <w:tcW w:w="126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58,108</w:t>
            </w:r>
          </w:p>
        </w:tc>
        <w:tc>
          <w:tcPr>
            <w:tcW w:w="1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55,841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65,651</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26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70,200</w:t>
            </w:r>
          </w:p>
        </w:tc>
        <w:tc>
          <w:tcPr>
            <w:tcW w:w="1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67,994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Interest expense</w:t>
            </w:r>
          </w:p>
        </w:tc>
        <w:tc>
          <w:tcPr>
            <w:tcW w:w="1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934</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876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6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(5,335)</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(1,761)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2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(3,877)</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(1,323)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126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line="196" w:lineRule="exact"/>
              <w:rPr>
                <w:sz w:val="20"/>
                <w:szCs w:val="20"/>
                <w:color w:val="auto"/>
              </w:rPr>
            </w:pPr>
            <w:r>
              <w:rPr>
                <w:rFonts w:ascii="Arial" w:cs="Arial" w:eastAsia="Arial" w:hAnsi="Arial"/>
                <w:sz w:val="18"/>
                <w:szCs w:val="18"/>
                <w:color w:val="auto"/>
              </w:rPr>
              <w:t>Net loss attributable to controlling interest</w:t>
            </w:r>
          </w:p>
        </w:tc>
        <w:tc>
          <w:tcPr>
            <w:tcW w:w="1260" w:type="dxa"/>
            <w:vAlign w:val="bottom"/>
          </w:tcPr>
          <w:p>
            <w:pPr>
              <w:spacing w:after="0"/>
              <w:rPr>
                <w:sz w:val="17"/>
                <w:szCs w:val="17"/>
                <w:color w:val="auto"/>
              </w:rPr>
            </w:pPr>
          </w:p>
        </w:tc>
        <w:tc>
          <w:tcPr>
            <w:tcW w:w="1560" w:type="dxa"/>
            <w:vAlign w:val="bottom"/>
            <w:tcBorders>
              <w:bottom w:val="single" w:sz="8" w:color="auto"/>
            </w:tcBorders>
          </w:tcPr>
          <w:p>
            <w:pPr>
              <w:jc w:val="right"/>
              <w:ind w:right="1379"/>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(3,869)</w:t>
            </w:r>
          </w:p>
        </w:tc>
        <w:tc>
          <w:tcPr>
            <w:tcW w:w="160" w:type="dxa"/>
            <w:vAlign w:val="bottom"/>
          </w:tcPr>
          <w:p>
            <w:pPr>
              <w:spacing w:after="0"/>
              <w:rPr>
                <w:sz w:val="17"/>
                <w:szCs w:val="17"/>
                <w:color w:val="auto"/>
              </w:rPr>
            </w:pPr>
          </w:p>
        </w:tc>
        <w:tc>
          <w:tcPr>
            <w:tcW w:w="6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Percentage of Net sales:</w:t>
            </w:r>
          </w:p>
        </w:tc>
        <w:tc>
          <w:tcPr>
            <w:tcW w:w="1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18"/>
                <w:szCs w:val="18"/>
                <w:color w:val="auto"/>
              </w:rPr>
              <w:t>Cost of goods sold (excluding depreciation</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980" w:type="dxa"/>
            <w:vAlign w:val="bottom"/>
          </w:tcPr>
          <w:p>
            <w:pPr>
              <w:spacing w:after="0"/>
              <w:rPr>
                <w:sz w:val="20"/>
                <w:szCs w:val="20"/>
                <w:color w:val="auto"/>
              </w:rPr>
            </w:pPr>
            <w:r>
              <w:rPr>
                <w:rFonts w:ascii="Arial" w:cs="Arial" w:eastAsia="Arial" w:hAnsi="Arial"/>
                <w:sz w:val="18"/>
                <w:szCs w:val="18"/>
                <w:color w:val="auto"/>
              </w:rPr>
              <w:t>and amortization)</w:t>
            </w:r>
          </w:p>
        </w:tc>
        <w:tc>
          <w:tcPr>
            <w:tcW w:w="126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53.0 %</w:t>
            </w:r>
          </w:p>
        </w:tc>
        <w:tc>
          <w:tcPr>
            <w:tcW w:w="6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54.6 %</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26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6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36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Interest expense</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0.7</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19"/>
                <w:szCs w:val="19"/>
                <w:color w:val="auto"/>
              </w:rPr>
            </w:pPr>
          </w:p>
        </w:tc>
        <w:tc>
          <w:tcPr>
            <w:tcW w:w="1940" w:type="dxa"/>
            <w:vAlign w:val="bottom"/>
            <w:gridSpan w:val="2"/>
          </w:tcPr>
          <w:p>
            <w:pPr>
              <w:jc w:val="right"/>
              <w:ind w:right="1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2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19"/>
                <w:szCs w:val="19"/>
                <w:color w:val="auto"/>
              </w:rPr>
            </w:pPr>
          </w:p>
        </w:tc>
        <w:tc>
          <w:tcPr>
            <w:tcW w:w="1940" w:type="dxa"/>
            <w:vAlign w:val="bottom"/>
            <w:gridSpan w:val="2"/>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1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8"/>
                <w:szCs w:val="18"/>
                <w:color w:val="auto"/>
              </w:rPr>
              <w:t>Net loss attributable to controlling interest</w:t>
            </w:r>
          </w:p>
        </w:tc>
        <w:tc>
          <w:tcPr>
            <w:tcW w:w="1260" w:type="dxa"/>
            <w:vAlign w:val="bottom"/>
            <w:vMerge w:val="restart"/>
          </w:tcPr>
          <w:p>
            <w:pPr>
              <w:jc w:val="right"/>
              <w:ind w:right="430"/>
              <w:spacing w:after="0"/>
              <w:rPr>
                <w:sz w:val="20"/>
                <w:szCs w:val="20"/>
                <w:color w:val="auto"/>
              </w:rPr>
            </w:pPr>
            <w:r>
              <w:rPr>
                <w:rFonts w:ascii="Arial" w:cs="Arial" w:eastAsia="Arial" w:hAnsi="Arial"/>
                <w:sz w:val="18"/>
                <w:szCs w:val="18"/>
                <w:color w:val="auto"/>
              </w:rPr>
              <w:t>23</w:t>
            </w:r>
          </w:p>
        </w:tc>
        <w:tc>
          <w:tcPr>
            <w:tcW w:w="15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18"/>
                <w:szCs w:val="18"/>
                <w:color w:val="auto"/>
              </w:rPr>
            </w:pPr>
          </w:p>
        </w:tc>
        <w:tc>
          <w:tcPr>
            <w:tcW w:w="1940" w:type="dxa"/>
            <w:vAlign w:val="bottom"/>
            <w:gridSpan w:val="2"/>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4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4720"/>
        <w:spacing w:after="0" w:line="432" w:lineRule="auto"/>
        <w:rPr>
          <w:sz w:val="20"/>
          <w:szCs w:val="20"/>
          <w:color w:val="auto"/>
        </w:rPr>
      </w:pPr>
      <w:r>
        <w:rPr>
          <w:rFonts w:ascii="Arial" w:cs="Arial" w:eastAsia="Arial" w:hAnsi="Arial"/>
          <w:sz w:val="18"/>
          <w:szCs w:val="18"/>
          <w:b w:val="1"/>
          <w:bCs w:val="1"/>
          <w:color w:val="auto"/>
        </w:rPr>
        <w:t xml:space="preserve">Three Months Ended April 30, 2023, Compared to Three Months Ended May 1, 2022 </w:t>
      </w:r>
      <w:r>
        <w:rPr>
          <w:rFonts w:ascii="Arial" w:cs="Arial" w:eastAsia="Arial" w:hAnsi="Arial"/>
          <w:sz w:val="18"/>
          <w:szCs w:val="18"/>
          <w:b w:val="1"/>
          <w:bCs w:val="1"/>
          <w:i w:val="1"/>
          <w:iCs w:val="1"/>
          <w:color w:val="auto"/>
        </w:rPr>
        <w:t>Net Sales</w:t>
      </w:r>
    </w:p>
    <w:p>
      <w:pPr>
        <w:spacing w:after="0" w:line="1" w:lineRule="exact"/>
        <w:rPr>
          <w:sz w:val="20"/>
          <w:szCs w:val="20"/>
          <w:color w:val="auto"/>
        </w:rPr>
      </w:pPr>
    </w:p>
    <w:p>
      <w:pPr>
        <w:ind w:right="40" w:firstLine="428"/>
        <w:spacing w:after="0" w:line="261" w:lineRule="auto"/>
        <w:rPr>
          <w:sz w:val="20"/>
          <w:szCs w:val="20"/>
          <w:color w:val="auto"/>
        </w:rPr>
      </w:pPr>
      <w:r>
        <w:rPr>
          <w:rFonts w:ascii="Arial" w:cs="Arial" w:eastAsia="Arial" w:hAnsi="Arial"/>
          <w:sz w:val="18"/>
          <w:szCs w:val="18"/>
          <w:color w:val="auto"/>
        </w:rPr>
        <w:t>Net sales increased $0.9 million, or 0.7%, to $123.8 million in the three months ended April 30, 2023 compared to $122.9 million in the three months ended May 1, 2022.</w:t>
      </w:r>
    </w:p>
    <w:p>
      <w:pPr>
        <w:spacing w:after="0" w:line="117" w:lineRule="exact"/>
        <w:rPr>
          <w:sz w:val="20"/>
          <w:szCs w:val="20"/>
          <w:color w:val="auto"/>
        </w:rPr>
      </w:pPr>
    </w:p>
    <w:p>
      <w:pPr>
        <w:ind w:right="80" w:firstLine="428"/>
        <w:spacing w:after="0"/>
        <w:rPr>
          <w:sz w:val="20"/>
          <w:szCs w:val="20"/>
          <w:color w:val="auto"/>
        </w:rPr>
      </w:pPr>
      <w:r>
        <w:rPr>
          <w:rFonts w:ascii="Arial" w:cs="Arial" w:eastAsia="Arial" w:hAnsi="Arial"/>
          <w:sz w:val="18"/>
          <w:szCs w:val="18"/>
          <w:color w:val="auto"/>
        </w:rPr>
        <w:t>Store market net sales increased $0.3 million, or 0.3%, to $85.4 million in the three months ended April 30, 2023 compared to $85.1 million in the three months ended May 1, 2022. Non-store market net sales increased by $0.6 million, or 1.7%, to $37.4 million in the three months ended April 30, 2023 compared to $36.8 million in the three months ended May 1,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right="60" w:firstLine="648"/>
        <w:spacing w:after="0" w:line="266" w:lineRule="auto"/>
        <w:rPr>
          <w:sz w:val="20"/>
          <w:szCs w:val="20"/>
          <w:color w:val="auto"/>
        </w:rPr>
      </w:pPr>
      <w:r>
        <w:rPr>
          <w:rFonts w:ascii="Arial" w:cs="Arial" w:eastAsia="Arial" w:hAnsi="Arial"/>
          <w:sz w:val="16"/>
          <w:szCs w:val="16"/>
          <w:color w:val="auto"/>
        </w:rPr>
        <w:t>Gross profit decreased $1.4 million, or 2.1%, to $65.7 million in the three months ended April 30, 2023 compared to $67.1 million in the three months ended May 1, 2022. As a percentage of net sales, gross margin decreased to 53.0% of net sales in the three months ended April 30, 2023, compared to 54.6% of net sales in the three months ended May 1, 2022. The decrease in gross margin was primarily driven by a higher mix of promotional and clearance sales during the current period. The lower product margin rate was partially offset by expensing $3.9 million of expedited freight during the first quarter of 2022 compared to $0.1 million during the current quarter, impacting the quarter-over-quarter margin rate variance by 3.1%.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71" w:lineRule="exact"/>
        <w:rPr>
          <w:sz w:val="20"/>
          <w:szCs w:val="20"/>
          <w:color w:val="auto"/>
        </w:rPr>
      </w:pPr>
    </w:p>
    <w:p>
      <w:pPr>
        <w:ind w:right="120" w:firstLine="428"/>
        <w:spacing w:after="0" w:line="235" w:lineRule="auto"/>
        <w:rPr>
          <w:sz w:val="20"/>
          <w:szCs w:val="20"/>
          <w:color w:val="auto"/>
        </w:rPr>
      </w:pPr>
      <w:r>
        <w:rPr>
          <w:rFonts w:ascii="Arial" w:cs="Arial" w:eastAsia="Arial" w:hAnsi="Arial"/>
          <w:sz w:val="18"/>
          <w:szCs w:val="18"/>
          <w:color w:val="auto"/>
        </w:rPr>
        <w:t>Selling, general and administrative expenses increased $2.2 million, or 3.2%, to $70.2 million in the three months ended April 30, 2023 compared to $68.0 million in the three months ended May 1, 2022. Selling, general and administrative expenses as a percentage of net sales increased to 56.7% in the three months ended April 30, 2023, compared to 55.3% in the three months ended May 1, 2022.</w:t>
      </w:r>
    </w:p>
    <w:p>
      <w:pPr>
        <w:spacing w:after="0" w:line="148" w:lineRule="exact"/>
        <w:rPr>
          <w:sz w:val="20"/>
          <w:szCs w:val="20"/>
          <w:color w:val="auto"/>
        </w:rPr>
      </w:pPr>
    </w:p>
    <w:p>
      <w:pPr>
        <w:ind w:right="20" w:firstLine="428"/>
        <w:spacing w:after="0" w:line="274" w:lineRule="auto"/>
        <w:rPr>
          <w:sz w:val="20"/>
          <w:szCs w:val="20"/>
          <w:color w:val="auto"/>
        </w:rPr>
      </w:pPr>
      <w:r>
        <w:rPr>
          <w:rFonts w:ascii="Arial" w:cs="Arial" w:eastAsia="Arial" w:hAnsi="Arial"/>
          <w:sz w:val="17"/>
          <w:szCs w:val="17"/>
          <w:color w:val="auto"/>
        </w:rPr>
        <w:t>The increase in selling, general and administrative expense was partially due to higher occupancy costs from the new automated Southeast fulfillment center, coupled with increased amortization of software hosting implementation costs from continued capital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100" w:firstLine="428"/>
        <w:spacing w:after="0"/>
        <w:rPr>
          <w:sz w:val="20"/>
          <w:szCs w:val="20"/>
          <w:color w:val="auto"/>
        </w:rPr>
      </w:pPr>
      <w:r>
        <w:rPr>
          <w:rFonts w:ascii="Arial" w:cs="Arial" w:eastAsia="Arial" w:hAnsi="Arial"/>
          <w:sz w:val="18"/>
          <w:szCs w:val="18"/>
          <w:color w:val="auto"/>
        </w:rPr>
        <w:t>Income tax benefit was $1.5 million in the three months ended April 30, 2023, compared to income tax benefit of $0.4 million in the three months ended May 1, 2022. The effective tax rate related to controlling interest was 27% for the three months ended April 30, 2023 compared to 25% for the three months ended May 1, 2022.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Attributable to Controlling Interest</w:t>
      </w:r>
    </w:p>
    <w:p>
      <w:pPr>
        <w:spacing w:after="0" w:line="171" w:lineRule="exact"/>
        <w:rPr>
          <w:sz w:val="20"/>
          <w:szCs w:val="20"/>
          <w:color w:val="auto"/>
        </w:rPr>
      </w:pPr>
    </w:p>
    <w:p>
      <w:pPr>
        <w:ind w:right="380" w:firstLine="428"/>
        <w:spacing w:after="0" w:line="261" w:lineRule="auto"/>
        <w:rPr>
          <w:sz w:val="20"/>
          <w:szCs w:val="20"/>
          <w:color w:val="auto"/>
        </w:rPr>
      </w:pPr>
      <w:r>
        <w:rPr>
          <w:rFonts w:ascii="Arial" w:cs="Arial" w:eastAsia="Arial" w:hAnsi="Arial"/>
          <w:sz w:val="18"/>
          <w:szCs w:val="18"/>
          <w:color w:val="auto"/>
        </w:rPr>
        <w:t>Net loss attributable to controlling interest was $3.9 million, in the three months ended April 30, 2023 compared to net loss of $1.3 million in the three months ended May 1, 2022, due to the factors discussed above.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Income to EBITDA and EBITDA to Adjusted EBITDA</w:t>
      </w:r>
    </w:p>
    <w:p>
      <w:pPr>
        <w:spacing w:after="0" w:line="175" w:lineRule="exact"/>
        <w:rPr>
          <w:sz w:val="20"/>
          <w:szCs w:val="20"/>
          <w:color w:val="auto"/>
        </w:rPr>
      </w:pPr>
    </w:p>
    <w:p>
      <w:pPr>
        <w:ind w:right="200" w:firstLine="428"/>
        <w:spacing w:after="0"/>
        <w:rPr>
          <w:sz w:val="20"/>
          <w:szCs w:val="20"/>
          <w:color w:val="auto"/>
        </w:rPr>
      </w:pPr>
      <w:r>
        <w:rPr>
          <w:rFonts w:ascii="Arial" w:cs="Arial" w:eastAsia="Arial" w:hAnsi="Arial"/>
          <w:sz w:val="18"/>
          <w:szCs w:val="18"/>
          <w:color w:val="auto"/>
        </w:rPr>
        <w:t>The following table presents reconciliations of net income to EBITDA and EBITDA to Adjusted EBITDA, both of which are non-U.S. GAAP financial measures, for the periods indicated below. See the above section titled “How We Assess the Performance of Our Business,” for our definition of Adjusted EBITDA.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6"/>
              </w:rPr>
              <w:t>Three Months Ended</w:t>
            </w:r>
          </w:p>
        </w:tc>
        <w:tc>
          <w:tcPr>
            <w:tcW w:w="1540" w:type="dxa"/>
            <w:vAlign w:val="bottom"/>
            <w:tcBorders>
              <w:bottom w:val="single" w:sz="8" w:color="auto"/>
            </w:tcBorders>
          </w:tcPr>
          <w:p>
            <w:pPr>
              <w:spacing w:after="0"/>
              <w:rPr>
                <w:sz w:val="16"/>
                <w:szCs w:val="16"/>
                <w:color w:val="auto"/>
              </w:rPr>
            </w:pPr>
          </w:p>
        </w:tc>
      </w:tr>
      <w:tr>
        <w:trPr>
          <w:trHeight w:val="196"/>
        </w:trPr>
        <w:tc>
          <w:tcPr>
            <w:tcW w:w="44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2023</w:t>
            </w:r>
          </w:p>
        </w:tc>
        <w:tc>
          <w:tcPr>
            <w:tcW w:w="6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May 1, 2022</w:t>
            </w:r>
          </w:p>
        </w:tc>
      </w:tr>
      <w:tr>
        <w:trPr>
          <w:trHeight w:val="209"/>
        </w:trPr>
        <w:tc>
          <w:tcPr>
            <w:tcW w:w="44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780" w:type="dxa"/>
            <w:vAlign w:val="bottom"/>
            <w:gridSpan w:val="2"/>
            <w:shd w:val="clear" w:color="auto" w:fill="CCEEFF"/>
          </w:tcPr>
          <w:p>
            <w:pPr>
              <w:jc w:val="right"/>
              <w:ind w:right="139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86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r>
      <w:tr>
        <w:trPr>
          <w:trHeight w:val="230"/>
        </w:trPr>
        <w:tc>
          <w:tcPr>
            <w:tcW w:w="44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7,413</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7,520</w:t>
            </w: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internal-use software hosting</w:t>
            </w:r>
          </w:p>
        </w:tc>
        <w:tc>
          <w:tcPr>
            <w:tcW w:w="2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4460" w:type="dxa"/>
            <w:vAlign w:val="bottom"/>
          </w:tcPr>
          <w:p>
            <w:pPr>
              <w:ind w:left="240"/>
              <w:spacing w:after="0"/>
              <w:rPr>
                <w:sz w:val="20"/>
                <w:szCs w:val="20"/>
                <w:color w:val="auto"/>
              </w:rPr>
            </w:pPr>
            <w:r>
              <w:rPr>
                <w:rFonts w:ascii="Arial" w:cs="Arial" w:eastAsia="Arial" w:hAnsi="Arial"/>
                <w:sz w:val="18"/>
                <w:szCs w:val="18"/>
                <w:color w:val="auto"/>
              </w:rPr>
              <w:t>subscription implementation costs</w:t>
            </w: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1,270</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30"/>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03"/>
        </w:trPr>
        <w:tc>
          <w:tcPr>
            <w:tcW w:w="4460" w:type="dxa"/>
            <w:vAlign w:val="bottom"/>
          </w:tcPr>
          <w:p>
            <w:pPr>
              <w:ind w:left="120"/>
              <w:spacing w:after="0" w:line="202" w:lineRule="exact"/>
              <w:rPr>
                <w:sz w:val="20"/>
                <w:szCs w:val="20"/>
                <w:color w:val="auto"/>
              </w:rPr>
            </w:pPr>
            <w:r>
              <w:rPr>
                <w:rFonts w:ascii="Arial" w:cs="Arial" w:eastAsia="Arial" w:hAnsi="Arial"/>
                <w:sz w:val="18"/>
                <w:szCs w:val="18"/>
                <w:color w:val="auto"/>
              </w:rPr>
              <w:t>Income tax benefit</w:t>
            </w:r>
          </w:p>
        </w:tc>
        <w:tc>
          <w:tcPr>
            <w:tcW w:w="220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(1,458)</w:t>
            </w:r>
          </w:p>
        </w:tc>
        <w:tc>
          <w:tcPr>
            <w:tcW w:w="2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(438)</w:t>
            </w: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3780" w:type="dxa"/>
            <w:vAlign w:val="bottom"/>
            <w:gridSpan w:val="2"/>
            <w:shd w:val="clear" w:color="auto" w:fill="CCEEFF"/>
          </w:tcPr>
          <w:p>
            <w:pPr>
              <w:jc w:val="right"/>
              <w:ind w:right="139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86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w:t>
            </w:r>
          </w:p>
        </w:tc>
      </w:tr>
      <w:tr>
        <w:trPr>
          <w:trHeight w:val="216"/>
        </w:trPr>
        <w:tc>
          <w:tcPr>
            <w:tcW w:w="4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Stock based compensation</w:t>
            </w:r>
          </w:p>
        </w:tc>
        <w:tc>
          <w:tcPr>
            <w:tcW w:w="22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2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r>
      <w:tr>
        <w:trPr>
          <w:trHeight w:val="223"/>
        </w:trPr>
        <w:tc>
          <w:tcPr>
            <w:tcW w:w="44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Adjusted EBITDA</w:t>
            </w:r>
          </w:p>
        </w:tc>
        <w:tc>
          <w:tcPr>
            <w:tcW w:w="22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99"/>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5,272</w:t>
            </w:r>
          </w:p>
        </w:tc>
        <w:tc>
          <w:tcPr>
            <w:tcW w:w="2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0"/>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7,886</w:t>
            </w:r>
          </w:p>
        </w:tc>
      </w:tr>
      <w:tr>
        <w:trPr>
          <w:trHeight w:val="197"/>
        </w:trPr>
        <w:tc>
          <w:tcPr>
            <w:tcW w:w="4460" w:type="dxa"/>
            <w:vAlign w:val="bottom"/>
          </w:tcPr>
          <w:p>
            <w:pPr>
              <w:spacing w:after="0"/>
              <w:rPr>
                <w:sz w:val="17"/>
                <w:szCs w:val="17"/>
                <w:color w:val="auto"/>
              </w:rPr>
            </w:pPr>
          </w:p>
        </w:tc>
        <w:tc>
          <w:tcPr>
            <w:tcW w:w="2200" w:type="dxa"/>
            <w:vAlign w:val="bottom"/>
          </w:tcPr>
          <w:p>
            <w:pPr>
              <w:jc w:val="right"/>
              <w:ind w:right="850"/>
              <w:spacing w:after="0" w:line="197" w:lineRule="exact"/>
              <w:rPr>
                <w:sz w:val="20"/>
                <w:szCs w:val="20"/>
                <w:color w:val="auto"/>
              </w:rPr>
            </w:pPr>
            <w:r>
              <w:rPr>
                <w:rFonts w:ascii="Arial" w:cs="Arial" w:eastAsia="Arial" w:hAnsi="Arial"/>
                <w:sz w:val="18"/>
                <w:szCs w:val="18"/>
                <w:color w:val="auto"/>
              </w:rPr>
              <w:t>24</w:t>
            </w:r>
          </w:p>
        </w:tc>
        <w:tc>
          <w:tcPr>
            <w:tcW w:w="1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506"/>
        </w:trPr>
        <w:tc>
          <w:tcPr>
            <w:tcW w:w="44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ind w:right="400" w:firstLine="428"/>
        <w:spacing w:after="0" w:line="285" w:lineRule="auto"/>
        <w:rPr>
          <w:sz w:val="20"/>
          <w:szCs w:val="20"/>
          <w:color w:val="auto"/>
        </w:rPr>
      </w:pPr>
      <w:r>
        <w:rPr>
          <w:rFonts w:ascii="Arial" w:cs="Arial" w:eastAsia="Arial" w:hAnsi="Arial"/>
          <w:sz w:val="16"/>
          <w:szCs w:val="16"/>
          <w:color w:val="auto"/>
        </w:rPr>
        <w:t>As a result of the factors discussed above in the “Results of Operations” section, Adjusted EBITDA decreased $2.6 million to $5.3 million in the three months ended April 30, 2023 compared to $7.9 million in the three months ended May 1, 2022. As a percentage of net sales, Adjusted EBITDA decreased to 4.3% of net sales in the three months ended April 30, 2023 compared to 6.4% of net sales in the three months ended May 1, 2022.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ind w:right="80" w:firstLine="428"/>
        <w:spacing w:after="0" w:line="238" w:lineRule="auto"/>
        <w:rPr>
          <w:sz w:val="20"/>
          <w:szCs w:val="20"/>
          <w:color w:val="auto"/>
        </w:rPr>
      </w:pPr>
      <w:r>
        <w:rPr>
          <w:rFonts w:ascii="Arial" w:cs="Arial" w:eastAsia="Arial" w:hAnsi="Arial"/>
          <w:sz w:val="18"/>
          <w:szCs w:val="18"/>
          <w:color w:val="auto"/>
        </w:rPr>
        <w:t>Our business relies on cash from operating activities and a credit facility as our primary sources of liquidity. Our primary cash needs have been for inventory, marketing and advertising, payroll, store leases, capital expenditures associated with infrastructure and information technology. The most significant components of our working capital are cash, inventory, accounts payable and other current liabilities. At April 30, 2023, our net working capital was $88.7 million, including $9.2 million of cash and cash equivalents.</w:t>
      </w:r>
    </w:p>
    <w:p>
      <w:pPr>
        <w:spacing w:after="0" w:line="137" w:lineRule="exact"/>
        <w:rPr>
          <w:sz w:val="20"/>
          <w:szCs w:val="20"/>
          <w:color w:val="auto"/>
        </w:rPr>
      </w:pPr>
    </w:p>
    <w:p>
      <w:pPr>
        <w:ind w:right="60" w:firstLine="428"/>
        <w:spacing w:after="0" w:line="235" w:lineRule="auto"/>
        <w:rPr>
          <w:sz w:val="20"/>
          <w:szCs w:val="20"/>
          <w:color w:val="auto"/>
        </w:rPr>
      </w:pPr>
      <w:r>
        <w:rPr>
          <w:rFonts w:ascii="Arial" w:cs="Arial" w:eastAsia="Arial" w:hAnsi="Arial"/>
          <w:sz w:val="18"/>
          <w:szCs w:val="18"/>
          <w:color w:val="auto"/>
        </w:rPr>
        <w:t>We expect to spend approximately $55.0 million in fiscal 2023 on capital expenditures, inclusive of software hosting implementation costs, primarily due to investments in logistics optimization, including investments in the fulfillment network and information technology. Due to the seasonality of our business, a significant amount of cash from operating activities is generated during the fourth quarter of our fiscal year. We also use cash in our investing activities for capital expenditures throughout all four quarters of our fiscal year.</w:t>
      </w:r>
    </w:p>
    <w:p>
      <w:pPr>
        <w:spacing w:after="0" w:line="148" w:lineRule="exact"/>
        <w:rPr>
          <w:sz w:val="20"/>
          <w:szCs w:val="20"/>
          <w:color w:val="auto"/>
        </w:rPr>
      </w:pPr>
    </w:p>
    <w:p>
      <w:pPr>
        <w:ind w:right="60" w:firstLine="428"/>
        <w:spacing w:after="0" w:line="261" w:lineRule="auto"/>
        <w:rPr>
          <w:sz w:val="20"/>
          <w:szCs w:val="20"/>
          <w:color w:val="auto"/>
        </w:rPr>
      </w:pPr>
      <w:r>
        <w:rPr>
          <w:rFonts w:ascii="Arial" w:cs="Arial" w:eastAsia="Arial" w:hAnsi="Arial"/>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operating, investing and financing activities is shown in the following table.</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Borders>
              <w:bottom w:val="single" w:sz="8" w:color="auto"/>
            </w:tcBorders>
          </w:tcPr>
          <w:p>
            <w:pPr>
              <w:spacing w:after="0"/>
              <w:rPr>
                <w:sz w:val="14"/>
                <w:szCs w:val="14"/>
                <w:color w:val="auto"/>
              </w:rPr>
            </w:pPr>
          </w:p>
        </w:tc>
      </w:tr>
      <w:tr>
        <w:trPr>
          <w:trHeight w:val="196"/>
        </w:trPr>
        <w:tc>
          <w:tcPr>
            <w:tcW w:w="70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April 30, 2023</w:t>
            </w:r>
          </w:p>
        </w:tc>
        <w:tc>
          <w:tcPr>
            <w:tcW w:w="3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May 1, 2022</w:t>
            </w:r>
          </w:p>
        </w:tc>
      </w:tr>
      <w:tr>
        <w:trPr>
          <w:trHeight w:val="250"/>
        </w:trPr>
        <w:tc>
          <w:tcPr>
            <w:tcW w:w="70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8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(31,717)</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(21,348)</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(3,843)</w:t>
            </w:r>
          </w:p>
        </w:tc>
      </w:tr>
      <w:tr>
        <w:trPr>
          <w:trHeight w:val="23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3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r>
      <w:tr>
        <w:trPr>
          <w:trHeight w:val="196"/>
        </w:trPr>
        <w:tc>
          <w:tcPr>
            <w:tcW w:w="7060" w:type="dxa"/>
            <w:vAlign w:val="bottom"/>
          </w:tcPr>
          <w:p>
            <w:pPr>
              <w:spacing w:after="0" w:line="196" w:lineRule="exact"/>
              <w:rPr>
                <w:sz w:val="20"/>
                <w:szCs w:val="20"/>
                <w:color w:val="auto"/>
              </w:rPr>
            </w:pPr>
            <w:r>
              <w:rPr>
                <w:rFonts w:ascii="Arial" w:cs="Arial" w:eastAsia="Arial" w:hAnsi="Arial"/>
                <w:sz w:val="18"/>
                <w:szCs w:val="18"/>
                <w:color w:val="auto"/>
              </w:rPr>
              <w:t>Decrease in cash and cash equivalents</w:t>
            </w: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(36,338)</w:t>
            </w:r>
          </w:p>
        </w:tc>
        <w:tc>
          <w:tcPr>
            <w:tcW w:w="30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(36,681)</w:t>
            </w: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71" w:lineRule="exact"/>
        <w:rPr>
          <w:sz w:val="20"/>
          <w:szCs w:val="20"/>
          <w:color w:val="auto"/>
        </w:rPr>
      </w:pPr>
    </w:p>
    <w:p>
      <w:pPr>
        <w:jc w:val="both"/>
        <w:ind w:firstLine="428"/>
        <w:spacing w:after="0" w:line="246" w:lineRule="auto"/>
        <w:rPr>
          <w:sz w:val="20"/>
          <w:szCs w:val="20"/>
          <w:color w:val="auto"/>
        </w:rPr>
      </w:pPr>
      <w:r>
        <w:rPr>
          <w:rFonts w:ascii="Arial" w:cs="Arial" w:eastAsia="Arial" w:hAnsi="Arial"/>
          <w:sz w:val="18"/>
          <w:szCs w:val="18"/>
          <w:color w:val="auto"/>
        </w:rPr>
        <w:t>Operating activities consist primarily of net income adjusted for non-cash items that include depreciation and amortization, stock-based compensation and the effect of changes in operating assets and liabilities.</w:t>
      </w:r>
    </w:p>
    <w:p>
      <w:pPr>
        <w:spacing w:after="0" w:line="143" w:lineRule="exact"/>
        <w:rPr>
          <w:sz w:val="20"/>
          <w:szCs w:val="20"/>
          <w:color w:val="auto"/>
        </w:rPr>
      </w:pPr>
    </w:p>
    <w:p>
      <w:pPr>
        <w:ind w:right="480" w:firstLine="428"/>
        <w:spacing w:after="0"/>
        <w:rPr>
          <w:sz w:val="20"/>
          <w:szCs w:val="20"/>
          <w:color w:val="auto"/>
        </w:rPr>
      </w:pPr>
      <w:r>
        <w:rPr>
          <w:rFonts w:ascii="Arial" w:cs="Arial" w:eastAsia="Arial" w:hAnsi="Arial"/>
          <w:sz w:val="18"/>
          <w:szCs w:val="18"/>
          <w:color w:val="auto"/>
        </w:rPr>
        <w:t>For the three months ended April 30, 2023, net cash used in operating activities was $14.0 million, which primarily consisted of cash used in operating assets and liabilities of $17.1 million. The cash used in operating assets and liabilities of $17.1 million was primarily due to a $21.1 million decrease in trade accounts payable partially offset by a $10.0 million decrease in inventory.</w:t>
      </w:r>
    </w:p>
    <w:p>
      <w:pPr>
        <w:spacing w:after="0" w:line="149" w:lineRule="exact"/>
        <w:rPr>
          <w:sz w:val="20"/>
          <w:szCs w:val="20"/>
          <w:color w:val="auto"/>
        </w:rPr>
      </w:pPr>
    </w:p>
    <w:p>
      <w:pPr>
        <w:ind w:right="360" w:firstLine="428"/>
        <w:spacing w:after="0" w:line="235" w:lineRule="auto"/>
        <w:rPr>
          <w:sz w:val="20"/>
          <w:szCs w:val="20"/>
          <w:color w:val="auto"/>
        </w:rPr>
      </w:pPr>
      <w:r>
        <w:rPr>
          <w:rFonts w:ascii="Arial" w:cs="Arial" w:eastAsia="Arial" w:hAnsi="Arial"/>
          <w:sz w:val="18"/>
          <w:szCs w:val="18"/>
          <w:color w:val="auto"/>
        </w:rPr>
        <w:t>For the three months ended May 1, 2022, net cash used in operating activities was $31.7 million, which primarily consisted of a net loss of $1.3 million and cash used in operating assets and liabilities of $38.6 million. The cash used in operating assets and liabilities of $38.6 million primarily consisted of a $29.6 million increase in inventory and a $17.5 million decrease in accrued expenses offset by a $10.4 million increase in trade accounts payable.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Investing activities consist primarily of capital expenditures for growth related to investments in infrastructure and information technology.</w:t>
      </w:r>
    </w:p>
    <w:p>
      <w:pPr>
        <w:spacing w:after="0" w:line="183" w:lineRule="exact"/>
        <w:rPr>
          <w:sz w:val="20"/>
          <w:szCs w:val="20"/>
          <w:color w:val="auto"/>
        </w:rPr>
      </w:pPr>
    </w:p>
    <w:p>
      <w:pPr>
        <w:ind w:firstLine="428"/>
        <w:spacing w:after="0" w:line="236" w:lineRule="auto"/>
        <w:rPr>
          <w:sz w:val="20"/>
          <w:szCs w:val="20"/>
          <w:color w:val="auto"/>
        </w:rPr>
      </w:pPr>
      <w:r>
        <w:rPr>
          <w:rFonts w:ascii="Arial" w:cs="Arial" w:eastAsia="Arial" w:hAnsi="Arial"/>
          <w:sz w:val="18"/>
          <w:szCs w:val="18"/>
          <w:color w:val="auto"/>
        </w:rPr>
        <w:t>For the three months ended April 30, 2023, net cash used in investing activities was $21.3 million and was primarily driven by new investments in the fulfillment network and information technology.</w:t>
      </w: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right="200" w:firstLine="428"/>
        <w:spacing w:after="0" w:line="261" w:lineRule="auto"/>
        <w:rPr>
          <w:sz w:val="20"/>
          <w:szCs w:val="20"/>
          <w:color w:val="auto"/>
        </w:rPr>
      </w:pPr>
      <w:r>
        <w:rPr>
          <w:rFonts w:ascii="Arial" w:cs="Arial" w:eastAsia="Arial" w:hAnsi="Arial"/>
          <w:sz w:val="18"/>
          <w:szCs w:val="18"/>
          <w:color w:val="auto"/>
        </w:rPr>
        <w:t>For the three months ended May 1, 2022, net cash used in investing activities was $3.8 million and was primarily driven by capital expenditures of $3.9 million for new investments in information technology.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58" w:lineRule="exact"/>
        <w:rPr>
          <w:sz w:val="20"/>
          <w:szCs w:val="20"/>
          <w:color w:val="auto"/>
        </w:rPr>
      </w:pPr>
    </w:p>
    <w:p>
      <w:pPr>
        <w:ind w:right="680" w:firstLine="428"/>
        <w:spacing w:after="0" w:line="261" w:lineRule="auto"/>
        <w:rPr>
          <w:sz w:val="20"/>
          <w:szCs w:val="20"/>
          <w:color w:val="auto"/>
        </w:rPr>
      </w:pPr>
      <w:r>
        <w:rPr>
          <w:rFonts w:ascii="Arial" w:cs="Arial" w:eastAsia="Arial" w:hAnsi="Arial"/>
          <w:sz w:val="18"/>
          <w:szCs w:val="18"/>
          <w:color w:val="auto"/>
        </w:rPr>
        <w:t>Financing activities consist primarily of borrowings and payments related to our revolving line of credit and other long-term debt, as well as payments on finance lease obligations.</w:t>
      </w:r>
    </w:p>
    <w:p>
      <w:pPr>
        <w:spacing w:after="0" w:line="117" w:lineRule="exact"/>
        <w:rPr>
          <w:sz w:val="20"/>
          <w:szCs w:val="20"/>
          <w:color w:val="auto"/>
        </w:rPr>
      </w:pPr>
    </w:p>
    <w:p>
      <w:pPr>
        <w:ind w:right="140" w:firstLine="428"/>
        <w:spacing w:after="0" w:line="261" w:lineRule="auto"/>
        <w:rPr>
          <w:sz w:val="20"/>
          <w:szCs w:val="20"/>
          <w:color w:val="auto"/>
        </w:rPr>
      </w:pPr>
      <w:r>
        <w:rPr>
          <w:rFonts w:ascii="Arial" w:cs="Arial" w:eastAsia="Arial" w:hAnsi="Arial"/>
          <w:sz w:val="18"/>
          <w:szCs w:val="18"/>
          <w:color w:val="auto"/>
        </w:rPr>
        <w:t>For the three months ended April 30, 2023, net cash used in financing activities was $1.0 million, primarily consisting of payments on finance lease obligations.</w:t>
      </w:r>
    </w:p>
    <w:p>
      <w:pPr>
        <w:spacing w:after="0" w:line="117" w:lineRule="exact"/>
        <w:rPr>
          <w:sz w:val="20"/>
          <w:szCs w:val="20"/>
          <w:color w:val="auto"/>
        </w:rPr>
      </w:pPr>
    </w:p>
    <w:p>
      <w:pPr>
        <w:ind w:right="340" w:firstLine="428"/>
        <w:spacing w:after="0" w:line="261" w:lineRule="auto"/>
        <w:rPr>
          <w:sz w:val="20"/>
          <w:szCs w:val="20"/>
          <w:color w:val="auto"/>
        </w:rPr>
      </w:pPr>
      <w:r>
        <w:rPr>
          <w:rFonts w:ascii="Arial" w:cs="Arial" w:eastAsia="Arial" w:hAnsi="Arial"/>
          <w:sz w:val="18"/>
          <w:szCs w:val="18"/>
          <w:color w:val="auto"/>
        </w:rPr>
        <w:t>For the three months ended May 1, 2022, net cash used in financing activities was $1.1 million, also primarily consisting of payments on finance lease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ind w:right="400" w:firstLine="428"/>
        <w:spacing w:after="0" w:line="261" w:lineRule="auto"/>
        <w:rPr>
          <w:sz w:val="20"/>
          <w:szCs w:val="20"/>
          <w:color w:val="auto"/>
        </w:rPr>
      </w:pPr>
      <w:r>
        <w:rPr>
          <w:rFonts w:ascii="Arial" w:cs="Arial" w:eastAsia="Arial" w:hAnsi="Arial"/>
          <w:sz w:val="18"/>
          <w:szCs w:val="18"/>
          <w:color w:val="auto"/>
        </w:rPr>
        <w:t>There have been no significant changes to our contractual obligations as described in our Annual Report on Form 10-K for the fiscal year ended January 29, 2023.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Critical Accounting Estimates</w:t>
      </w:r>
    </w:p>
    <w:p>
      <w:pPr>
        <w:spacing w:after="0" w:line="175" w:lineRule="exact"/>
        <w:rPr>
          <w:sz w:val="20"/>
          <w:szCs w:val="20"/>
          <w:color w:val="auto"/>
        </w:rPr>
      </w:pPr>
    </w:p>
    <w:p>
      <w:pPr>
        <w:ind w:right="240" w:firstLine="428"/>
        <w:spacing w:after="0" w:line="266" w:lineRule="auto"/>
        <w:rPr>
          <w:sz w:val="20"/>
          <w:szCs w:val="20"/>
          <w:color w:val="auto"/>
        </w:rPr>
      </w:pPr>
      <w:r>
        <w:rPr>
          <w:rFonts w:ascii="Arial" w:cs="Arial" w:eastAsia="Arial" w:hAnsi="Arial"/>
          <w:sz w:val="16"/>
          <w:szCs w:val="16"/>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the date of this filing, there were no significant changes to any of the critical accounting policies and estimates described in our 2022 Form 10-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360" w:firstLine="428"/>
        <w:spacing w:after="0" w:line="246" w:lineRule="auto"/>
        <w:rPr>
          <w:sz w:val="20"/>
          <w:szCs w:val="20"/>
          <w:color w:val="auto"/>
        </w:rPr>
      </w:pPr>
      <w:r>
        <w:rPr>
          <w:rFonts w:ascii="Arial" w:cs="Arial" w:eastAsia="Arial" w:hAnsi="Arial"/>
          <w:sz w:val="18"/>
          <w:szCs w:val="18"/>
          <w:color w:val="auto"/>
        </w:rPr>
        <w:t>See Note 12 “Recent Accounting Pronouncements,” of Notes to Condensed Consolidated Financial Statements included in Part 1, Item 1, of this quarterly report on Form 10-Q for information regarding recent accounting pronouncements.</w:t>
      </w:r>
    </w:p>
    <w:p>
      <w:pPr>
        <w:spacing w:after="0" w:line="1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There have been no significant changes in the market risks described in our 2022 Form 10-K. See Note 3 “Debt and Credit Agreement,” of Notes to Condensed Consolidated Financial Statements included in Part 1, Item 1, of this quarterly report on Form 10-Q, for disclosure on our interest rate related to borrowings under our credit agreement.</w:t>
      </w:r>
    </w:p>
    <w:p>
      <w:pPr>
        <w:spacing w:after="0" w:line="1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right="20" w:firstLine="428"/>
        <w:spacing w:after="0" w:line="234" w:lineRule="auto"/>
        <w:rPr>
          <w:sz w:val="20"/>
          <w:szCs w:val="20"/>
          <w:color w:val="auto"/>
        </w:rPr>
      </w:pPr>
      <w:r>
        <w:rPr>
          <w:rFonts w:ascii="Arial" w:cs="Arial" w:eastAsia="Arial" w:hAnsi="Arial"/>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220" w:firstLine="428"/>
        <w:spacing w:after="0"/>
        <w:rPr>
          <w:sz w:val="20"/>
          <w:szCs w:val="20"/>
          <w:color w:val="auto"/>
        </w:rPr>
      </w:pPr>
      <w:r>
        <w:rPr>
          <w:rFonts w:ascii="Arial" w:cs="Arial" w:eastAsia="Arial" w:hAnsi="Arial"/>
          <w:sz w:val="18"/>
          <w:szCs w:val="18"/>
          <w:color w:val="auto"/>
        </w:rPr>
        <w:t>There were no changes in our internal control over financial reporting (as defined in Rule 13a-15(d) and 15d-15(d) under the Exchange Act) that occurred during the period covered by this Quarterly Report on Form 10-Q that have materially affected, or are reasonably likely to materially affect our internal control over financial reporting.</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62" w:lineRule="exact"/>
        <w:rPr>
          <w:sz w:val="20"/>
          <w:szCs w:val="20"/>
          <w:color w:val="auto"/>
        </w:rPr>
      </w:pPr>
    </w:p>
    <w:p>
      <w:pPr>
        <w:ind w:right="140" w:firstLine="428"/>
        <w:spacing w:after="0" w:line="238" w:lineRule="auto"/>
        <w:rPr>
          <w:sz w:val="20"/>
          <w:szCs w:val="20"/>
          <w:color w:val="auto"/>
        </w:rPr>
      </w:pPr>
      <w:r>
        <w:rPr>
          <w:rFonts w:ascii="Arial" w:cs="Arial" w:eastAsia="Arial" w:hAnsi="Arial"/>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firstLine="440"/>
        <w:spacing w:after="0" w:line="235" w:lineRule="auto"/>
        <w:rPr>
          <w:sz w:val="20"/>
          <w:szCs w:val="20"/>
          <w:color w:val="auto"/>
        </w:rPr>
      </w:pPr>
      <w:r>
        <w:rPr>
          <w:rFonts w:ascii="Arial" w:cs="Arial" w:eastAsia="Arial" w:hAnsi="Arial"/>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2022 Form 10-K, or other SEC filings. There have been no material changes to our risk factors as previously disclosed in our fiscal 2022 Annual Report on Form 10-K.</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7"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sell any equity securities during the quarter ended April 30, 2023, which were not registered under the Securities Act.</w:t>
      </w:r>
    </w:p>
    <w:p>
      <w:pPr>
        <w:spacing w:after="0" w:line="171" w:lineRule="exact"/>
        <w:rPr>
          <w:sz w:val="20"/>
          <w:szCs w:val="20"/>
          <w:color w:val="auto"/>
        </w:rPr>
      </w:pPr>
    </w:p>
    <w:p>
      <w:pPr>
        <w:ind w:right="600" w:firstLine="492"/>
        <w:spacing w:after="0" w:line="246" w:lineRule="auto"/>
        <w:rPr>
          <w:sz w:val="20"/>
          <w:szCs w:val="20"/>
          <w:color w:val="auto"/>
        </w:rPr>
      </w:pPr>
      <w:r>
        <w:rPr>
          <w:rFonts w:ascii="Arial" w:cs="Arial" w:eastAsia="Arial" w:hAnsi="Arial"/>
          <w:sz w:val="18"/>
          <w:szCs w:val="18"/>
          <w:color w:val="auto"/>
        </w:rPr>
        <w:t>The following table contains information of shares acquired from employees in lieu of amounts required to satisfy minimum tax withholding requirements upon the vesting of the employees’ restricted stock during the three months ended April 30, 2023.</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tcPr>
          <w:p>
            <w:pPr>
              <w:jc w:val="center"/>
              <w:ind w:right="220"/>
              <w:spacing w:after="0"/>
              <w:rPr>
                <w:sz w:val="20"/>
                <w:szCs w:val="20"/>
                <w:color w:val="auto"/>
              </w:rPr>
            </w:pPr>
            <w:r>
              <w:rPr>
                <w:rFonts w:ascii="Arial" w:cs="Arial" w:eastAsia="Arial" w:hAnsi="Arial"/>
                <w:sz w:val="14"/>
                <w:szCs w:val="14"/>
                <w:b w:val="1"/>
                <w:bCs w:val="1"/>
                <w:color w:val="auto"/>
                <w:w w:val="95"/>
              </w:rPr>
              <w:t>Approximate dollar</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9"/>
              </w:rPr>
              <w:t>of shares purchased</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center"/>
              <w:ind w:right="220"/>
              <w:spacing w:after="0"/>
              <w:rPr>
                <w:sz w:val="20"/>
                <w:szCs w:val="20"/>
                <w:color w:val="auto"/>
              </w:rPr>
            </w:pPr>
            <w:r>
              <w:rPr>
                <w:rFonts w:ascii="Arial" w:cs="Arial" w:eastAsia="Arial" w:hAnsi="Arial"/>
                <w:sz w:val="14"/>
                <w:szCs w:val="14"/>
                <w:b w:val="1"/>
                <w:bCs w:val="1"/>
                <w:color w:val="auto"/>
                <w:w w:val="89"/>
              </w:rPr>
              <w:t>value of shares that</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1"/>
              </w:rPr>
              <w:t>as part of publicly</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jc w:val="center"/>
              <w:ind w:right="260"/>
              <w:spacing w:after="0"/>
              <w:rPr>
                <w:sz w:val="20"/>
                <w:szCs w:val="20"/>
                <w:color w:val="auto"/>
              </w:rPr>
            </w:pPr>
            <w:r>
              <w:rPr>
                <w:rFonts w:ascii="Arial" w:cs="Arial" w:eastAsia="Arial" w:hAnsi="Arial"/>
                <w:sz w:val="14"/>
                <w:szCs w:val="14"/>
                <w:b w:val="1"/>
                <w:bCs w:val="1"/>
                <w:color w:val="auto"/>
                <w:w w:val="91"/>
              </w:rPr>
              <w:t>may yet to be</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of shares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255"/>
              <w:spacing w:after="0"/>
              <w:rPr>
                <w:sz w:val="20"/>
                <w:szCs w:val="20"/>
                <w:color w:val="auto"/>
              </w:rPr>
            </w:pPr>
            <w:r>
              <w:rPr>
                <w:rFonts w:ascii="Arial" w:cs="Arial" w:eastAsia="Arial" w:hAnsi="Arial"/>
                <w:sz w:val="14"/>
                <w:szCs w:val="14"/>
                <w:b w:val="1"/>
                <w:bCs w:val="1"/>
                <w:color w:val="auto"/>
              </w:rPr>
              <w:t>Average price</w:t>
            </w:r>
          </w:p>
        </w:tc>
        <w:tc>
          <w:tcPr>
            <w:tcW w:w="18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8"/>
              </w:rPr>
              <w:t>announced plans</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center"/>
              <w:ind w:right="220"/>
              <w:spacing w:after="0"/>
              <w:rPr>
                <w:sz w:val="20"/>
                <w:szCs w:val="20"/>
                <w:color w:val="auto"/>
              </w:rPr>
            </w:pPr>
            <w:r>
              <w:rPr>
                <w:rFonts w:ascii="Arial" w:cs="Arial" w:eastAsia="Arial" w:hAnsi="Arial"/>
                <w:sz w:val="14"/>
                <w:szCs w:val="14"/>
                <w:b w:val="1"/>
                <w:bCs w:val="1"/>
                <w:color w:val="auto"/>
                <w:w w:val="90"/>
              </w:rPr>
              <w:t>purchased under the</w:t>
            </w:r>
          </w:p>
        </w:tc>
      </w:tr>
      <w:tr>
        <w:trPr>
          <w:trHeight w:val="201"/>
        </w:trPr>
        <w:tc>
          <w:tcPr>
            <w:tcW w:w="3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2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paid per share</w:t>
            </w:r>
          </w:p>
        </w:tc>
        <w:tc>
          <w:tcPr>
            <w:tcW w:w="180" w:type="dxa"/>
            <w:vAlign w:val="bottom"/>
            <w:tcBorders>
              <w:bottom w:val="single" w:sz="8" w:color="CCEEFF"/>
            </w:tcBorders>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or programs</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2"/>
              </w:rPr>
              <w:t>plans or programs</w:t>
            </w: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January 30, 2023 - February 26, 2023</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80" w:type="dxa"/>
            <w:vAlign w:val="bottom"/>
            <w:shd w:val="clear" w:color="auto" w:fill="CCEEFF"/>
          </w:tcPr>
          <w:p>
            <w:pPr>
              <w:spacing w:after="0"/>
              <w:rPr>
                <w:sz w:val="18"/>
                <w:szCs w:val="18"/>
                <w:color w:val="auto"/>
              </w:rPr>
            </w:pPr>
          </w:p>
        </w:tc>
        <w:tc>
          <w:tcPr>
            <w:tcW w:w="20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February 27, 2023 - April 2, 2023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51,956</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6.62</w:t>
            </w:r>
          </w:p>
        </w:tc>
        <w:tc>
          <w:tcPr>
            <w:tcW w:w="180" w:type="dxa"/>
            <w:vAlign w:val="bottom"/>
          </w:tcPr>
          <w:p>
            <w:pPr>
              <w:spacing w:after="0"/>
              <w:rPr>
                <w:sz w:val="21"/>
                <w:szCs w:val="21"/>
                <w:color w:val="auto"/>
              </w:rPr>
            </w:pPr>
          </w:p>
        </w:tc>
        <w:tc>
          <w:tcPr>
            <w:tcW w:w="2020" w:type="dxa"/>
            <w:vAlign w:val="bottom"/>
          </w:tcPr>
          <w:p>
            <w:pPr>
              <w:ind w:left="1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ind w:left="172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3, 2023 - April 30, 2023</w:t>
            </w: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34,675</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8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ind w:left="1720"/>
              <w:spacing w:after="0"/>
              <w:rPr>
                <w:sz w:val="20"/>
                <w:szCs w:val="20"/>
                <w:color w:val="auto"/>
              </w:rPr>
            </w:pPr>
            <w:r>
              <w:rPr>
                <w:rFonts w:ascii="Arial" w:cs="Arial" w:eastAsia="Arial" w:hAnsi="Arial"/>
                <w:sz w:val="18"/>
                <w:szCs w:val="18"/>
                <w:color w:val="auto"/>
              </w:rPr>
              <w:t>—</w:t>
            </w:r>
          </w:p>
        </w:tc>
      </w:tr>
      <w:tr>
        <w:trPr>
          <w:trHeight w:val="237"/>
        </w:trPr>
        <w:tc>
          <w:tcPr>
            <w:tcW w:w="3380" w:type="dxa"/>
            <w:vAlign w:val="bottom"/>
          </w:tcPr>
          <w:p>
            <w:pPr>
              <w:ind w:left="120"/>
              <w:spacing w:after="0"/>
              <w:rPr>
                <w:sz w:val="20"/>
                <w:szCs w:val="20"/>
                <w:color w:val="auto"/>
              </w:rPr>
            </w:pPr>
            <w:r>
              <w:rPr>
                <w:rFonts w:ascii="Arial" w:cs="Arial" w:eastAsia="Arial" w:hAnsi="Arial"/>
                <w:sz w:val="18"/>
                <w:szCs w:val="18"/>
                <w:color w:val="auto"/>
              </w:rPr>
              <w:t>Total</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119,825</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6.61</w:t>
            </w:r>
          </w:p>
        </w:tc>
        <w:tc>
          <w:tcPr>
            <w:tcW w:w="180" w:type="dxa"/>
            <w:vAlign w:val="bottom"/>
          </w:tcPr>
          <w:p>
            <w:pPr>
              <w:spacing w:after="0"/>
              <w:rPr>
                <w:sz w:val="20"/>
                <w:szCs w:val="20"/>
                <w:color w:val="auto"/>
              </w:rPr>
            </w:pPr>
          </w:p>
        </w:tc>
        <w:tc>
          <w:tcPr>
            <w:tcW w:w="2020" w:type="dxa"/>
            <w:vAlign w:val="bottom"/>
          </w:tcPr>
          <w:p>
            <w:pPr>
              <w:ind w:left="17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ind w:left="1720"/>
              <w:spacing w:after="0"/>
              <w:rPr>
                <w:sz w:val="20"/>
                <w:szCs w:val="20"/>
                <w:color w:val="auto"/>
              </w:rPr>
            </w:pPr>
            <w:r>
              <w:rPr>
                <w:rFonts w:ascii="Arial" w:cs="Arial" w:eastAsia="Arial" w:hAnsi="Arial"/>
                <w:sz w:val="18"/>
                <w:szCs w:val="18"/>
                <w:color w:val="auto"/>
              </w:rPr>
              <w:t>—</w:t>
            </w:r>
          </w:p>
        </w:tc>
      </w:tr>
      <w:tr>
        <w:trPr>
          <w:trHeight w:val="945"/>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795"/>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507"/>
        </w:trPr>
        <w:tc>
          <w:tcPr>
            <w:tcW w:w="3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40" w:type="dxa"/>
            <w:vAlign w:val="bottom"/>
            <w:gridSpan w:val="5"/>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60" w:type="dxa"/>
            <w:vAlign w:val="bottom"/>
            <w:gridSpan w:val="4"/>
          </w:tcPr>
          <w:p>
            <w:pPr>
              <w:ind w:left="36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4"/>
        </w:trPr>
        <w:tc>
          <w:tcPr>
            <w:tcW w:w="10940" w:type="dxa"/>
            <w:vAlign w:val="bottom"/>
            <w:gridSpan w:val="6"/>
          </w:tcPr>
          <w:p>
            <w:pPr>
              <w:spacing w:after="0"/>
              <w:rPr>
                <w:sz w:val="20"/>
                <w:szCs w:val="20"/>
                <w:color w:val="auto"/>
              </w:rPr>
            </w:pPr>
            <w:r>
              <w:rPr>
                <w:rFonts w:ascii="Arial" w:cs="Arial" w:eastAsia="Arial" w:hAnsi="Arial"/>
                <w:sz w:val="18"/>
                <w:szCs w:val="18"/>
                <w:color w:val="auto"/>
              </w:rPr>
              <w:t>Exhibit No.</w:t>
            </w:r>
          </w:p>
        </w:tc>
        <w:tc>
          <w:tcPr>
            <w:tcW w:w="0" w:type="dxa"/>
            <w:vAlign w:val="bottom"/>
          </w:tcPr>
          <w:p>
            <w:pPr>
              <w:spacing w:after="0"/>
              <w:rPr>
                <w:sz w:val="1"/>
                <w:szCs w:val="1"/>
                <w:color w:val="auto"/>
              </w:rPr>
            </w:pPr>
          </w:p>
        </w:tc>
      </w:tr>
      <w:tr>
        <w:trPr>
          <w:trHeight w:val="176"/>
        </w:trPr>
        <w:tc>
          <w:tcPr>
            <w:tcW w:w="700" w:type="dxa"/>
            <w:vAlign w:val="bottom"/>
          </w:tcPr>
          <w:p>
            <w:pPr>
              <w:spacing w:after="0" w:line="157" w:lineRule="exact"/>
              <w:rPr>
                <w:sz w:val="20"/>
                <w:szCs w:val="20"/>
                <w:color w:val="auto"/>
              </w:rPr>
            </w:pPr>
            <w:r>
              <w:rPr>
                <w:rFonts w:ascii="Arial" w:cs="Arial" w:eastAsia="Arial" w:hAnsi="Arial"/>
                <w:sz w:val="18"/>
                <w:szCs w:val="18"/>
                <w:color w:val="auto"/>
              </w:rPr>
              <w:t>31.1</w:t>
            </w:r>
          </w:p>
        </w:tc>
        <w:tc>
          <w:tcPr>
            <w:tcW w:w="580" w:type="dxa"/>
            <w:vAlign w:val="bottom"/>
          </w:tcPr>
          <w:p>
            <w:pPr>
              <w:spacing w:after="0"/>
              <w:rPr>
                <w:sz w:val="15"/>
                <w:szCs w:val="15"/>
                <w:color w:val="auto"/>
              </w:rPr>
            </w:pPr>
          </w:p>
        </w:tc>
        <w:tc>
          <w:tcPr>
            <w:tcW w:w="9660" w:type="dxa"/>
            <w:vAlign w:val="bottom"/>
            <w:gridSpan w:val="4"/>
          </w:tcPr>
          <w:p>
            <w:pPr>
              <w:spacing w:after="0" w:line="156" w:lineRule="exact"/>
              <w:rPr>
                <w:sz w:val="20"/>
                <w:szCs w:val="20"/>
                <w:color w:val="auto"/>
              </w:rPr>
            </w:pPr>
            <w:r>
              <w:rPr>
                <w:rFonts w:ascii="Arial" w:cs="Arial" w:eastAsia="Arial" w:hAnsi="Arial"/>
                <w:sz w:val="16"/>
                <w:szCs w:val="16"/>
                <w:color w:val="0000FF"/>
                <w:w w:val="99"/>
              </w:rPr>
              <w:t>Certification of Chief Executive Officer pursuant to Rule 13a-14(a) and Rule 15d-14(a) of the Securities and Exchange Act, as amended.*</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Arial" w:cs="Arial" w:eastAsia="Arial" w:hAnsi="Arial"/>
                <w:sz w:val="18"/>
                <w:szCs w:val="18"/>
                <w:color w:val="auto"/>
              </w:rPr>
              <w:t>31.2</w:t>
            </w:r>
          </w:p>
        </w:tc>
        <w:tc>
          <w:tcPr>
            <w:tcW w:w="580" w:type="dxa"/>
            <w:vAlign w:val="bottom"/>
            <w:tcBorders>
              <w:right w:val="single" w:sz="8" w:color="0000EE"/>
            </w:tcBorders>
          </w:tcPr>
          <w:p>
            <w:pPr>
              <w:spacing w:after="0" w:line="20" w:lineRule="exact"/>
              <w:rPr>
                <w:sz w:val="1"/>
                <w:szCs w:val="1"/>
                <w:color w:val="auto"/>
              </w:rPr>
            </w:pPr>
          </w:p>
        </w:tc>
        <w:tc>
          <w:tcPr>
            <w:tcW w:w="89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660" w:type="dxa"/>
            <w:vAlign w:val="bottom"/>
            <w:gridSpan w:val="4"/>
          </w:tcPr>
          <w:p>
            <w:pPr>
              <w:spacing w:after="0" w:line="155" w:lineRule="exact"/>
              <w:rPr>
                <w:sz w:val="20"/>
                <w:szCs w:val="20"/>
                <w:color w:val="auto"/>
              </w:rPr>
            </w:pPr>
            <w:r>
              <w:rPr>
                <w:rFonts w:ascii="Arial" w:cs="Arial" w:eastAsia="Arial" w:hAnsi="Arial"/>
                <w:sz w:val="16"/>
                <w:szCs w:val="16"/>
                <w:color w:val="0000FF"/>
                <w:w w:val="94"/>
              </w:rPr>
              <w:t>Certification of Chief Financial Officer pursuant to Rule 13a-14(a) and Rule 15d-14(a) of the Securities and Exchange Act of 1934, as amended.*</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82" w:lineRule="exact"/>
              <w:rPr>
                <w:sz w:val="20"/>
                <w:szCs w:val="20"/>
                <w:color w:val="auto"/>
              </w:rPr>
            </w:pPr>
            <w:r>
              <w:rPr>
                <w:rFonts w:ascii="Arial" w:cs="Arial" w:eastAsia="Arial" w:hAnsi="Arial"/>
                <w:sz w:val="18"/>
                <w:szCs w:val="18"/>
                <w:color w:val="auto"/>
              </w:rPr>
              <w:t>32.1</w:t>
            </w:r>
          </w:p>
        </w:tc>
        <w:tc>
          <w:tcPr>
            <w:tcW w:w="580" w:type="dxa"/>
            <w:vAlign w:val="bottom"/>
            <w:tcBorders>
              <w:right w:val="single" w:sz="8" w:color="0000EE"/>
            </w:tcBorders>
          </w:tcPr>
          <w:p>
            <w:pPr>
              <w:spacing w:after="0" w:line="20" w:lineRule="exact"/>
              <w:rPr>
                <w:sz w:val="1"/>
                <w:szCs w:val="1"/>
                <w:color w:val="auto"/>
              </w:rPr>
            </w:pPr>
          </w:p>
        </w:tc>
        <w:tc>
          <w:tcPr>
            <w:tcW w:w="944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660" w:type="dxa"/>
            <w:vAlign w:val="bottom"/>
            <w:gridSpan w:val="4"/>
          </w:tcPr>
          <w:p>
            <w:pPr>
              <w:spacing w:after="0" w:line="169" w:lineRule="exact"/>
              <w:rPr>
                <w:sz w:val="20"/>
                <w:szCs w:val="20"/>
                <w:color w:val="auto"/>
              </w:rPr>
            </w:pPr>
            <w:r>
              <w:rPr>
                <w:rFonts w:ascii="Arial" w:cs="Arial" w:eastAsia="Arial" w:hAnsi="Arial"/>
                <w:sz w:val="16"/>
                <w:szCs w:val="16"/>
                <w:color w:val="0000FF"/>
                <w:w w:val="92"/>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Arial" w:cs="Arial" w:eastAsia="Arial" w:hAnsi="Arial"/>
                <w:sz w:val="18"/>
                <w:szCs w:val="18"/>
                <w:color w:val="auto"/>
              </w:rPr>
              <w:t>32.2</w:t>
            </w:r>
          </w:p>
        </w:tc>
        <w:tc>
          <w:tcPr>
            <w:tcW w:w="580" w:type="dxa"/>
            <w:vAlign w:val="bottom"/>
            <w:tcBorders>
              <w:right w:val="single" w:sz="8" w:color="0000EE"/>
            </w:tcBorders>
          </w:tcPr>
          <w:p>
            <w:pPr>
              <w:spacing w:after="0" w:line="20" w:lineRule="exact"/>
              <w:rPr>
                <w:sz w:val="1"/>
                <w:szCs w:val="1"/>
                <w:color w:val="auto"/>
              </w:rPr>
            </w:pPr>
          </w:p>
        </w:tc>
        <w:tc>
          <w:tcPr>
            <w:tcW w:w="96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660" w:type="dxa"/>
            <w:vAlign w:val="bottom"/>
            <w:gridSpan w:val="4"/>
          </w:tcPr>
          <w:p>
            <w:pPr>
              <w:spacing w:after="0" w:line="155" w:lineRule="exact"/>
              <w:rPr>
                <w:sz w:val="20"/>
                <w:szCs w:val="20"/>
                <w:color w:val="auto"/>
              </w:rPr>
            </w:pPr>
            <w:r>
              <w:rPr>
                <w:rFonts w:ascii="Arial" w:cs="Arial" w:eastAsia="Arial" w:hAnsi="Arial"/>
                <w:sz w:val="16"/>
                <w:szCs w:val="16"/>
                <w:color w:val="0000FF"/>
                <w:w w:val="92"/>
              </w:rPr>
              <w:t>Certification of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580" w:type="dxa"/>
            <w:vAlign w:val="bottom"/>
            <w:tcBorders>
              <w:right w:val="single" w:sz="8" w:color="0000EE"/>
            </w:tcBorders>
          </w:tcPr>
          <w:p>
            <w:pPr>
              <w:spacing w:after="0" w:line="20" w:lineRule="exact"/>
              <w:rPr>
                <w:sz w:val="1"/>
                <w:szCs w:val="1"/>
                <w:color w:val="auto"/>
              </w:rPr>
            </w:pPr>
          </w:p>
        </w:tc>
        <w:tc>
          <w:tcPr>
            <w:tcW w:w="96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9660" w:type="dxa"/>
            <w:vAlign w:val="bottom"/>
            <w:gridSpan w:val="4"/>
          </w:tcPr>
          <w:p>
            <w:pPr>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w w:val="93"/>
              </w:rPr>
              <w:t>101.SCH</w:t>
            </w:r>
          </w:p>
        </w:tc>
        <w:tc>
          <w:tcPr>
            <w:tcW w:w="580" w:type="dxa"/>
            <w:vAlign w:val="bottom"/>
          </w:tcPr>
          <w:p>
            <w:pPr>
              <w:spacing w:after="0"/>
              <w:rPr>
                <w:sz w:val="16"/>
                <w:szCs w:val="16"/>
                <w:color w:val="auto"/>
              </w:rPr>
            </w:pPr>
          </w:p>
        </w:tc>
        <w:tc>
          <w:tcPr>
            <w:tcW w:w="9660" w:type="dxa"/>
            <w:vAlign w:val="bottom"/>
            <w:gridSpan w:val="4"/>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w w:val="97"/>
              </w:rPr>
              <w:t>101.CAL</w:t>
            </w:r>
          </w:p>
        </w:tc>
        <w:tc>
          <w:tcPr>
            <w:tcW w:w="580" w:type="dxa"/>
            <w:vAlign w:val="bottom"/>
          </w:tcPr>
          <w:p>
            <w:pPr>
              <w:spacing w:after="0"/>
              <w:rPr>
                <w:sz w:val="17"/>
                <w:szCs w:val="17"/>
                <w:color w:val="auto"/>
              </w:rPr>
            </w:pPr>
          </w:p>
        </w:tc>
        <w:tc>
          <w:tcPr>
            <w:tcW w:w="9660" w:type="dxa"/>
            <w:vAlign w:val="bottom"/>
            <w:gridSpan w:val="4"/>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w w:val="95"/>
              </w:rPr>
              <w:t>101.DEF</w:t>
            </w:r>
          </w:p>
        </w:tc>
        <w:tc>
          <w:tcPr>
            <w:tcW w:w="580" w:type="dxa"/>
            <w:vAlign w:val="bottom"/>
          </w:tcPr>
          <w:p>
            <w:pPr>
              <w:spacing w:after="0"/>
              <w:rPr>
                <w:sz w:val="16"/>
                <w:szCs w:val="16"/>
                <w:color w:val="auto"/>
              </w:rPr>
            </w:pPr>
          </w:p>
        </w:tc>
        <w:tc>
          <w:tcPr>
            <w:tcW w:w="9660" w:type="dxa"/>
            <w:vAlign w:val="bottom"/>
            <w:gridSpan w:val="4"/>
          </w:tcPr>
          <w:p>
            <w:pPr>
              <w:spacing w:after="0"/>
              <w:rPr>
                <w:sz w:val="20"/>
                <w:szCs w:val="20"/>
                <w:color w:val="auto"/>
              </w:rPr>
            </w:pPr>
            <w:r>
              <w:rPr>
                <w:rFonts w:ascii="Arial" w:cs="Arial" w:eastAsia="Arial" w:hAnsi="Arial"/>
                <w:sz w:val="16"/>
                <w:szCs w:val="16"/>
                <w:color w:val="auto"/>
              </w:rPr>
              <w:t>XBRL Taxonomy Extension Definition Document**</w:t>
            </w:r>
          </w:p>
        </w:tc>
        <w:tc>
          <w:tcPr>
            <w:tcW w:w="0" w:type="dxa"/>
            <w:vAlign w:val="bottom"/>
          </w:tcPr>
          <w:p>
            <w:pPr>
              <w:spacing w:after="0"/>
              <w:rPr>
                <w:sz w:val="1"/>
                <w:szCs w:val="1"/>
                <w:color w:val="auto"/>
              </w:rPr>
            </w:pP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w w:val="98"/>
              </w:rPr>
              <w:t>101.LAB</w:t>
            </w:r>
          </w:p>
        </w:tc>
        <w:tc>
          <w:tcPr>
            <w:tcW w:w="580" w:type="dxa"/>
            <w:vAlign w:val="bottom"/>
          </w:tcPr>
          <w:p>
            <w:pPr>
              <w:spacing w:after="0"/>
              <w:rPr>
                <w:sz w:val="17"/>
                <w:szCs w:val="17"/>
                <w:color w:val="auto"/>
              </w:rPr>
            </w:pPr>
          </w:p>
        </w:tc>
        <w:tc>
          <w:tcPr>
            <w:tcW w:w="9660" w:type="dxa"/>
            <w:vAlign w:val="bottom"/>
            <w:gridSpan w:val="4"/>
          </w:tcPr>
          <w:p>
            <w:pPr>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05"/>
        </w:trPr>
        <w:tc>
          <w:tcPr>
            <w:tcW w:w="700" w:type="dxa"/>
            <w:vAlign w:val="bottom"/>
          </w:tcPr>
          <w:p>
            <w:pPr>
              <w:spacing w:after="0" w:line="205" w:lineRule="exact"/>
              <w:rPr>
                <w:sz w:val="20"/>
                <w:szCs w:val="20"/>
                <w:color w:val="auto"/>
              </w:rPr>
            </w:pPr>
            <w:r>
              <w:rPr>
                <w:rFonts w:ascii="Arial" w:cs="Arial" w:eastAsia="Arial" w:hAnsi="Arial"/>
                <w:sz w:val="18"/>
                <w:szCs w:val="18"/>
                <w:color w:val="auto"/>
                <w:w w:val="94"/>
              </w:rPr>
              <w:t>101.PRE</w:t>
            </w:r>
          </w:p>
        </w:tc>
        <w:tc>
          <w:tcPr>
            <w:tcW w:w="580" w:type="dxa"/>
            <w:vAlign w:val="bottom"/>
          </w:tcPr>
          <w:p>
            <w:pPr>
              <w:spacing w:after="0"/>
              <w:rPr>
                <w:sz w:val="17"/>
                <w:szCs w:val="17"/>
                <w:color w:val="auto"/>
              </w:rPr>
            </w:pPr>
          </w:p>
        </w:tc>
        <w:tc>
          <w:tcPr>
            <w:tcW w:w="9660" w:type="dxa"/>
            <w:vAlign w:val="bottom"/>
            <w:gridSpan w:val="4"/>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bl>
    <w:p>
      <w:pPr>
        <w:ind w:left="1260" w:hanging="1252"/>
        <w:spacing w:after="0" w:line="233"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April 30, 2023 has been formatted in Inline XBRL (Inline Extensible Business Reporting Language and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320" w:top="287"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211" w:lineRule="exact"/>
        <w:rPr>
          <w:sz w:val="20"/>
          <w:szCs w:val="20"/>
          <w:color w:val="auto"/>
        </w:rPr>
      </w:pPr>
    </w:p>
    <w:p>
      <w:pPr>
        <w:sectPr>
          <w:pgSz w:w="11900" w:h="16838" w:orient="portrait"/>
          <w:cols w:equalWidth="0" w:num="2">
            <w:col w:w="860" w:space="720"/>
            <w:col w:w="9360"/>
          </w:cols>
          <w:pgMar w:left="320" w:top="287" w:right="6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Arial" w:cs="Arial" w:eastAsia="Arial" w:hAnsi="Arial"/>
          <w:sz w:val="16"/>
          <w:szCs w:val="16"/>
          <w:color w:val="auto"/>
        </w:rPr>
        <w:t>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ectPr>
          <w:pgSz w:w="11900" w:h="16838" w:orient="portrait"/>
          <w:cols w:equalWidth="0" w:num="2">
            <w:col w:w="860" w:space="720"/>
            <w:col w:w="9360"/>
          </w:cols>
          <w:pgMar w:left="320" w:top="287"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287" w:right="6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7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2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Date: June 2, 2023</w:t>
      </w:r>
    </w:p>
    <w:p>
      <w:pPr>
        <w:ind w:left="4540"/>
        <w:spacing w:after="0" w:line="238" w:lineRule="auto"/>
        <w:rPr>
          <w:sz w:val="20"/>
          <w:szCs w:val="20"/>
          <w:color w:val="auto"/>
        </w:rPr>
      </w:pPr>
      <w:r>
        <w:rPr>
          <w:rFonts w:ascii="Arial" w:cs="Arial" w:eastAsia="Arial" w:hAnsi="Arial"/>
          <w:sz w:val="18"/>
          <w:szCs w:val="18"/>
          <w:color w:val="auto"/>
        </w:rPr>
        <w:t>DULUTH HOLDINGS INC.</w:t>
      </w:r>
    </w:p>
    <w:p>
      <w:pPr>
        <w:ind w:left="4540"/>
        <w:spacing w:after="0"/>
        <w:rPr>
          <w:sz w:val="20"/>
          <w:szCs w:val="20"/>
          <w:color w:val="auto"/>
        </w:rPr>
      </w:pPr>
      <w:r>
        <w:rPr>
          <w:rFonts w:ascii="Arial" w:cs="Arial" w:eastAsia="Arial" w:hAnsi="Arial"/>
          <w:sz w:val="18"/>
          <w:szCs w:val="18"/>
          <w:color w:val="auto"/>
        </w:rPr>
        <w:t>‎(Registrant)</w:t>
      </w:r>
    </w:p>
    <w:p>
      <w:pPr>
        <w:spacing w:after="0" w:line="34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40633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b w:val="1"/>
          <w:bCs w:val="1"/>
          <w:color w:val="auto"/>
        </w:rPr>
        <w:t>David Loretta</w:t>
      </w:r>
    </w:p>
    <w:p>
      <w:pPr>
        <w:ind w:left="4840"/>
        <w:spacing w:after="0" w:line="219" w:lineRule="auto"/>
        <w:rPr>
          <w:sz w:val="20"/>
          <w:szCs w:val="20"/>
          <w:color w:val="auto"/>
        </w:rPr>
      </w:pPr>
      <w:r>
        <w:rPr>
          <w:rFonts w:ascii="Arial" w:cs="Arial" w:eastAsia="Arial" w:hAnsi="Arial"/>
          <w:sz w:val="18"/>
          <w:szCs w:val="18"/>
          <w:b w:val="1"/>
          <w:bCs w:val="1"/>
          <w:i w:val="1"/>
          <w:iCs w:val="1"/>
          <w:color w:val="auto"/>
        </w:rPr>
        <w:t>Senior Vice President and Chief Financial Officer</w:t>
      </w:r>
    </w:p>
    <w:p>
      <w:pPr>
        <w:ind w:left="4840"/>
        <w:spacing w:after="0"/>
        <w:rPr>
          <w:sz w:val="20"/>
          <w:szCs w:val="20"/>
          <w:color w:val="auto"/>
        </w:rPr>
      </w:pPr>
      <w:r>
        <w:rPr>
          <w:rFonts w:ascii="Arial" w:cs="Arial" w:eastAsia="Arial" w:hAnsi="Arial"/>
          <w:sz w:val="18"/>
          <w:szCs w:val="18"/>
          <w:b w:val="1"/>
          <w:bCs w:val="1"/>
          <w:i w:val="1"/>
          <w:iCs w:val="1"/>
          <w:color w:val="auto"/>
        </w:rPr>
        <w:t>(On behalf of the Registrant and as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40633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b w:val="1"/>
          <w:bCs w:val="1"/>
          <w:color w:val="auto"/>
        </w:rPr>
        <w:t>Michael Murphy</w:t>
      </w:r>
    </w:p>
    <w:p>
      <w:pPr>
        <w:ind w:left="4840"/>
        <w:spacing w:after="0" w:line="234" w:lineRule="auto"/>
        <w:rPr>
          <w:sz w:val="20"/>
          <w:szCs w:val="20"/>
          <w:color w:val="auto"/>
        </w:rPr>
      </w:pPr>
      <w:r>
        <w:rPr>
          <w:rFonts w:ascii="Arial" w:cs="Arial" w:eastAsia="Arial" w:hAnsi="Arial"/>
          <w:sz w:val="18"/>
          <w:szCs w:val="18"/>
          <w:b w:val="1"/>
          <w:bCs w:val="1"/>
          <w:i w:val="1"/>
          <w:iCs w:val="1"/>
          <w:color w:val="auto"/>
        </w:rPr>
        <w:t>Vice President and Chief Accounting Officer</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b w:val="1"/>
          <w:bCs w:val="1"/>
          <w:i w:val="1"/>
          <w:iCs w:val="1"/>
          <w:color w:val="auto"/>
        </w:rPr>
        <w:t>(On behalf of the Registrant and as Principal Accounting Officer)</w:t>
      </w:r>
    </w:p>
    <w:p>
      <w:pPr>
        <w:spacing w:after="0" w:line="15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00"/>
          </w:cols>
          <w:pgMar w:left="320" w:top="287" w:right="87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769620</wp:posOffset>
            </wp:positionH>
            <wp:positionV relativeFrom="page">
              <wp:posOffset>7388225</wp:posOffset>
            </wp:positionV>
            <wp:extent cx="6026150"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26150" cy="50800"/>
                    </a:xfrm>
                    <a:prstGeom prst="rect">
                      <a:avLst/>
                    </a:prstGeom>
                    <a:noFill/>
                  </pic:spPr>
                </pic:pic>
              </a:graphicData>
            </a:graphic>
          </wp:anchor>
        </w:drawing>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Sam Sato,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jc w:val="both"/>
        <w:ind w:left="660" w:right="240" w:hanging="328"/>
        <w:spacing w:after="0" w:line="263" w:lineRule="auto"/>
        <w:tabs>
          <w:tab w:leader="none" w:pos="6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263" w:lineRule="auto"/>
        <w:tabs>
          <w:tab w:leader="none" w:pos="6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right="160" w:hanging="328"/>
        <w:spacing w:after="0" w:line="286" w:lineRule="auto"/>
        <w:tabs>
          <w:tab w:leader="none" w:pos="687"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 w:hanging="324"/>
        <w:spacing w:after="0" w:line="259" w:lineRule="auto"/>
        <w:tabs>
          <w:tab w:leader="none" w:pos="1012"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20" w:hanging="324"/>
        <w:spacing w:after="0" w:line="259" w:lineRule="auto"/>
        <w:tabs>
          <w:tab w:leader="none" w:pos="1022"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8"/>
          <w:szCs w:val="18"/>
          <w:color w:val="auto"/>
        </w:rPr>
      </w:pPr>
    </w:p>
    <w:p>
      <w:pPr>
        <w:ind w:left="980" w:right="120" w:hanging="324"/>
        <w:spacing w:after="0" w:line="263" w:lineRule="auto"/>
        <w:tabs>
          <w:tab w:leader="none" w:pos="1012"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980" w:right="20" w:hanging="324"/>
        <w:spacing w:after="0" w:line="259" w:lineRule="auto"/>
        <w:tabs>
          <w:tab w:leader="none" w:pos="1022"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660" w:right="220" w:hanging="328"/>
        <w:spacing w:after="0" w:line="263" w:lineRule="auto"/>
        <w:tabs>
          <w:tab w:leader="none" w:pos="6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8"/>
          <w:szCs w:val="18"/>
          <w:color w:val="auto"/>
        </w:rPr>
      </w:pPr>
    </w:p>
    <w:p>
      <w:pPr>
        <w:ind w:left="980" w:right="280" w:hanging="324"/>
        <w:spacing w:after="0" w:line="263" w:lineRule="auto"/>
        <w:tabs>
          <w:tab w:leader="none" w:pos="1012"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60" w:hanging="324"/>
        <w:spacing w:after="0" w:line="277" w:lineRule="auto"/>
        <w:tabs>
          <w:tab w:leader="none" w:pos="1022"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2, 2023</w:t>
      </w: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Sam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14605</wp:posOffset>
            </wp:positionV>
            <wp:extent cx="2168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Sam Sato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Executive Officer</w:t>
      </w:r>
    </w:p>
    <w:p>
      <w:pPr>
        <w:sectPr>
          <w:pgSz w:w="11900" w:h="16838" w:orient="portrait"/>
          <w:cols w:equalWidth="0" w:num="1">
            <w:col w:w="9440"/>
          </w:cols>
          <w:pgMar w:left="1220" w:top="121" w:right="1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769620</wp:posOffset>
            </wp:positionH>
            <wp:positionV relativeFrom="page">
              <wp:posOffset>7302500</wp:posOffset>
            </wp:positionV>
            <wp:extent cx="602615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26150" cy="50800"/>
                    </a:xfrm>
                    <a:prstGeom prst="rect">
                      <a:avLst/>
                    </a:prstGeom>
                    <a:noFill/>
                  </pic:spPr>
                </pic:pic>
              </a:graphicData>
            </a:graphic>
          </wp:anchor>
        </w:drawing>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Loretta,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jc w:val="both"/>
        <w:ind w:left="660" w:right="240" w:hanging="328"/>
        <w:spacing w:after="0" w:line="263" w:lineRule="auto"/>
        <w:tabs>
          <w:tab w:leader="none" w:pos="6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263" w:lineRule="auto"/>
        <w:tabs>
          <w:tab w:leader="none" w:pos="6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right="160" w:hanging="328"/>
        <w:spacing w:after="0" w:line="286" w:lineRule="auto"/>
        <w:tabs>
          <w:tab w:leader="none" w:pos="687"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 w:hanging="324"/>
        <w:spacing w:after="0" w:line="259" w:lineRule="auto"/>
        <w:tabs>
          <w:tab w:leader="none" w:pos="1012"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20" w:hanging="324"/>
        <w:spacing w:after="0" w:line="259" w:lineRule="auto"/>
        <w:tabs>
          <w:tab w:leader="none" w:pos="1022"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8"/>
          <w:szCs w:val="18"/>
          <w:color w:val="auto"/>
        </w:rPr>
      </w:pPr>
    </w:p>
    <w:p>
      <w:pPr>
        <w:ind w:left="980" w:right="120" w:hanging="324"/>
        <w:spacing w:after="0" w:line="263" w:lineRule="auto"/>
        <w:tabs>
          <w:tab w:leader="none" w:pos="1012"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980" w:right="120" w:hanging="324"/>
        <w:spacing w:after="0" w:line="263" w:lineRule="auto"/>
        <w:tabs>
          <w:tab w:leader="none" w:pos="1022"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220" w:hanging="328"/>
        <w:spacing w:after="0" w:line="263" w:lineRule="auto"/>
        <w:tabs>
          <w:tab w:leader="none" w:pos="6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8"/>
          <w:szCs w:val="18"/>
          <w:color w:val="auto"/>
        </w:rPr>
      </w:pPr>
    </w:p>
    <w:p>
      <w:pPr>
        <w:ind w:left="980" w:right="280" w:hanging="324"/>
        <w:spacing w:after="0" w:line="263" w:lineRule="auto"/>
        <w:tabs>
          <w:tab w:leader="none" w:pos="101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60" w:hanging="324"/>
        <w:spacing w:after="0" w:line="277" w:lineRule="auto"/>
        <w:tabs>
          <w:tab w:leader="none" w:pos="102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2, 2023</w:t>
      </w: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17145</wp:posOffset>
            </wp:positionV>
            <wp:extent cx="2168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David Loretta</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Financial Officer</w:t>
      </w:r>
    </w:p>
    <w:p>
      <w:pPr>
        <w:sectPr>
          <w:pgSz w:w="11900" w:h="16838" w:orient="portrait"/>
          <w:cols w:equalWidth="0" w:num="1">
            <w:col w:w="9440"/>
          </w:cols>
          <w:pgMar w:left="1220" w:top="121" w:right="1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In connection with the Quarterly Report on Form 10-Q of Duluth Holdings Inc. (the “Company”) for the quarterly period ended April 30, 2023 as filed with the Securities and Exchange Commission on the date hereof (the “Report”), I, Sam Sato, as Chief Executive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660" w:right="3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35" w:lineRule="exact"/>
        <w:rPr>
          <w:rFonts w:ascii="Arial" w:cs="Arial" w:eastAsia="Arial" w:hAnsi="Arial"/>
          <w:sz w:val="18"/>
          <w:szCs w:val="18"/>
          <w:color w:val="auto"/>
        </w:rPr>
      </w:pPr>
    </w:p>
    <w:p>
      <w:pPr>
        <w:ind w:left="660" w:right="38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5" w:lineRule="exact"/>
        <w:rPr>
          <w:sz w:val="20"/>
          <w:szCs w:val="20"/>
          <w:color w:val="auto"/>
        </w:rPr>
      </w:pPr>
    </w:p>
    <w:p>
      <w:pPr>
        <w:ind w:left="120" w:right="7600" w:firstLine="779"/>
        <w:spacing w:after="0" w:line="302" w:lineRule="auto"/>
        <w:rPr>
          <w:sz w:val="20"/>
          <w:szCs w:val="20"/>
          <w:color w:val="auto"/>
        </w:rPr>
      </w:pPr>
      <w:r>
        <w:rPr>
          <w:rFonts w:ascii="Arial" w:cs="Arial" w:eastAsia="Arial" w:hAnsi="Arial"/>
          <w:sz w:val="16"/>
          <w:szCs w:val="16"/>
          <w:b w:val="1"/>
          <w:bCs w:val="1"/>
          <w:color w:val="auto"/>
        </w:rPr>
        <w:t xml:space="preserve">/s/ Sam Sato </w:t>
      </w:r>
      <w:r>
        <w:rPr>
          <w:rFonts w:ascii="Arial" w:cs="Arial" w:eastAsia="Arial" w:hAnsi="Arial"/>
          <w:sz w:val="16"/>
          <w:szCs w:val="16"/>
          <w:color w:val="auto"/>
        </w:rPr>
        <w:t xml:space="preserve">Name: </w:t>
      </w:r>
      <w:r>
        <w:rPr>
          <w:rFonts w:ascii="Arial" w:cs="Arial" w:eastAsia="Arial" w:hAnsi="Arial"/>
          <w:sz w:val="16"/>
          <w:szCs w:val="16"/>
          <w:b w:val="1"/>
          <w:bCs w:val="1"/>
          <w:color w:val="auto"/>
        </w:rPr>
        <w:t>Sam Sato</w:t>
      </w:r>
    </w:p>
    <w:p>
      <w:pPr>
        <w:ind w:left="120"/>
        <w:spacing w:after="0"/>
        <w:rPr>
          <w:sz w:val="20"/>
          <w:szCs w:val="20"/>
          <w:color w:val="auto"/>
        </w:rPr>
      </w:pPr>
      <w:r>
        <w:rPr>
          <w:rFonts w:ascii="Arial" w:cs="Arial" w:eastAsia="Arial" w:hAnsi="Arial"/>
          <w:sz w:val="18"/>
          <w:szCs w:val="18"/>
          <w:color w:val="auto"/>
        </w:rPr>
        <w:t>Title:</w:t>
      </w:r>
      <w:r>
        <w:rPr>
          <w:rFonts w:ascii="Arial" w:cs="Arial" w:eastAsia="Arial" w:hAnsi="Arial"/>
          <w:sz w:val="16"/>
          <w:szCs w:val="16"/>
          <w:b w:val="1"/>
          <w:bCs w:val="1"/>
          <w:color w:val="auto"/>
        </w:rPr>
        <w:t>Chief Executive Officer</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w:t>
      </w:r>
      <w:r>
        <w:rPr>
          <w:rFonts w:ascii="Arial" w:cs="Arial" w:eastAsia="Arial" w:hAnsi="Arial"/>
          <w:sz w:val="15"/>
          <w:szCs w:val="15"/>
          <w:b w:val="1"/>
          <w:bCs w:val="1"/>
          <w:color w:val="auto"/>
        </w:rPr>
        <w:t>June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-427990</wp:posOffset>
            </wp:positionV>
            <wp:extent cx="30346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371" w:lineRule="exact"/>
        <w:rPr>
          <w:sz w:val="20"/>
          <w:szCs w:val="20"/>
          <w:color w:val="auto"/>
        </w:rPr>
      </w:pPr>
    </w:p>
    <w:p>
      <w:pPr>
        <w:jc w:val="both"/>
        <w:ind w:right="380" w:firstLine="432"/>
        <w:spacing w:after="0" w:line="23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6026150"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connection with the Quarterly Report on Form 10-Q of Duluth Holdings Inc. (the “Company”) for the quarterly period ended April 30, 2023 as filed with the Securities and Exchange Commission on the date hereof (the “Report”), I, David Loretta, as Chief Financial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980" w:right="2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35" w:lineRule="exact"/>
        <w:rPr>
          <w:rFonts w:ascii="Arial" w:cs="Arial" w:eastAsia="Arial" w:hAnsi="Arial"/>
          <w:sz w:val="18"/>
          <w:szCs w:val="18"/>
          <w:color w:val="auto"/>
        </w:rPr>
      </w:pPr>
    </w:p>
    <w:p>
      <w:pPr>
        <w:ind w:left="980" w:right="60" w:hanging="324"/>
        <w:spacing w:after="0" w:line="25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6" w:lineRule="exact"/>
        <w:rPr>
          <w:sz w:val="20"/>
          <w:szCs w:val="20"/>
          <w:color w:val="auto"/>
        </w:rPr>
      </w:pPr>
    </w:p>
    <w:p>
      <w:pPr>
        <w:ind w:left="120" w:right="7240" w:firstLine="779"/>
        <w:spacing w:after="0" w:line="296" w:lineRule="auto"/>
        <w:rPr>
          <w:sz w:val="20"/>
          <w:szCs w:val="20"/>
          <w:color w:val="auto"/>
        </w:rPr>
      </w:pPr>
      <w:r>
        <w:rPr>
          <w:rFonts w:ascii="Arial" w:cs="Arial" w:eastAsia="Arial" w:hAnsi="Arial"/>
          <w:sz w:val="16"/>
          <w:szCs w:val="16"/>
          <w:b w:val="1"/>
          <w:bCs w:val="1"/>
          <w:color w:val="auto"/>
        </w:rPr>
        <w:t xml:space="preserve">/s/ David Loretta </w:t>
      </w:r>
      <w:r>
        <w:rPr>
          <w:rFonts w:ascii="Arial" w:cs="Arial" w:eastAsia="Arial" w:hAnsi="Arial"/>
          <w:sz w:val="16"/>
          <w:szCs w:val="16"/>
          <w:color w:val="auto"/>
        </w:rPr>
        <w:t xml:space="preserve">Name: </w:t>
      </w:r>
      <w:r>
        <w:rPr>
          <w:rFonts w:ascii="Arial" w:cs="Arial" w:eastAsia="Arial" w:hAnsi="Arial"/>
          <w:sz w:val="16"/>
          <w:szCs w:val="16"/>
          <w:b w:val="1"/>
          <w:bCs w:val="1"/>
          <w:color w:val="auto"/>
        </w:rPr>
        <w:t>David Loretta</w:t>
      </w:r>
    </w:p>
    <w:p>
      <w:pPr>
        <w:ind w:left="120"/>
        <w:spacing w:after="0"/>
        <w:rPr>
          <w:sz w:val="20"/>
          <w:szCs w:val="20"/>
          <w:color w:val="auto"/>
        </w:rPr>
      </w:pPr>
      <w:r>
        <w:rPr>
          <w:rFonts w:ascii="Arial" w:cs="Arial" w:eastAsia="Arial" w:hAnsi="Arial"/>
          <w:sz w:val="18"/>
          <w:szCs w:val="18"/>
          <w:color w:val="auto"/>
        </w:rPr>
        <w:t>Title:</w:t>
      </w:r>
      <w:r>
        <w:rPr>
          <w:rFonts w:ascii="Arial" w:cs="Arial" w:eastAsia="Arial" w:hAnsi="Arial"/>
          <w:sz w:val="16"/>
          <w:szCs w:val="16"/>
          <w:b w:val="1"/>
          <w:bCs w:val="1"/>
          <w:color w:val="auto"/>
        </w:rPr>
        <w:t>Chief Financial Officer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w:t>
      </w:r>
      <w:r>
        <w:rPr>
          <w:rFonts w:ascii="Arial" w:cs="Arial" w:eastAsia="Arial" w:hAnsi="Arial"/>
          <w:sz w:val="16"/>
          <w:szCs w:val="16"/>
          <w:b w:val="1"/>
          <w:bCs w:val="1"/>
          <w:color w:val="auto"/>
        </w:rPr>
        <w:t>June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-430530</wp:posOffset>
            </wp:positionV>
            <wp:extent cx="30346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380" w:lineRule="exact"/>
        <w:rPr>
          <w:sz w:val="20"/>
          <w:szCs w:val="20"/>
          <w:color w:val="auto"/>
        </w:rPr>
      </w:pPr>
    </w:p>
    <w:p>
      <w:pPr>
        <w:jc w:val="both"/>
        <w:ind w:right="380" w:firstLine="432"/>
        <w:spacing w:after="0" w:line="23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6026150"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sectPr>
      <w:pgSz w:w="11900" w:h="16838" w:orient="portrait"/>
      <w:cols w:equalWidth="0" w:num="1">
        <w:col w:w="9440"/>
      </w:cols>
      <w:pgMar w:left="1220" w:top="12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upperLetter"/>
      <w:start w:val="1"/>
    </w:lvl>
  </w:abstractNum>
  <w:abstractNum w:abstractNumId="4">
    <w:nsid w:val="140E0F76"/>
    <w:multiLevelType w:val="hybridMultilevel"/>
    <w:lvl w:ilvl="0">
      <w:lvlJc w:val="left"/>
      <w:lvlText w:val="%1."/>
      <w:numFmt w:val="upperLetter"/>
      <w:start w:val="2"/>
    </w:lvl>
  </w:abstractNum>
  <w:abstractNum w:abstractNumId="5">
    <w:nsid w:val="3352255A"/>
    <w:multiLevelType w:val="hybridMultilevel"/>
    <w:lvl w:ilvl="0">
      <w:lvlJc w:val="left"/>
      <w:lvlText w:val="%1."/>
      <w:numFmt w:val="upperLetter"/>
      <w:start w:val="3"/>
    </w:lvl>
  </w:abstractNum>
  <w:abstractNum w:abstractNumId="6">
    <w:nsid w:val="109CF92E"/>
    <w:multiLevelType w:val="hybridMultilevel"/>
    <w:lvl w:ilvl="0">
      <w:lvlJc w:val="left"/>
      <w:lvlText w:val="%1."/>
      <w:numFmt w:val="upperLetter"/>
      <w:start w:val="6"/>
    </w:lvl>
  </w:abstractNum>
  <w:abstractNum w:abstractNumId="7">
    <w:nsid w:val="DED7263"/>
    <w:multiLevelType w:val="hybridMultilevel"/>
    <w:lvl w:ilvl="0">
      <w:lvlJc w:val="left"/>
      <w:lvlText w:val="%1."/>
      <w:numFmt w:val="upperLetter"/>
      <w:start w:val="9"/>
    </w:lvl>
  </w:abstractNum>
  <w:abstractNum w:abstractNumId="8">
    <w:nsid w:val="7FDCC233"/>
    <w:multiLevelType w:val="hybridMultilevel"/>
    <w:lvl w:ilvl="0">
      <w:lvlJc w:val="left"/>
      <w:lvlText w:val="%1."/>
      <w:numFmt w:val="decimal"/>
      <w:start w:val="3"/>
    </w:lvl>
  </w:abstractNum>
  <w:abstractNum w:abstractNumId="9">
    <w:nsid w:val="1BEFD79F"/>
    <w:multiLevelType w:val="hybridMultilevel"/>
    <w:lvl w:ilvl="0">
      <w:lvlJc w:val="left"/>
      <w:lvlText w:val="%1."/>
      <w:numFmt w:val="decimal"/>
      <w:start w:val="4"/>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decimal"/>
      <w:start w:val="11"/>
    </w:lvl>
  </w:abstractNum>
  <w:abstractNum w:abstractNumId="12">
    <w:nsid w:val="4E6AFB66"/>
    <w:multiLevelType w:val="hybridMultilevel"/>
    <w:lvl w:ilvl="0">
      <w:lvlJc w:val="left"/>
      <w:lvlText w:val=" "/>
      <w:numFmt w:val="bullet"/>
      <w:start w:val="1"/>
    </w:lvl>
  </w:abstractNum>
  <w:abstractNum w:abstractNumId="13">
    <w:nsid w:val="25E45D32"/>
    <w:multiLevelType w:val="hybridMultilevel"/>
    <w:lvl w:ilvl="0">
      <w:lvlJc w:val="left"/>
      <w:lvlText w:val="%1"/>
      <w:numFmt w:val="decimal"/>
      <w:start w:val="104"/>
    </w:lvl>
  </w:abstractNum>
  <w:abstractNum w:abstractNumId="14">
    <w:nsid w:val="519B500D"/>
    <w:multiLevelType w:val="hybridMultilevel"/>
    <w:lvl w:ilvl="0">
      <w:lvlJc w:val="left"/>
      <w:lvlText w:val="%1."/>
      <w:numFmt w:val="decimal"/>
      <w:start w:val="1"/>
    </w:lvl>
    <w:lvl w:ilvl="1">
      <w:lvlJc w:val="left"/>
      <w:lvlText w:val="%2)"/>
      <w:numFmt w:val="lowerLetter"/>
      <w:start w:val="1"/>
    </w:lvl>
  </w:abstractNum>
  <w:abstractNum w:abstractNumId="15">
    <w:nsid w:val="431BD7B7"/>
    <w:multiLevelType w:val="hybridMultilevel"/>
    <w:lvl w:ilvl="0">
      <w:lvlJc w:val="left"/>
      <w:lvlText w:val="%1."/>
      <w:numFmt w:val="decimal"/>
      <w:start w:val="1"/>
    </w:lvl>
    <w:lvl w:ilvl="1">
      <w:lvlJc w:val="left"/>
      <w:lvlText w:val="%2)"/>
      <w:numFmt w:val="lowerLetter"/>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 "/>
      <w:numFmt w:val="bullet"/>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2023-06-02T11:18:00Z</dcterms:created>
  <dcterms:modified xsi:type="dcterms:W3CDTF">2023-06-02T11:18:00Z</dcterms:modified>
</cp:coreProperties>
</file>