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7620"/>
        <w:spacing w:after="0"/>
        <w:rPr>
          <w:sz w:val="20"/>
          <w:szCs w:val="20"/>
          <w:color w:val="auto"/>
        </w:rPr>
      </w:pPr>
      <w:r>
        <w:rPr>
          <w:rFonts w:ascii="Arial" w:cs="Arial" w:eastAsia="Arial" w:hAnsi="Arial"/>
          <w:sz w:val="18"/>
          <w:szCs w:val="18"/>
          <w:b w:val="1"/>
          <w:bCs w:val="1"/>
          <w:color w:val="FFFCEF"/>
        </w:rPr>
        <w:t>®</w:t>
      </w:r>
    </w:p>
    <w:p>
      <w:pPr>
        <w:sectPr>
          <w:pgSz w:w="11880" w:h="15480" w:orient="portrait"/>
          <w:cols w:equalWidth="0" w:num="1">
            <w:col w:w="9000"/>
          </w:cols>
          <w:pgMar w:left="1440" w:top="144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19"/>
        <w:spacing w:after="0"/>
        <w:rPr>
          <w:sz w:val="20"/>
          <w:szCs w:val="20"/>
          <w:color w:val="auto"/>
        </w:rPr>
      </w:pPr>
      <w:r>
        <w:rPr>
          <w:rFonts w:ascii="Arial" w:cs="Arial" w:eastAsia="Arial" w:hAnsi="Arial"/>
          <w:sz w:val="26"/>
          <w:szCs w:val="26"/>
          <w:color w:val="FFFCEF"/>
        </w:rPr>
        <w:t>DULUTH HOLDINGS INC. 2024 ANNUAL REPORT</w:t>
      </w:r>
    </w:p>
    <w:p>
      <w:pPr>
        <w:sectPr>
          <w:pgSz w:w="11880" w:h="15480" w:orient="portrait"/>
          <w:cols w:equalWidth="0" w:num="1">
            <w:col w:w="9000"/>
          </w:cols>
          <w:pgMar w:left="1440" w:top="1440" w:right="1440" w:bottom="1440" w:gutter="0" w:footer="0" w:header="0"/>
          <w:type w:val="continuous"/>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DEAR FELLOW SHAREHOLDERS,</w:t>
      </w:r>
    </w:p>
    <w:p>
      <w:pPr>
        <w:spacing w:after="0" w:line="100" w:lineRule="exact"/>
        <w:rPr>
          <w:sz w:val="20"/>
          <w:szCs w:val="20"/>
          <w:color w:val="auto"/>
        </w:rPr>
      </w:pPr>
    </w:p>
    <w:p>
      <w:pPr>
        <w:jc w:val="both"/>
        <w:ind w:left="1600"/>
        <w:spacing w:after="0" w:line="232" w:lineRule="auto"/>
        <w:rPr>
          <w:sz w:val="20"/>
          <w:szCs w:val="20"/>
          <w:color w:val="auto"/>
        </w:rPr>
      </w:pPr>
      <w:r>
        <w:rPr>
          <w:rFonts w:ascii="Arial" w:cs="Arial" w:eastAsia="Arial" w:hAnsi="Arial"/>
          <w:sz w:val="15"/>
          <w:szCs w:val="15"/>
          <w:color w:val="auto"/>
        </w:rPr>
        <w:t>Duluth Trading Co. was founded on the belief that there’s gotta be a better way. A better way to solve. A better way to make. A better way to be. We’re on a mission to build better, harder-working apparel and gear that helps enable everyone from the young - to the young at heart - to take on life with their own two hands and live on terms that are uniquely their own.</w:t>
      </w:r>
    </w:p>
    <w:p>
      <w:pPr>
        <w:spacing w:after="0" w:line="11" w:lineRule="exact"/>
        <w:rPr>
          <w:sz w:val="20"/>
          <w:szCs w:val="20"/>
          <w:color w:val="auto"/>
        </w:rPr>
      </w:pPr>
    </w:p>
    <w:p>
      <w:pPr>
        <w:jc w:val="both"/>
        <w:ind w:left="1600" w:firstLine="1"/>
        <w:spacing w:after="0" w:line="238" w:lineRule="auto"/>
        <w:rPr>
          <w:sz w:val="20"/>
          <w:szCs w:val="20"/>
          <w:color w:val="auto"/>
        </w:rPr>
      </w:pPr>
      <w:r>
        <w:rPr>
          <w:rFonts w:ascii="Arial" w:cs="Arial" w:eastAsia="Arial" w:hAnsi="Arial"/>
          <w:sz w:val="14"/>
          <w:szCs w:val="14"/>
          <w:color w:val="auto"/>
        </w:rPr>
        <w:t>Our secret sauce is anchored on strong brands of innovative products, effective marketing, and exceptional consumer experiences. Duluth Trading is a brood of sub-brands all bonded by the belief that you can accomplish</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anything that you put your mind and your own two hands to. We have a long, colorful history of product innovation and solution-based design and we create distinctive marketing made to break through the clutter.</w:t>
      </w:r>
    </w:p>
    <w:p>
      <w:pPr>
        <w:spacing w:after="0" w:line="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pride ourselves on outstanding and engaging consumer experiences and building a unique business that does more than strive for growth and creating value. But also, serves the best interest of our customers, employees, and shareholders.</w:t>
      </w:r>
    </w:p>
    <w:p>
      <w:pPr>
        <w:spacing w:after="0" w:line="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believe that our company has a greater purpose to live by and we illustrated that within three inter-woven stitches, Humanity, Community and Sustainability.</w:t>
      </w:r>
    </w:p>
    <w:p>
      <w:pPr>
        <w:jc w:val="both"/>
        <w:spacing w:after="0" w:line="252" w:lineRule="auto"/>
        <w:rPr>
          <w:sz w:val="20"/>
          <w:szCs w:val="20"/>
          <w:color w:val="auto"/>
        </w:rPr>
      </w:pPr>
      <w:r>
        <w:rPr>
          <w:rFonts w:ascii="Arial" w:cs="Arial" w:eastAsia="Arial" w:hAnsi="Arial"/>
          <w:sz w:val="14"/>
          <w:szCs w:val="14"/>
          <w:b w:val="1"/>
          <w:bCs w:val="1"/>
          <w:color w:val="auto"/>
        </w:rPr>
        <w:t xml:space="preserve">Humanity. </w:t>
      </w:r>
      <w:r>
        <w:rPr>
          <w:rFonts w:ascii="Arial" w:cs="Arial" w:eastAsia="Arial" w:hAnsi="Arial"/>
          <w:sz w:val="14"/>
          <w:szCs w:val="14"/>
          <w:color w:val="auto"/>
        </w:rPr>
        <w:t>Reflecting that we are a people-first organization, last year we launched</w:t>
      </w:r>
      <w:r>
        <w:rPr>
          <w:rFonts w:ascii="Arial" w:cs="Arial" w:eastAsia="Arial" w:hAnsi="Arial"/>
          <w:sz w:val="14"/>
          <w:szCs w:val="14"/>
          <w:b w:val="1"/>
          <w:bCs w:val="1"/>
          <w:color w:val="auto"/>
        </w:rPr>
        <w:t xml:space="preserve"> </w:t>
      </w:r>
      <w:r>
        <w:rPr>
          <w:rFonts w:ascii="Arial" w:cs="Arial" w:eastAsia="Arial" w:hAnsi="Arial"/>
          <w:sz w:val="14"/>
          <w:szCs w:val="14"/>
          <w:color w:val="auto"/>
        </w:rPr>
        <w:t>our Employee Assistance Fund, a nonprofit organization designed to provide immediate financial assistance to employees following an unforeseen disaster or personal hardship. This year, our various fundraising activities generated over $125k, which was used to provide financial assistance through grants. Investing in our employees and their families is a core principle of the Duluth Way.</w:t>
      </w:r>
    </w:p>
    <w:p>
      <w:pPr>
        <w:spacing w:after="0" w:line="4" w:lineRule="exact"/>
        <w:rPr>
          <w:sz w:val="20"/>
          <w:szCs w:val="20"/>
          <w:color w:val="auto"/>
        </w:rPr>
      </w:pPr>
    </w:p>
    <w:p>
      <w:pPr>
        <w:jc w:val="both"/>
        <w:ind w:firstLine="1"/>
        <w:spacing w:after="0" w:line="236" w:lineRule="auto"/>
        <w:rPr>
          <w:sz w:val="20"/>
          <w:szCs w:val="20"/>
          <w:color w:val="auto"/>
        </w:rPr>
      </w:pPr>
      <w:r>
        <w:rPr>
          <w:rFonts w:ascii="Arial" w:cs="Arial" w:eastAsia="Arial" w:hAnsi="Arial"/>
          <w:sz w:val="15"/>
          <w:szCs w:val="15"/>
          <w:b w:val="1"/>
          <w:bCs w:val="1"/>
          <w:color w:val="auto"/>
        </w:rPr>
        <w:t xml:space="preserve">Community. </w:t>
      </w:r>
      <w:r>
        <w:rPr>
          <w:rFonts w:ascii="Arial" w:cs="Arial" w:eastAsia="Arial" w:hAnsi="Arial"/>
          <w:sz w:val="15"/>
          <w:szCs w:val="15"/>
          <w:color w:val="auto"/>
        </w:rPr>
        <w:t>Recognizing that we invest in our communities with a long-standing</w:t>
      </w:r>
      <w:r>
        <w:rPr>
          <w:rFonts w:ascii="Arial" w:cs="Arial" w:eastAsia="Arial" w:hAnsi="Arial"/>
          <w:sz w:val="15"/>
          <w:szCs w:val="15"/>
          <w:b w:val="1"/>
          <w:bCs w:val="1"/>
          <w:color w:val="auto"/>
        </w:rPr>
        <w:t xml:space="preserve"> </w:t>
      </w:r>
      <w:r>
        <w:rPr>
          <w:rFonts w:ascii="Arial" w:cs="Arial" w:eastAsia="Arial" w:hAnsi="Arial"/>
          <w:sz w:val="15"/>
          <w:szCs w:val="15"/>
          <w:color w:val="auto"/>
        </w:rPr>
        <w:t>commitment to empowering a hands-on lifestyle, we are pleased to continue our multi-year pledge of $1.2 million from 2022 to the Boys and Girls Club of Dane County, WI to fund the McKenzie Regional Workforce Center, a first of its kind to prepare young people for careers in the skilled trades.</w:t>
      </w:r>
    </w:p>
    <w:p>
      <w:pPr>
        <w:spacing w:after="0" w:line="9" w:lineRule="exact"/>
        <w:rPr>
          <w:sz w:val="20"/>
          <w:szCs w:val="20"/>
          <w:color w:val="auto"/>
        </w:rPr>
      </w:pPr>
    </w:p>
    <w:p>
      <w:pPr>
        <w:jc w:val="both"/>
        <w:spacing w:after="0" w:line="237" w:lineRule="auto"/>
        <w:rPr>
          <w:sz w:val="20"/>
          <w:szCs w:val="20"/>
          <w:color w:val="auto"/>
        </w:rPr>
      </w:pPr>
      <w:r>
        <w:rPr>
          <w:rFonts w:ascii="Arial" w:cs="Arial" w:eastAsia="Arial" w:hAnsi="Arial"/>
          <w:sz w:val="15"/>
          <w:szCs w:val="15"/>
          <w:b w:val="1"/>
          <w:bCs w:val="1"/>
          <w:color w:val="auto"/>
        </w:rPr>
        <w:t xml:space="preserve">Sustainability. </w:t>
      </w:r>
      <w:r>
        <w:rPr>
          <w:rFonts w:ascii="Arial" w:cs="Arial" w:eastAsia="Arial" w:hAnsi="Arial"/>
          <w:sz w:val="15"/>
          <w:szCs w:val="15"/>
          <w:color w:val="auto"/>
        </w:rPr>
        <w:t>We don’t make throwaway products. That means our customers</w:t>
      </w:r>
      <w:r>
        <w:rPr>
          <w:rFonts w:ascii="Arial" w:cs="Arial" w:eastAsia="Arial" w:hAnsi="Arial"/>
          <w:sz w:val="15"/>
          <w:szCs w:val="15"/>
          <w:b w:val="1"/>
          <w:bCs w:val="1"/>
          <w:color w:val="auto"/>
        </w:rPr>
        <w:t xml:space="preserve"> </w:t>
      </w:r>
      <w:r>
        <w:rPr>
          <w:rFonts w:ascii="Arial" w:cs="Arial" w:eastAsia="Arial" w:hAnsi="Arial"/>
          <w:sz w:val="15"/>
          <w:szCs w:val="15"/>
          <w:color w:val="auto"/>
        </w:rPr>
        <w:t>get more life from their purchases, and in turn, less waste ends up in a landfill. We seek consistent improvements by keeping an eye on eco-friendly technology and potential sustainability partners. Just as with any true stewardship, our quest is ever continuing.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PERFORMANCE REVIEW</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We are transforming our business to achieve sustainable profitable growth. In 2024, the team made significant progress on strategic and structural initiatives ending the year with no debt and strong liquidity.</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Financial Results</w:t>
      </w:r>
    </w:p>
    <w:p>
      <w:pPr>
        <w:spacing w:after="0" w:line="47"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In 2024, we delivered net sales of $626.6 million, Adjusted EBITDA of $14.6M and EPS of -$1.31 and Adjusted EPS of -$0.71. We ended the year with $3.3 million of cash, no outstanding debt on our line of credit, and liquidity of $103.3 million. Our net working capital was $63.1 million with an inventory increase of $41 million year-over-year, ending at $166.5 million. We are entering the new fiscal year with 90% inventory in core and current products. The primary focus of our $17.4 million capital expenditure investment was the advancement of our technology roadmap.</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Peak Lessons Learned</w:t>
      </w:r>
    </w:p>
    <w:p>
      <w:pPr>
        <w:spacing w:after="0" w:line="47" w:lineRule="exact"/>
        <w:rPr>
          <w:sz w:val="20"/>
          <w:szCs w:val="20"/>
          <w:color w:val="auto"/>
        </w:rPr>
      </w:pPr>
    </w:p>
    <w:p>
      <w:pPr>
        <w:jc w:val="both"/>
        <w:spacing w:after="0" w:line="230" w:lineRule="auto"/>
        <w:rPr>
          <w:sz w:val="20"/>
          <w:szCs w:val="20"/>
          <w:color w:val="auto"/>
        </w:rPr>
      </w:pPr>
      <w:r>
        <w:rPr>
          <w:rFonts w:ascii="Arial" w:cs="Arial" w:eastAsia="Arial" w:hAnsi="Arial"/>
          <w:sz w:val="15"/>
          <w:szCs w:val="15"/>
          <w:color w:val="auto"/>
        </w:rPr>
        <w:t>We experienced an unexpectedly high level of order backlogs driven by a record volume of orders leading into Black Friday week through Cyber Monday. We subsequently reduced promotional depth and frequency to address the order backlog to maintain sales quality. This decision, while operationally necessary, constrained our top-line growth. Additionally, the surge in demand depleted inventory at our Adairsville center, resulting in more orders being routed to our legacy Belleville facility. We have used this experience to enhance our operational protocols and planning processes to optimize unit inventory distribution across our fulfillment network.</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Product Innovation</w:t>
      </w:r>
    </w:p>
    <w:p>
      <w:pPr>
        <w:spacing w:after="0" w:line="46" w:lineRule="exact"/>
        <w:rPr>
          <w:sz w:val="20"/>
          <w:szCs w:val="20"/>
          <w:color w:val="auto"/>
        </w:rPr>
      </w:pPr>
    </w:p>
    <w:p>
      <w:pPr>
        <w:jc w:val="both"/>
        <w:ind w:firstLine="1"/>
        <w:spacing w:after="0" w:line="234" w:lineRule="auto"/>
        <w:rPr>
          <w:sz w:val="20"/>
          <w:szCs w:val="20"/>
          <w:color w:val="auto"/>
        </w:rPr>
      </w:pPr>
      <w:r>
        <w:rPr>
          <w:rFonts w:ascii="Arial" w:cs="Arial" w:eastAsia="Arial" w:hAnsi="Arial"/>
          <w:sz w:val="15"/>
          <w:szCs w:val="15"/>
          <w:color w:val="auto"/>
        </w:rPr>
        <w:t>Our product development and sourcing initiatives are exceeding our initial expectations. The shift to direct-to-factory reduces costs, speeds up production, and allows us to offer innovative products more frequently to our customers. This is a critical strategic unlock for our business that improves both our financial performance and our ability to serve customers with fresh, innovative products more often.</w:t>
      </w:r>
    </w:p>
    <w:p>
      <w:pPr>
        <w:spacing w:after="0" w:line="9"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We take pride in Duluth’s unique and innovative fabrics and features that set us apart in the marketplace.</w:t>
      </w:r>
    </w:p>
    <w:p>
      <w:pPr>
        <w:spacing w:after="0" w:line="1" w:lineRule="exact"/>
        <w:rPr>
          <w:sz w:val="20"/>
          <w:szCs w:val="20"/>
          <w:color w:val="auto"/>
        </w:rPr>
      </w:pPr>
    </w:p>
    <w:p>
      <w:pPr>
        <w:jc w:val="both"/>
        <w:ind w:left="280" w:hanging="280"/>
        <w:spacing w:after="0" w:line="248" w:lineRule="auto"/>
        <w:tabs>
          <w:tab w:leader="none" w:pos="280" w:val="left"/>
        </w:tabs>
        <w:numPr>
          <w:ilvl w:val="0"/>
          <w:numId w:val="1"/>
        </w:numPr>
        <w:rPr>
          <w:rFonts w:ascii="Arial" w:cs="Arial" w:eastAsia="Arial" w:hAnsi="Arial"/>
          <w:sz w:val="15"/>
          <w:szCs w:val="15"/>
          <w:color w:val="auto"/>
        </w:rPr>
      </w:pPr>
      <w:r>
        <w:rPr>
          <w:rFonts w:ascii="Arial" w:cs="Arial" w:eastAsia="Arial" w:hAnsi="Arial"/>
          <w:sz w:val="15"/>
          <w:szCs w:val="15"/>
          <w:color w:val="auto"/>
        </w:rPr>
        <w:t>In Men’s, as part of our hero underwear collection, we launched Bullpen 3D, an enhancement to our Bullpen technology that provides even more support and lift, while reducing chafing and pinching.</w:t>
      </w:r>
    </w:p>
    <w:p>
      <w:pPr>
        <w:spacing w:after="0" w:line="3" w:lineRule="exact"/>
        <w:rPr>
          <w:rFonts w:ascii="Arial" w:cs="Arial" w:eastAsia="Arial" w:hAnsi="Arial"/>
          <w:sz w:val="15"/>
          <w:szCs w:val="15"/>
          <w:color w:val="auto"/>
        </w:rPr>
      </w:pPr>
    </w:p>
    <w:p>
      <w:pPr>
        <w:jc w:val="both"/>
        <w:ind w:left="280" w:hanging="280"/>
        <w:spacing w:after="0"/>
        <w:tabs>
          <w:tab w:leader="none" w:pos="280" w:val="left"/>
        </w:tabs>
        <w:numPr>
          <w:ilvl w:val="0"/>
          <w:numId w:val="1"/>
        </w:numPr>
        <w:rPr>
          <w:rFonts w:ascii="Arial" w:cs="Arial" w:eastAsia="Arial" w:hAnsi="Arial"/>
          <w:sz w:val="15"/>
          <w:szCs w:val="15"/>
          <w:color w:val="auto"/>
        </w:rPr>
      </w:pPr>
      <w:r>
        <w:rPr>
          <w:rFonts w:ascii="Arial" w:cs="Arial" w:eastAsia="Arial" w:hAnsi="Arial"/>
          <w:sz w:val="15"/>
          <w:szCs w:val="15"/>
          <w:color w:val="auto"/>
        </w:rPr>
        <w:t>In Women’s, our Heirloom Garden collection continues to be a favorite for her, bolstered this year by a variety of new prints, as our strategy of refreshing core colors coupled with the introduction of multiple exciting new prints proved to be successful.</w:t>
      </w:r>
    </w:p>
    <w:p>
      <w:pPr>
        <w:spacing w:after="0" w:line="7" w:lineRule="exact"/>
        <w:rPr>
          <w:rFonts w:ascii="Arial" w:cs="Arial" w:eastAsia="Arial" w:hAnsi="Arial"/>
          <w:sz w:val="15"/>
          <w:szCs w:val="15"/>
          <w:color w:val="auto"/>
        </w:rPr>
      </w:pPr>
    </w:p>
    <w:p>
      <w:pPr>
        <w:jc w:val="both"/>
        <w:ind w:left="280" w:hanging="279"/>
        <w:spacing w:after="0" w:line="266" w:lineRule="auto"/>
        <w:tabs>
          <w:tab w:leader="none" w:pos="281"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launched our new Souped Up Sweats collection, Duluth’s take on a “better basic” which features a beefier fabrication for both him and her, and allows for easier movement while working, and even better for lounging.</w:t>
      </w:r>
    </w:p>
    <w:p>
      <w:pPr>
        <w:spacing w:after="0" w:line="1" w:lineRule="exact"/>
        <w:rPr>
          <w:rFonts w:ascii="Arial" w:cs="Arial" w:eastAsia="Arial" w:hAnsi="Arial"/>
          <w:sz w:val="14"/>
          <w:szCs w:val="14"/>
          <w:color w:val="auto"/>
        </w:rPr>
      </w:pPr>
    </w:p>
    <w:p>
      <w:pPr>
        <w:jc w:val="both"/>
        <w:ind w:left="280" w:hanging="280"/>
        <w:spacing w:after="0"/>
        <w:tabs>
          <w:tab w:leader="none" w:pos="280" w:val="left"/>
        </w:tabs>
        <w:numPr>
          <w:ilvl w:val="0"/>
          <w:numId w:val="1"/>
        </w:numPr>
        <w:rPr>
          <w:rFonts w:ascii="Arial" w:cs="Arial" w:eastAsia="Arial" w:hAnsi="Arial"/>
          <w:sz w:val="15"/>
          <w:szCs w:val="15"/>
          <w:color w:val="auto"/>
        </w:rPr>
      </w:pPr>
      <w:r>
        <w:rPr>
          <w:rFonts w:ascii="Arial" w:cs="Arial" w:eastAsia="Arial" w:hAnsi="Arial"/>
          <w:sz w:val="15"/>
          <w:szCs w:val="15"/>
          <w:color w:val="auto"/>
        </w:rPr>
        <w:t>And within AKHG, our new Stormwall Rain Gear collection was built to defend against driving rain and slashing branches alike thanks to triple-layer fabric technology, with a waterproof and breathable barrier that keeps you dry and comfortable, even while working up a sweat.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Consumer Focus</w:t>
      </w:r>
    </w:p>
    <w:p>
      <w:pPr>
        <w:spacing w:after="0" w:line="47" w:lineRule="exact"/>
        <w:rPr>
          <w:sz w:val="20"/>
          <w:szCs w:val="20"/>
          <w:color w:val="auto"/>
        </w:rPr>
      </w:pPr>
    </w:p>
    <w:p>
      <w:pPr>
        <w:jc w:val="both"/>
        <w:spacing w:after="0" w:line="230" w:lineRule="auto"/>
        <w:rPr>
          <w:sz w:val="20"/>
          <w:szCs w:val="20"/>
          <w:color w:val="auto"/>
        </w:rPr>
      </w:pPr>
      <w:r>
        <w:rPr>
          <w:rFonts w:ascii="Arial" w:cs="Arial" w:eastAsia="Arial" w:hAnsi="Arial"/>
          <w:sz w:val="15"/>
          <w:szCs w:val="15"/>
          <w:color w:val="auto"/>
        </w:rPr>
        <w:t>Our Marketing and Creative teams are building on the success of our Mobile 1st strategy, capitalizing on the increasing mobile penetration for website visits and sales. Our new media agency partnership has implemented innovative consumer engagement strategies that have expanded our upper-funnel media reach within our target demographic. These strategies focus on full-funnel media, budget optimization, and traffic growth initiatives. This collaboration also allows us to assess brand perception among current and potential customers, reinforcing our commitment to quality and authenticity by monitoring awareness, consideration, and purchase intent.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Big Dam Blueprint</w:t>
      </w:r>
    </w:p>
    <w:p>
      <w:pPr>
        <w:spacing w:after="0" w:line="4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have made significant progress on key strategic initiatives. These initiatives have enabled a greater penetration of digital and mobile sales, lower variable fulfillment costs, gross margin expansion and revenue growth opportunities.</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5"/>
          <w:szCs w:val="15"/>
          <w:color w:val="auto"/>
        </w:rPr>
        <w:t>Our product development and sourcing initiatives are delivering meaningful benefits, exceeding our initial expectations. This is a critical strategic unlock for our business that improves both our financial performance and our ability to serve customers with fresh, innovative products more often.</w:t>
      </w:r>
    </w:p>
    <w:p>
      <w:pPr>
        <w:spacing w:after="0" w:line="8" w:lineRule="exact"/>
        <w:rPr>
          <w:sz w:val="20"/>
          <w:szCs w:val="20"/>
          <w:color w:val="auto"/>
        </w:rPr>
      </w:pPr>
    </w:p>
    <w:p>
      <w:pPr>
        <w:jc w:val="both"/>
        <w:spacing w:after="0" w:line="234" w:lineRule="auto"/>
        <w:rPr>
          <w:sz w:val="20"/>
          <w:szCs w:val="20"/>
          <w:color w:val="auto"/>
        </w:rPr>
      </w:pPr>
      <w:r>
        <w:rPr>
          <w:rFonts w:ascii="Arial" w:cs="Arial" w:eastAsia="Arial" w:hAnsi="Arial"/>
          <w:sz w:val="15"/>
          <w:szCs w:val="15"/>
          <w:color w:val="auto"/>
        </w:rPr>
        <w:t>The Adairsville fulfillment center now handles over 60% of total volume at a 66% lower cost per unit than our legacy facilities. It has become the cornerstone of our network optimization strategy and the challenges from the fourth quarter highlight the importance of continuing to develop our logistics and fulfillment capabilities. Additionally, we have successfully closed our Dubuque facility, resulting in approximately $5 million in annual cost savings.</w:t>
      </w:r>
    </w:p>
    <w:p>
      <w:pPr>
        <w:spacing w:after="0" w:line="9" w:lineRule="exact"/>
        <w:rPr>
          <w:sz w:val="20"/>
          <w:szCs w:val="20"/>
          <w:color w:val="auto"/>
        </w:rPr>
      </w:pPr>
    </w:p>
    <w:p>
      <w:pPr>
        <w:jc w:val="both"/>
        <w:spacing w:after="0"/>
        <w:rPr>
          <w:sz w:val="20"/>
          <w:szCs w:val="20"/>
          <w:color w:val="auto"/>
        </w:rPr>
      </w:pPr>
      <w:r>
        <w:rPr>
          <w:rFonts w:ascii="Arial" w:cs="Arial" w:eastAsia="Arial" w:hAnsi="Arial"/>
          <w:sz w:val="15"/>
          <w:szCs w:val="15"/>
          <w:color w:val="auto"/>
        </w:rPr>
        <w:t>Our mobile-first digital strategy continues to drive growth, with mobile now representing almost 70% of site visits and 58% of digital sales. Mobile is our customers’ primary gateway to the brand, and we’re seeing the benefits of meeting them where they prefer to shop.</w:t>
      </w:r>
    </w:p>
    <w:p>
      <w:pPr>
        <w:spacing w:after="0" w:line="7"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Omnichannel strategy is crucial to our business. Multi-channel customers shop twice as often as single-channel customers, and our brick-and-mortar stores are vital to this strategy.</w:t>
      </w:r>
    </w:p>
    <w:p>
      <w:pPr>
        <w:spacing w:after="0" w:line="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retail store revitalization strategy is making significant progress. We’re applying higher productivity hurdle rates to both our existing 65 stores and new locations. We’ve identified priority markets for new stores to reach our target customer and are on track to open two new stores and close one store in the second half of 2025.</w:t>
      </w:r>
    </w:p>
    <w:p>
      <w:pPr>
        <w:jc w:val="both"/>
        <w:spacing w:after="0" w:line="234" w:lineRule="auto"/>
        <w:rPr>
          <w:sz w:val="20"/>
          <w:szCs w:val="20"/>
          <w:color w:val="auto"/>
        </w:rPr>
      </w:pPr>
      <w:r>
        <w:rPr>
          <w:rFonts w:ascii="Arial" w:cs="Arial" w:eastAsia="Arial" w:hAnsi="Arial"/>
          <w:sz w:val="15"/>
          <w:szCs w:val="15"/>
          <w:color w:val="auto"/>
        </w:rPr>
        <w:t>Finally, our technology roadmap. We have completed building foundational platforms for data and e-Commerce. We are currently implementing a product information platform, redesigning our mobile site, and completing the warehouse management system to optimize omnichannel fulfillment and inventory management. The final phase includes implementing a unified promotion engine, enabling a loyalty program, and replacing our core ERP.</w:t>
      </w:r>
    </w:p>
    <w:p>
      <w:pPr>
        <w:spacing w:after="0" w:line="8"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These initiatives are fundamental to how we operate and provide businesses with tangible improvements in our logistics network, product development capabilities, and digital experience.</w:t>
      </w:r>
    </w:p>
    <w:p>
      <w:pPr>
        <w:spacing w:after="0" w:line="3"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Lastly, serving as President, CEO, and Board Member of Duluth Trading has been a privilege. I am humbled and proud of what our team has accomplished and the progress we have made. I’m honored to have worked alongside such passionate and talented individuals, and I’m confident that the company has a bright future. Finally, I want to sincerely thank Steve for his support and partnership during my tenure.</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color w:val="auto"/>
        </w:rPr>
        <w:t>Samuel M. Sato</w:t>
      </w:r>
    </w:p>
    <w:p>
      <w:pPr>
        <w:spacing w:after="0"/>
        <w:rPr>
          <w:sz w:val="20"/>
          <w:szCs w:val="20"/>
          <w:color w:val="auto"/>
        </w:rPr>
      </w:pPr>
      <w:r>
        <w:rPr>
          <w:rFonts w:ascii="Arial" w:cs="Arial" w:eastAsia="Arial" w:hAnsi="Arial"/>
          <w:sz w:val="14"/>
          <w:szCs w:val="14"/>
          <w:color w:val="auto"/>
        </w:rPr>
        <w:t>President and Chief Executive Officer</w:t>
      </w:r>
    </w:p>
    <w:p>
      <w:pPr>
        <w:spacing w:after="0"/>
        <w:rPr>
          <w:sz w:val="20"/>
          <w:szCs w:val="20"/>
          <w:color w:val="auto"/>
        </w:rPr>
      </w:pPr>
      <w:r>
        <w:rPr>
          <w:rFonts w:ascii="Arial" w:cs="Arial" w:eastAsia="Arial" w:hAnsi="Arial"/>
          <w:sz w:val="14"/>
          <w:szCs w:val="14"/>
          <w:color w:val="auto"/>
        </w:rPr>
        <w:t>Duluth Holdings, Inc.</w:t>
      </w:r>
    </w:p>
    <w:p>
      <w:pPr>
        <w:spacing w:after="0" w:line="259"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LOOKING AHEAD</w:t>
      </w:r>
    </w:p>
    <w:p>
      <w:pPr>
        <w:spacing w:after="0" w:line="216" w:lineRule="exact"/>
        <w:rPr>
          <w:sz w:val="20"/>
          <w:szCs w:val="20"/>
          <w:color w:val="auto"/>
        </w:rPr>
      </w:pPr>
    </w:p>
    <w:p>
      <w:pPr>
        <w:jc w:val="both"/>
        <w:ind w:left="1600"/>
        <w:spacing w:after="0" w:line="238" w:lineRule="auto"/>
        <w:rPr>
          <w:sz w:val="20"/>
          <w:szCs w:val="20"/>
          <w:color w:val="auto"/>
        </w:rPr>
      </w:pPr>
      <w:r>
        <w:rPr>
          <w:rFonts w:ascii="Arial" w:cs="Arial" w:eastAsia="Arial" w:hAnsi="Arial"/>
          <w:sz w:val="14"/>
          <w:szCs w:val="14"/>
          <w:color w:val="auto"/>
        </w:rPr>
        <w:t>On behalf of the Board of Directors, I want to thank Sam for his years of service and dedication and wish him the absolute best in his upcoming retirement. Over the past several years, Duluth has made significant investments in systems, sourcing, and distribution that will serve as</w:t>
      </w:r>
    </w:p>
    <w:p>
      <w:pPr>
        <w:spacing w:after="0" w:line="2" w:lineRule="exact"/>
        <w:rPr>
          <w:sz w:val="20"/>
          <w:szCs w:val="20"/>
          <w:color w:val="auto"/>
        </w:rPr>
      </w:pPr>
    </w:p>
    <w:p>
      <w:pPr>
        <w:ind w:left="1600" w:hanging="9"/>
        <w:spacing w:after="0" w:line="281" w:lineRule="auto"/>
        <w:tabs>
          <w:tab w:leader="none" w:pos="1722" w:val="left"/>
        </w:tabs>
        <w:numPr>
          <w:ilvl w:val="0"/>
          <w:numId w:val="2"/>
        </w:numPr>
        <w:rPr>
          <w:rFonts w:ascii="Arial" w:cs="Arial" w:eastAsia="Arial" w:hAnsi="Arial"/>
          <w:sz w:val="14"/>
          <w:szCs w:val="14"/>
          <w:color w:val="auto"/>
        </w:rPr>
      </w:pPr>
      <w:r>
        <w:rPr>
          <w:rFonts w:ascii="Arial" w:cs="Arial" w:eastAsia="Arial" w:hAnsi="Arial"/>
          <w:sz w:val="14"/>
          <w:szCs w:val="14"/>
          <w:color w:val="auto"/>
        </w:rPr>
        <w:t>strong foundation as we work to deliver differentiated products and an excellent customer experience.</w:t>
      </w:r>
    </w:p>
    <w:p>
      <w:pPr>
        <w:jc w:val="both"/>
        <w:ind w:firstLine="1591"/>
        <w:spacing w:after="0" w:line="232" w:lineRule="auto"/>
        <w:rPr>
          <w:sz w:val="20"/>
          <w:szCs w:val="20"/>
          <w:color w:val="auto"/>
        </w:rPr>
      </w:pPr>
      <w:r>
        <w:rPr>
          <w:rFonts w:ascii="Arial" w:cs="Arial" w:eastAsia="Arial" w:hAnsi="Arial"/>
          <w:sz w:val="15"/>
          <w:szCs w:val="15"/>
          <w:color w:val="auto"/>
        </w:rPr>
        <w:t>We are pleased to appoint Stephanie Pugliese as our next President and Chief Executive Officer and as a member of the Board of Directors, effective May 5, 2025. Stephanie’s intimate understanding of our brand ethos, solution-based products, and customer-centric philosophy ensures she will make an immediate impact. Her exceptional experience and expertise in leading brand-focused consumer businesses will be invaluable as we drive toward sustainable and profitable growth.</w:t>
      </w:r>
    </w:p>
    <w:p>
      <w:pPr>
        <w:spacing w:after="0" w:line="11"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In closing, with immense gratitude, we acknowledge the unwavering support of our shareholders and the loyalty of our customers. We also recognize the Duluth team, our true brand ambassadors, for their continued dedication and hard work.</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Stephen L. Schlecht</w:t>
      </w:r>
    </w:p>
    <w:p>
      <w:pPr>
        <w:spacing w:after="0"/>
        <w:rPr>
          <w:sz w:val="20"/>
          <w:szCs w:val="20"/>
          <w:color w:val="auto"/>
        </w:rPr>
      </w:pPr>
      <w:r>
        <w:rPr>
          <w:rFonts w:ascii="Arial" w:cs="Arial" w:eastAsia="Arial" w:hAnsi="Arial"/>
          <w:sz w:val="14"/>
          <w:szCs w:val="14"/>
          <w:color w:val="auto"/>
        </w:rPr>
        <w:t>Founder and Chairman of the Board</w:t>
      </w:r>
    </w:p>
    <w:p>
      <w:pPr>
        <w:spacing w:after="0"/>
        <w:rPr>
          <w:sz w:val="20"/>
          <w:szCs w:val="20"/>
          <w:color w:val="auto"/>
        </w:rPr>
      </w:pPr>
      <w:r>
        <w:rPr>
          <w:rFonts w:ascii="Arial" w:cs="Arial" w:eastAsia="Arial" w:hAnsi="Arial"/>
          <w:sz w:val="14"/>
          <w:szCs w:val="14"/>
          <w:color w:val="auto"/>
        </w:rPr>
        <w:t>Duluth Holdings, Inc.</w:t>
      </w:r>
    </w:p>
    <w:p>
      <w:pPr>
        <w:sectPr>
          <w:pgSz w:w="11880" w:h="15480" w:orient="portrait"/>
          <w:cols w:equalWidth="0" w:num="2">
            <w:col w:w="5220" w:space="360"/>
            <w:col w:w="5220"/>
          </w:cols>
          <w:pgMar w:left="720" w:top="393" w:right="360" w:bottom="0" w:gutter="0" w:footer="0" w:header="0"/>
        </w:sectPr>
      </w:pPr>
    </w:p>
    <w:bookmarkStart w:id="3" w:name="page4"/>
    <w:bookmarkEnd w:id="3"/>
    <w:p>
      <w:pPr>
        <w:jc w:val="center"/>
        <w:ind w:right="-26"/>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SUMMARY OF FINANCIAL PERFORMANCE</w:t>
      </w:r>
    </w:p>
    <w:p>
      <w:pPr>
        <w:sectPr>
          <w:pgSz w:w="11880" w:h="15480" w:orient="portrait"/>
          <w:cols w:equalWidth="0" w:num="1">
            <w:col w:w="10307"/>
          </w:cols>
          <w:pgMar w:left="773" w:top="1269" w:right="80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50"/>
        <w:spacing w:after="0"/>
        <w:rPr>
          <w:sz w:val="20"/>
          <w:szCs w:val="20"/>
          <w:color w:val="auto"/>
        </w:rPr>
      </w:pPr>
      <w:r>
        <w:rPr>
          <w:rFonts w:ascii="Arial" w:cs="Arial" w:eastAsia="Arial" w:hAnsi="Arial"/>
          <w:sz w:val="28"/>
          <w:szCs w:val="28"/>
          <w:color w:val="auto"/>
        </w:rPr>
        <w:t>DIRECT-TO-CONSUMER,</w:t>
      </w:r>
    </w:p>
    <w:p>
      <w:pPr>
        <w:jc w:val="center"/>
        <w:ind w:right="150"/>
        <w:spacing w:after="0"/>
        <w:rPr>
          <w:sz w:val="20"/>
          <w:szCs w:val="20"/>
          <w:color w:val="auto"/>
        </w:rPr>
      </w:pPr>
      <w:r>
        <w:rPr>
          <w:rFonts w:ascii="Arial" w:cs="Arial" w:eastAsia="Arial" w:hAnsi="Arial"/>
          <w:sz w:val="28"/>
          <w:szCs w:val="28"/>
          <w:color w:val="auto"/>
        </w:rPr>
        <w:t>STORE AND TOTAL NET SALES</w:t>
      </w:r>
    </w:p>
    <w:p>
      <w:pPr>
        <w:spacing w:after="0" w:line="37" w:lineRule="exact"/>
        <w:rPr>
          <w:sz w:val="20"/>
          <w:szCs w:val="20"/>
          <w:color w:val="auto"/>
        </w:rPr>
      </w:pPr>
    </w:p>
    <w:p>
      <w:pPr>
        <w:ind w:left="1887"/>
        <w:spacing w:after="0"/>
        <w:rPr>
          <w:sz w:val="20"/>
          <w:szCs w:val="20"/>
          <w:color w:val="auto"/>
        </w:rPr>
      </w:pPr>
      <w:r>
        <w:rPr>
          <w:rFonts w:ascii="Arial" w:cs="Arial" w:eastAsia="Arial" w:hAnsi="Arial"/>
          <w:sz w:val="17"/>
          <w:szCs w:val="17"/>
          <w:b w:val="1"/>
          <w:bCs w:val="1"/>
          <w:color w:val="2B4C18"/>
        </w:rPr>
        <w:t>CAGR = 0.4%</w:t>
      </w:r>
    </w:p>
    <w:p>
      <w:pPr>
        <w:spacing w:after="0" w:line="109" w:lineRule="exact"/>
        <w:rPr>
          <w:sz w:val="20"/>
          <w:szCs w:val="20"/>
          <w:color w:val="auto"/>
        </w:rPr>
      </w:pPr>
    </w:p>
    <w:tbl>
      <w:tblPr>
        <w:tblLayout w:type="fixed"/>
        <w:tblInd w:w="467" w:type="dxa"/>
        <w:tblCellMar>
          <w:top w:w="0" w:type="dxa"/>
          <w:left w:w="0" w:type="dxa"/>
          <w:bottom w:w="0" w:type="dxa"/>
          <w:right w:w="0" w:type="dxa"/>
        </w:tblCellMar>
      </w:tblPr>
      <w:tr>
        <w:trPr>
          <w:trHeight w:val="224"/>
        </w:trPr>
        <w:tc>
          <w:tcPr>
            <w:tcW w:w="740" w:type="dxa"/>
            <w:vAlign w:val="bottom"/>
            <w:vMerge w:val="restart"/>
          </w:tcPr>
          <w:p>
            <w:pPr>
              <w:ind w:left="700"/>
              <w:spacing w:after="0"/>
              <w:rPr>
                <w:sz w:val="20"/>
                <w:szCs w:val="20"/>
                <w:color w:val="auto"/>
              </w:rPr>
            </w:pPr>
            <w:r>
              <w:rPr>
                <w:rFonts w:ascii="Arial" w:cs="Arial" w:eastAsia="Arial" w:hAnsi="Arial"/>
                <w:sz w:val="5"/>
                <w:szCs w:val="5"/>
                <w:b w:val="1"/>
                <w:bCs w:val="1"/>
                <w:color w:val="auto"/>
                <w:w w:val="70"/>
              </w:rPr>
              <w:t>$</w:t>
            </w:r>
          </w:p>
        </w:tc>
        <w:tc>
          <w:tcPr>
            <w:tcW w:w="5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w w:val="94"/>
              </w:rPr>
              <w:t>638.8</w:t>
            </w:r>
          </w:p>
        </w:tc>
        <w:tc>
          <w:tcPr>
            <w:tcW w:w="68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rPr>
              <w:t>$</w:t>
            </w:r>
            <w:r>
              <w:rPr>
                <w:rFonts w:ascii="Arial" w:cs="Arial" w:eastAsia="Arial" w:hAnsi="Arial"/>
                <w:sz w:val="16"/>
                <w:szCs w:val="16"/>
                <w:b w:val="1"/>
                <w:bCs w:val="1"/>
                <w:color w:val="auto"/>
              </w:rPr>
              <w:t>698.6</w:t>
            </w:r>
          </w:p>
        </w:tc>
        <w:tc>
          <w:tcPr>
            <w:tcW w:w="700" w:type="dxa"/>
            <w:vAlign w:val="bottom"/>
            <w:vMerge w:val="restart"/>
          </w:tcPr>
          <w:p>
            <w:pPr>
              <w:jc w:val="right"/>
              <w:ind w:right="93"/>
              <w:spacing w:after="0"/>
              <w:rPr>
                <w:sz w:val="20"/>
                <w:szCs w:val="20"/>
                <w:color w:val="auto"/>
              </w:rPr>
            </w:pPr>
            <w:r>
              <w:rPr>
                <w:rFonts w:ascii="Arial" w:cs="Arial" w:eastAsia="Arial" w:hAnsi="Arial"/>
                <w:sz w:val="9"/>
                <w:szCs w:val="9"/>
                <w:b w:val="1"/>
                <w:bCs w:val="1"/>
                <w:color w:val="auto"/>
              </w:rPr>
              <w:t>$</w:t>
            </w:r>
            <w:r>
              <w:rPr>
                <w:rFonts w:ascii="Arial" w:cs="Arial" w:eastAsia="Arial" w:hAnsi="Arial"/>
                <w:sz w:val="16"/>
                <w:szCs w:val="16"/>
                <w:b w:val="1"/>
                <w:bCs w:val="1"/>
                <w:color w:val="auto"/>
              </w:rPr>
              <w:t>653.3</w:t>
            </w:r>
          </w:p>
        </w:tc>
        <w:tc>
          <w:tcPr>
            <w:tcW w:w="680" w:type="dxa"/>
            <w:vAlign w:val="bottom"/>
            <w:vMerge w:val="restart"/>
          </w:tcPr>
          <w:p>
            <w:pPr>
              <w:jc w:val="right"/>
              <w:ind w:right="73"/>
              <w:spacing w:after="0"/>
              <w:rPr>
                <w:sz w:val="20"/>
                <w:szCs w:val="20"/>
                <w:color w:val="auto"/>
              </w:rPr>
            </w:pPr>
            <w:r>
              <w:rPr>
                <w:rFonts w:ascii="Arial" w:cs="Arial" w:eastAsia="Arial" w:hAnsi="Arial"/>
                <w:sz w:val="9"/>
                <w:szCs w:val="9"/>
                <w:b w:val="1"/>
                <w:bCs w:val="1"/>
                <w:color w:val="auto"/>
              </w:rPr>
              <w:t>$</w:t>
            </w:r>
            <w:r>
              <w:rPr>
                <w:rFonts w:ascii="Arial" w:cs="Arial" w:eastAsia="Arial" w:hAnsi="Arial"/>
                <w:sz w:val="16"/>
                <w:szCs w:val="16"/>
                <w:b w:val="1"/>
                <w:bCs w:val="1"/>
                <w:color w:val="auto"/>
              </w:rPr>
              <w:t>646.7</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7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80" w:type="dxa"/>
            <w:vAlign w:val="bottom"/>
            <w:vMerge w:val="restart"/>
          </w:tcPr>
          <w:p>
            <w:pPr>
              <w:jc w:val="right"/>
              <w:spacing w:after="0"/>
              <w:rPr>
                <w:sz w:val="20"/>
                <w:szCs w:val="20"/>
                <w:color w:val="auto"/>
              </w:rPr>
            </w:pPr>
            <w:r>
              <w:rPr>
                <w:rFonts w:ascii="Arial" w:cs="Arial" w:eastAsia="Arial" w:hAnsi="Arial"/>
                <w:sz w:val="9"/>
                <w:szCs w:val="9"/>
                <w:b w:val="1"/>
                <w:bCs w:val="1"/>
                <w:color w:val="FFFFFF"/>
              </w:rPr>
              <w:t>$</w:t>
            </w:r>
          </w:p>
        </w:tc>
        <w:tc>
          <w:tcPr>
            <w:tcW w:w="5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FFFFFF"/>
                <w:w w:val="89"/>
              </w:rPr>
              <w:t>260.1</w:t>
            </w:r>
          </w:p>
        </w:tc>
        <w:tc>
          <w:tcPr>
            <w:tcW w:w="7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80" w:type="dxa"/>
            <w:vAlign w:val="bottom"/>
            <w:vMerge w:val="restart"/>
          </w:tcPr>
          <w:p>
            <w:pPr>
              <w:jc w:val="right"/>
              <w:spacing w:after="0"/>
              <w:rPr>
                <w:sz w:val="20"/>
                <w:szCs w:val="20"/>
                <w:color w:val="auto"/>
              </w:rPr>
            </w:pPr>
            <w:r>
              <w:rPr>
                <w:rFonts w:ascii="Arial" w:cs="Arial" w:eastAsia="Arial" w:hAnsi="Arial"/>
                <w:sz w:val="9"/>
                <w:szCs w:val="9"/>
                <w:b w:val="1"/>
                <w:bCs w:val="1"/>
                <w:color w:val="auto"/>
              </w:rPr>
              <w:t>$</w:t>
            </w:r>
          </w:p>
        </w:tc>
        <w:tc>
          <w:tcPr>
            <w:tcW w:w="3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626.6</w:t>
            </w:r>
          </w:p>
        </w:tc>
        <w:tc>
          <w:tcPr>
            <w:tcW w:w="0" w:type="dxa"/>
            <w:vAlign w:val="bottom"/>
          </w:tcPr>
          <w:p>
            <w:pPr>
              <w:spacing w:after="0"/>
              <w:rPr>
                <w:sz w:val="1"/>
                <w:szCs w:val="1"/>
                <w:color w:val="auto"/>
              </w:rPr>
            </w:pPr>
          </w:p>
        </w:tc>
      </w:tr>
      <w:tr>
        <w:trPr>
          <w:trHeight w:val="128"/>
        </w:trPr>
        <w:tc>
          <w:tcPr>
            <w:tcW w:w="740" w:type="dxa"/>
            <w:vAlign w:val="bottom"/>
          </w:tcPr>
          <w:p>
            <w:pPr>
              <w:jc w:val="right"/>
              <w:ind w:right="260"/>
              <w:spacing w:after="0" w:line="128" w:lineRule="exact"/>
              <w:rPr>
                <w:sz w:val="20"/>
                <w:szCs w:val="20"/>
                <w:color w:val="auto"/>
              </w:rPr>
            </w:pPr>
            <w:r>
              <w:rPr>
                <w:rFonts w:ascii="Arial" w:cs="Arial" w:eastAsia="Arial" w:hAnsi="Arial"/>
                <w:sz w:val="8"/>
                <w:szCs w:val="8"/>
                <w:b w:val="1"/>
                <w:bCs w:val="1"/>
                <w:color w:val="auto"/>
              </w:rPr>
              <w:t>$</w:t>
            </w:r>
            <w:r>
              <w:rPr>
                <w:rFonts w:ascii="Arial" w:cs="Arial" w:eastAsia="Arial" w:hAnsi="Arial"/>
                <w:sz w:val="14"/>
                <w:szCs w:val="14"/>
                <w:b w:val="1"/>
                <w:bCs w:val="1"/>
                <w:color w:val="auto"/>
              </w:rPr>
              <w:t>615.6</w:t>
            </w:r>
          </w:p>
        </w:tc>
        <w:tc>
          <w:tcPr>
            <w:tcW w:w="52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700" w:type="dxa"/>
            <w:vAlign w:val="bottom"/>
            <w:vMerge w:val="restart"/>
          </w:tcPr>
          <w:p>
            <w:pPr>
              <w:jc w:val="right"/>
              <w:ind w:right="93"/>
              <w:spacing w:after="0"/>
              <w:rPr>
                <w:sz w:val="20"/>
                <w:szCs w:val="20"/>
                <w:color w:val="auto"/>
              </w:rPr>
            </w:pPr>
            <w:r>
              <w:rPr>
                <w:rFonts w:ascii="Arial" w:cs="Arial" w:eastAsia="Arial" w:hAnsi="Arial"/>
                <w:sz w:val="9"/>
                <w:szCs w:val="9"/>
                <w:b w:val="1"/>
                <w:bCs w:val="1"/>
                <w:color w:val="FFFFFF"/>
              </w:rPr>
              <w:t>$</w:t>
            </w:r>
            <w:r>
              <w:rPr>
                <w:rFonts w:ascii="Arial" w:cs="Arial" w:eastAsia="Arial" w:hAnsi="Arial"/>
                <w:sz w:val="16"/>
                <w:szCs w:val="16"/>
                <w:b w:val="1"/>
                <w:bCs w:val="1"/>
                <w:color w:val="FFFFFF"/>
              </w:rPr>
              <w:t>241.2</w:t>
            </w:r>
          </w:p>
        </w:tc>
        <w:tc>
          <w:tcPr>
            <w:tcW w:w="680" w:type="dxa"/>
            <w:vAlign w:val="bottom"/>
            <w:vMerge w:val="restart"/>
          </w:tcPr>
          <w:p>
            <w:pPr>
              <w:jc w:val="right"/>
              <w:ind w:right="73"/>
              <w:spacing w:after="0"/>
              <w:rPr>
                <w:sz w:val="20"/>
                <w:szCs w:val="20"/>
                <w:color w:val="auto"/>
              </w:rPr>
            </w:pPr>
            <w:r>
              <w:rPr>
                <w:rFonts w:ascii="Arial" w:cs="Arial" w:eastAsia="Arial" w:hAnsi="Arial"/>
                <w:sz w:val="9"/>
                <w:szCs w:val="9"/>
                <w:b w:val="1"/>
                <w:bCs w:val="1"/>
                <w:color w:val="FFFFFF"/>
              </w:rPr>
              <w:t>$</w:t>
            </w:r>
            <w:r>
              <w:rPr>
                <w:rFonts w:ascii="Arial" w:cs="Arial" w:eastAsia="Arial" w:hAnsi="Arial"/>
                <w:sz w:val="16"/>
                <w:szCs w:val="16"/>
                <w:b w:val="1"/>
                <w:bCs w:val="1"/>
                <w:color w:val="FFFFFF"/>
              </w:rPr>
              <w:t>221.1</w:t>
            </w:r>
          </w:p>
        </w:tc>
        <w:tc>
          <w:tcPr>
            <w:tcW w:w="18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60" w:type="dxa"/>
            <w:vAlign w:val="bottom"/>
            <w:gridSpan w:val="2"/>
          </w:tcPr>
          <w:p>
            <w:pPr>
              <w:ind w:left="700"/>
              <w:spacing w:after="0" w:line="159" w:lineRule="exact"/>
              <w:rPr>
                <w:sz w:val="20"/>
                <w:szCs w:val="20"/>
                <w:color w:val="auto"/>
              </w:rPr>
            </w:pPr>
            <w:r>
              <w:rPr>
                <w:rFonts w:ascii="Arial" w:cs="Arial" w:eastAsia="Arial" w:hAnsi="Arial"/>
                <w:sz w:val="9"/>
                <w:szCs w:val="9"/>
                <w:b w:val="1"/>
                <w:bCs w:val="1"/>
                <w:color w:val="FFFFFF"/>
              </w:rPr>
              <w:t>$</w:t>
            </w:r>
            <w:r>
              <w:rPr>
                <w:rFonts w:ascii="Arial" w:cs="Arial" w:eastAsia="Arial" w:hAnsi="Arial"/>
                <w:sz w:val="16"/>
                <w:szCs w:val="16"/>
                <w:b w:val="1"/>
                <w:bCs w:val="1"/>
                <w:color w:val="FFFFFF"/>
              </w:rPr>
              <w:t>178.0</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9"/>
                <w:szCs w:val="9"/>
                <w:b w:val="1"/>
                <w:bCs w:val="1"/>
                <w:color w:val="FFFFFF"/>
              </w:rPr>
              <w:t>$</w:t>
            </w:r>
          </w:p>
        </w:tc>
        <w:tc>
          <w:tcPr>
            <w:tcW w:w="380" w:type="dxa"/>
            <w:vAlign w:val="bottom"/>
            <w:vMerge w:val="restart"/>
          </w:tcPr>
          <w:p>
            <w:pPr>
              <w:jc w:val="right"/>
              <w:spacing w:after="0"/>
              <w:rPr>
                <w:sz w:val="20"/>
                <w:szCs w:val="20"/>
                <w:color w:val="auto"/>
              </w:rPr>
            </w:pPr>
            <w:r>
              <w:rPr>
                <w:rFonts w:ascii="Arial" w:cs="Arial" w:eastAsia="Arial" w:hAnsi="Arial"/>
                <w:sz w:val="16"/>
                <w:szCs w:val="16"/>
                <w:b w:val="1"/>
                <w:bCs w:val="1"/>
                <w:color w:val="FFFFFF"/>
                <w:w w:val="89"/>
              </w:rPr>
              <w:t>206.8</w:t>
            </w:r>
          </w:p>
        </w:tc>
        <w:tc>
          <w:tcPr>
            <w:tcW w:w="0" w:type="dxa"/>
            <w:vAlign w:val="bottom"/>
          </w:tcPr>
          <w:p>
            <w:pPr>
              <w:spacing w:after="0"/>
              <w:rPr>
                <w:sz w:val="1"/>
                <w:szCs w:val="1"/>
                <w:color w:val="auto"/>
              </w:rPr>
            </w:pPr>
          </w:p>
        </w:tc>
      </w:tr>
      <w:tr>
        <w:trPr>
          <w:trHeight w:val="224"/>
        </w:trPr>
        <w:tc>
          <w:tcPr>
            <w:tcW w:w="740" w:type="dxa"/>
            <w:vAlign w:val="bottom"/>
          </w:tcPr>
          <w:p>
            <w:pPr>
              <w:jc w:val="right"/>
              <w:ind w:right="260"/>
              <w:spacing w:after="0"/>
              <w:rPr>
                <w:sz w:val="20"/>
                <w:szCs w:val="20"/>
                <w:color w:val="auto"/>
              </w:rPr>
            </w:pPr>
            <w:r>
              <w:rPr>
                <w:rFonts w:ascii="Arial" w:cs="Arial" w:eastAsia="Arial" w:hAnsi="Arial"/>
                <w:sz w:val="9"/>
                <w:szCs w:val="9"/>
                <w:b w:val="1"/>
                <w:bCs w:val="1"/>
                <w:color w:val="FFFFFF"/>
                <w:w w:val="93"/>
              </w:rPr>
              <w:t>$</w:t>
            </w:r>
            <w:r>
              <w:rPr>
                <w:rFonts w:ascii="Arial" w:cs="Arial" w:eastAsia="Arial" w:hAnsi="Arial"/>
                <w:sz w:val="16"/>
                <w:szCs w:val="16"/>
                <w:b w:val="1"/>
                <w:bCs w:val="1"/>
                <w:color w:val="FFFFFF"/>
                <w:w w:val="93"/>
              </w:rPr>
              <w:t>265.2</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tbl>
      <w:tblPr>
        <w:tblLayout w:type="fixed"/>
        <w:tblInd w:w="107" w:type="dxa"/>
        <w:tblCellMar>
          <w:top w:w="0" w:type="dxa"/>
          <w:left w:w="0" w:type="dxa"/>
          <w:bottom w:w="0" w:type="dxa"/>
          <w:right w:w="0" w:type="dxa"/>
        </w:tblCellMar>
      </w:tblPr>
      <w:tr>
        <w:trPr>
          <w:trHeight w:val="177"/>
        </w:trPr>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bottom w:val="single" w:sz="8" w:color="002F59"/>
            </w:tcBorders>
            <w:shd w:val="clear" w:color="auto" w:fill="002F59"/>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Borders>
              <w:bottom w:val="single" w:sz="8" w:color="002F59"/>
            </w:tcBorders>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Borders>
              <w:bottom w:val="single" w:sz="8" w:color="002F59"/>
            </w:tcBorders>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bottom w:val="single" w:sz="8" w:color="002F59"/>
            </w:tcBorders>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10"/>
        </w:trPr>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shd w:val="clear" w:color="auto" w:fill="002F59"/>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shd w:val="clear" w:color="auto" w:fill="002F59"/>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shd w:val="clear" w:color="auto" w:fill="002F59"/>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shd w:val="clear" w:color="auto" w:fill="002F59"/>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shd w:val="clear" w:color="auto" w:fill="002F59"/>
          </w:tcPr>
          <w:p>
            <w:pPr>
              <w:spacing w:after="0"/>
              <w:rPr>
                <w:sz w:val="18"/>
                <w:szCs w:val="18"/>
                <w:color w:val="auto"/>
              </w:rPr>
            </w:pPr>
          </w:p>
        </w:tc>
        <w:tc>
          <w:tcPr>
            <w:tcW w:w="340" w:type="dxa"/>
            <w:vAlign w:val="bottom"/>
          </w:tcPr>
          <w:p>
            <w:pPr>
              <w:spacing w:after="0"/>
              <w:rPr>
                <w:sz w:val="18"/>
                <w:szCs w:val="18"/>
                <w:color w:val="auto"/>
              </w:rPr>
            </w:pPr>
          </w:p>
        </w:tc>
      </w:tr>
      <w:tr>
        <w:trPr>
          <w:trHeight w:val="866"/>
        </w:trPr>
        <w:tc>
          <w:tcPr>
            <w:tcW w:w="340" w:type="dxa"/>
            <w:vAlign w:val="bottom"/>
          </w:tcPr>
          <w:p>
            <w:pPr>
              <w:spacing w:after="0"/>
              <w:rPr>
                <w:sz w:val="24"/>
                <w:szCs w:val="24"/>
                <w:color w:val="auto"/>
              </w:rPr>
            </w:pPr>
          </w:p>
        </w:tc>
        <w:tc>
          <w:tcPr>
            <w:tcW w:w="480" w:type="dxa"/>
            <w:vAlign w:val="bottom"/>
            <w:shd w:val="clear" w:color="auto" w:fill="002F59"/>
          </w:tcPr>
          <w:p>
            <w:pPr>
              <w:jc w:val="center"/>
              <w:spacing w:after="0"/>
              <w:rPr>
                <w:sz w:val="20"/>
                <w:szCs w:val="20"/>
                <w:color w:val="auto"/>
              </w:rPr>
            </w:pPr>
            <w:r>
              <w:rPr>
                <w:rFonts w:ascii="Arial" w:cs="Arial" w:eastAsia="Arial" w:hAnsi="Arial"/>
                <w:sz w:val="9"/>
                <w:szCs w:val="9"/>
                <w:b w:val="1"/>
                <w:bCs w:val="1"/>
                <w:color w:val="FFFFFF"/>
                <w:w w:val="97"/>
              </w:rPr>
              <w:t>$</w:t>
            </w:r>
            <w:r>
              <w:rPr>
                <w:rFonts w:ascii="Arial" w:cs="Arial" w:eastAsia="Arial" w:hAnsi="Arial"/>
                <w:sz w:val="16"/>
                <w:szCs w:val="16"/>
                <w:b w:val="1"/>
                <w:bCs w:val="1"/>
                <w:color w:val="FFFFFF"/>
                <w:w w:val="97"/>
              </w:rPr>
              <w:t>350.4</w:t>
            </w:r>
          </w:p>
        </w:tc>
        <w:tc>
          <w:tcPr>
            <w:tcW w:w="220" w:type="dxa"/>
            <w:vAlign w:val="bottom"/>
          </w:tcPr>
          <w:p>
            <w:pPr>
              <w:spacing w:after="0"/>
              <w:rPr>
                <w:sz w:val="24"/>
                <w:szCs w:val="24"/>
                <w:color w:val="auto"/>
              </w:rPr>
            </w:pPr>
          </w:p>
        </w:tc>
        <w:tc>
          <w:tcPr>
            <w:tcW w:w="480" w:type="dxa"/>
            <w:vAlign w:val="bottom"/>
            <w:shd w:val="clear" w:color="auto" w:fill="002F59"/>
          </w:tcPr>
          <w:p>
            <w:pPr>
              <w:jc w:val="center"/>
              <w:spacing w:after="0"/>
              <w:rPr>
                <w:sz w:val="20"/>
                <w:szCs w:val="20"/>
                <w:color w:val="auto"/>
              </w:rPr>
            </w:pPr>
            <w:r>
              <w:rPr>
                <w:rFonts w:ascii="Arial" w:cs="Arial" w:eastAsia="Arial" w:hAnsi="Arial"/>
                <w:sz w:val="9"/>
                <w:szCs w:val="9"/>
                <w:b w:val="1"/>
                <w:bCs w:val="1"/>
                <w:color w:val="FFFFFF"/>
                <w:w w:val="97"/>
              </w:rPr>
              <w:t>$</w:t>
            </w:r>
            <w:r>
              <w:rPr>
                <w:rFonts w:ascii="Arial" w:cs="Arial" w:eastAsia="Arial" w:hAnsi="Arial"/>
                <w:sz w:val="16"/>
                <w:szCs w:val="16"/>
                <w:b w:val="1"/>
                <w:bCs w:val="1"/>
                <w:color w:val="FFFFFF"/>
                <w:w w:val="97"/>
              </w:rPr>
              <w:t>460.8</w:t>
            </w:r>
          </w:p>
        </w:tc>
        <w:tc>
          <w:tcPr>
            <w:tcW w:w="200" w:type="dxa"/>
            <w:vAlign w:val="bottom"/>
          </w:tcPr>
          <w:p>
            <w:pPr>
              <w:spacing w:after="0"/>
              <w:rPr>
                <w:sz w:val="24"/>
                <w:szCs w:val="24"/>
                <w:color w:val="auto"/>
              </w:rPr>
            </w:pPr>
          </w:p>
        </w:tc>
        <w:tc>
          <w:tcPr>
            <w:tcW w:w="480" w:type="dxa"/>
            <w:vAlign w:val="bottom"/>
            <w:shd w:val="clear" w:color="auto" w:fill="002F59"/>
          </w:tcPr>
          <w:p>
            <w:pPr>
              <w:jc w:val="center"/>
              <w:spacing w:after="0"/>
              <w:rPr>
                <w:sz w:val="20"/>
                <w:szCs w:val="20"/>
                <w:color w:val="auto"/>
              </w:rPr>
            </w:pPr>
            <w:r>
              <w:rPr>
                <w:rFonts w:ascii="Arial" w:cs="Arial" w:eastAsia="Arial" w:hAnsi="Arial"/>
                <w:sz w:val="9"/>
                <w:szCs w:val="9"/>
                <w:b w:val="1"/>
                <w:bCs w:val="1"/>
                <w:color w:val="FFFFFF"/>
                <w:w w:val="97"/>
              </w:rPr>
              <w:t>$</w:t>
            </w:r>
            <w:r>
              <w:rPr>
                <w:rFonts w:ascii="Arial" w:cs="Arial" w:eastAsia="Arial" w:hAnsi="Arial"/>
                <w:sz w:val="16"/>
                <w:szCs w:val="16"/>
                <w:b w:val="1"/>
                <w:bCs w:val="1"/>
                <w:color w:val="FFFFFF"/>
                <w:w w:val="97"/>
              </w:rPr>
              <w:t>438.5</w:t>
            </w:r>
          </w:p>
        </w:tc>
        <w:tc>
          <w:tcPr>
            <w:tcW w:w="200" w:type="dxa"/>
            <w:vAlign w:val="bottom"/>
          </w:tcPr>
          <w:p>
            <w:pPr>
              <w:spacing w:after="0"/>
              <w:rPr>
                <w:sz w:val="24"/>
                <w:szCs w:val="24"/>
                <w:color w:val="auto"/>
              </w:rPr>
            </w:pPr>
          </w:p>
        </w:tc>
        <w:tc>
          <w:tcPr>
            <w:tcW w:w="480" w:type="dxa"/>
            <w:vAlign w:val="bottom"/>
            <w:shd w:val="clear" w:color="auto" w:fill="002F59"/>
          </w:tcPr>
          <w:p>
            <w:pPr>
              <w:jc w:val="center"/>
              <w:spacing w:after="0"/>
              <w:rPr>
                <w:sz w:val="20"/>
                <w:szCs w:val="20"/>
                <w:color w:val="auto"/>
              </w:rPr>
            </w:pPr>
            <w:r>
              <w:rPr>
                <w:rFonts w:ascii="Arial" w:cs="Arial" w:eastAsia="Arial" w:hAnsi="Arial"/>
                <w:sz w:val="9"/>
                <w:szCs w:val="9"/>
                <w:b w:val="1"/>
                <w:bCs w:val="1"/>
                <w:color w:val="FFFFFF"/>
              </w:rPr>
              <w:t>$</w:t>
            </w:r>
            <w:r>
              <w:rPr>
                <w:rFonts w:ascii="Arial" w:cs="Arial" w:eastAsia="Arial" w:hAnsi="Arial"/>
                <w:sz w:val="16"/>
                <w:szCs w:val="16"/>
                <w:b w:val="1"/>
                <w:bCs w:val="1"/>
                <w:color w:val="FFFFFF"/>
              </w:rPr>
              <w:t>412.1</w:t>
            </w:r>
          </w:p>
        </w:tc>
        <w:tc>
          <w:tcPr>
            <w:tcW w:w="220" w:type="dxa"/>
            <w:vAlign w:val="bottom"/>
          </w:tcPr>
          <w:p>
            <w:pPr>
              <w:spacing w:after="0"/>
              <w:rPr>
                <w:sz w:val="24"/>
                <w:szCs w:val="24"/>
                <w:color w:val="auto"/>
              </w:rPr>
            </w:pPr>
          </w:p>
        </w:tc>
        <w:tc>
          <w:tcPr>
            <w:tcW w:w="480" w:type="dxa"/>
            <w:vAlign w:val="bottom"/>
            <w:shd w:val="clear" w:color="auto" w:fill="002F59"/>
          </w:tcPr>
          <w:p>
            <w:pPr>
              <w:jc w:val="center"/>
              <w:spacing w:after="0"/>
              <w:rPr>
                <w:sz w:val="20"/>
                <w:szCs w:val="20"/>
                <w:color w:val="auto"/>
              </w:rPr>
            </w:pPr>
            <w:r>
              <w:rPr>
                <w:rFonts w:ascii="Arial" w:cs="Arial" w:eastAsia="Arial" w:hAnsi="Arial"/>
                <w:sz w:val="9"/>
                <w:szCs w:val="9"/>
                <w:b w:val="1"/>
                <w:bCs w:val="1"/>
                <w:color w:val="FFFFFF"/>
                <w:w w:val="97"/>
              </w:rPr>
              <w:t>$</w:t>
            </w:r>
            <w:r>
              <w:rPr>
                <w:rFonts w:ascii="Arial" w:cs="Arial" w:eastAsia="Arial" w:hAnsi="Arial"/>
                <w:sz w:val="16"/>
                <w:szCs w:val="16"/>
                <w:b w:val="1"/>
                <w:bCs w:val="1"/>
                <w:color w:val="FFFFFF"/>
                <w:w w:val="97"/>
              </w:rPr>
              <w:t>425.6</w:t>
            </w:r>
          </w:p>
        </w:tc>
        <w:tc>
          <w:tcPr>
            <w:tcW w:w="200" w:type="dxa"/>
            <w:vAlign w:val="bottom"/>
          </w:tcPr>
          <w:p>
            <w:pPr>
              <w:spacing w:after="0"/>
              <w:rPr>
                <w:sz w:val="24"/>
                <w:szCs w:val="24"/>
                <w:color w:val="auto"/>
              </w:rPr>
            </w:pPr>
          </w:p>
        </w:tc>
        <w:tc>
          <w:tcPr>
            <w:tcW w:w="500" w:type="dxa"/>
            <w:vAlign w:val="bottom"/>
            <w:shd w:val="clear" w:color="auto" w:fill="002F59"/>
          </w:tcPr>
          <w:p>
            <w:pPr>
              <w:jc w:val="center"/>
              <w:spacing w:after="0"/>
              <w:rPr>
                <w:sz w:val="20"/>
                <w:szCs w:val="20"/>
                <w:color w:val="auto"/>
              </w:rPr>
            </w:pPr>
            <w:r>
              <w:rPr>
                <w:rFonts w:ascii="Arial" w:cs="Arial" w:eastAsia="Arial" w:hAnsi="Arial"/>
                <w:sz w:val="9"/>
                <w:szCs w:val="9"/>
                <w:b w:val="1"/>
                <w:bCs w:val="1"/>
                <w:color w:val="FFFFFF"/>
                <w:w w:val="97"/>
              </w:rPr>
              <w:t>$</w:t>
            </w:r>
            <w:r>
              <w:rPr>
                <w:rFonts w:ascii="Arial" w:cs="Arial" w:eastAsia="Arial" w:hAnsi="Arial"/>
                <w:sz w:val="16"/>
                <w:szCs w:val="16"/>
                <w:b w:val="1"/>
                <w:bCs w:val="1"/>
                <w:color w:val="FFFFFF"/>
                <w:w w:val="97"/>
              </w:rPr>
              <w:t>419.8</w:t>
            </w:r>
          </w:p>
        </w:tc>
        <w:tc>
          <w:tcPr>
            <w:tcW w:w="340" w:type="dxa"/>
            <w:vAlign w:val="bottom"/>
          </w:tcPr>
          <w:p>
            <w:pPr>
              <w:spacing w:after="0"/>
              <w:rPr>
                <w:sz w:val="24"/>
                <w:szCs w:val="24"/>
                <w:color w:val="auto"/>
              </w:rPr>
            </w:pPr>
          </w:p>
        </w:tc>
      </w:tr>
      <w:tr>
        <w:trPr>
          <w:trHeight w:val="252"/>
        </w:trPr>
        <w:tc>
          <w:tcPr>
            <w:tcW w:w="3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shd w:val="clear" w:color="auto" w:fill="002F59"/>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shd w:val="clear" w:color="auto" w:fill="002F59"/>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shd w:val="clear" w:color="auto" w:fill="002F59"/>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shd w:val="clear" w:color="auto" w:fill="002F59"/>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shd w:val="clear" w:color="auto" w:fill="002F59"/>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shd w:val="clear" w:color="auto" w:fill="002F59"/>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r>
      <w:tr>
        <w:trPr>
          <w:trHeight w:val="266"/>
        </w:trPr>
        <w:tc>
          <w:tcPr>
            <w:tcW w:w="340" w:type="dxa"/>
            <w:vAlign w:val="bottom"/>
          </w:tcPr>
          <w:p>
            <w:pPr>
              <w:spacing w:after="0"/>
              <w:rPr>
                <w:sz w:val="23"/>
                <w:szCs w:val="23"/>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79"/>
              </w:rPr>
              <w:t>FY 19</w:t>
            </w:r>
          </w:p>
        </w:tc>
        <w:tc>
          <w:tcPr>
            <w:tcW w:w="220" w:type="dxa"/>
            <w:vAlign w:val="bottom"/>
          </w:tcPr>
          <w:p>
            <w:pPr>
              <w:spacing w:after="0"/>
              <w:rPr>
                <w:sz w:val="23"/>
                <w:szCs w:val="23"/>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6"/>
                <w:szCs w:val="16"/>
                <w:color w:val="auto"/>
                <w:w w:val="79"/>
              </w:rPr>
              <w:t>FY 20</w:t>
            </w:r>
          </w:p>
        </w:tc>
        <w:tc>
          <w:tcPr>
            <w:tcW w:w="480" w:type="dxa"/>
            <w:vAlign w:val="bottom"/>
          </w:tcPr>
          <w:p>
            <w:pPr>
              <w:jc w:val="center"/>
              <w:spacing w:after="0"/>
              <w:rPr>
                <w:sz w:val="20"/>
                <w:szCs w:val="20"/>
                <w:color w:val="auto"/>
              </w:rPr>
            </w:pPr>
            <w:r>
              <w:rPr>
                <w:rFonts w:ascii="Arial" w:cs="Arial" w:eastAsia="Arial" w:hAnsi="Arial"/>
                <w:sz w:val="16"/>
                <w:szCs w:val="16"/>
                <w:color w:val="auto"/>
                <w:w w:val="84"/>
              </w:rPr>
              <w:t>FY 21</w:t>
            </w:r>
          </w:p>
        </w:tc>
        <w:tc>
          <w:tcPr>
            <w:tcW w:w="200" w:type="dxa"/>
            <w:vAlign w:val="bottom"/>
          </w:tcPr>
          <w:p>
            <w:pPr>
              <w:spacing w:after="0"/>
              <w:rPr>
                <w:sz w:val="23"/>
                <w:szCs w:val="23"/>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79"/>
              </w:rPr>
              <w:t>FY 22</w:t>
            </w:r>
          </w:p>
        </w:tc>
        <w:tc>
          <w:tcPr>
            <w:tcW w:w="220" w:type="dxa"/>
            <w:vAlign w:val="bottom"/>
          </w:tcPr>
          <w:p>
            <w:pPr>
              <w:spacing w:after="0"/>
              <w:rPr>
                <w:sz w:val="23"/>
                <w:szCs w:val="23"/>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6"/>
                <w:szCs w:val="16"/>
                <w:color w:val="auto"/>
                <w:w w:val="79"/>
              </w:rPr>
              <w:t>FY 23</w:t>
            </w:r>
          </w:p>
        </w:tc>
        <w:tc>
          <w:tcPr>
            <w:tcW w:w="500" w:type="dxa"/>
            <w:vAlign w:val="bottom"/>
          </w:tcPr>
          <w:p>
            <w:pPr>
              <w:jc w:val="center"/>
              <w:spacing w:after="0"/>
              <w:rPr>
                <w:sz w:val="20"/>
                <w:szCs w:val="20"/>
                <w:color w:val="auto"/>
              </w:rPr>
            </w:pPr>
            <w:r>
              <w:rPr>
                <w:rFonts w:ascii="Arial" w:cs="Arial" w:eastAsia="Arial" w:hAnsi="Arial"/>
                <w:sz w:val="16"/>
                <w:szCs w:val="16"/>
                <w:color w:val="auto"/>
                <w:w w:val="79"/>
              </w:rPr>
              <w:t>FY 24</w:t>
            </w:r>
          </w:p>
        </w:tc>
        <w:tc>
          <w:tcPr>
            <w:tcW w:w="340" w:type="dxa"/>
            <w:vAlign w:val="bottom"/>
          </w:tcPr>
          <w:p>
            <w:pPr>
              <w:spacing w:after="0"/>
              <w:rPr>
                <w:sz w:val="23"/>
                <w:szCs w:val="23"/>
                <w:color w:val="auto"/>
              </w:rPr>
            </w:pPr>
          </w:p>
        </w:tc>
      </w:tr>
    </w:tbl>
    <w:p>
      <w:pPr>
        <w:spacing w:after="0" w:line="47" w:lineRule="exact"/>
        <w:rPr>
          <w:sz w:val="20"/>
          <w:szCs w:val="20"/>
          <w:color w:val="auto"/>
        </w:rPr>
      </w:pPr>
    </w:p>
    <w:p>
      <w:pPr>
        <w:ind w:left="907"/>
        <w:spacing w:after="0"/>
        <w:rPr>
          <w:sz w:val="20"/>
          <w:szCs w:val="20"/>
          <w:color w:val="auto"/>
        </w:rPr>
      </w:pPr>
      <w:r>
        <w:rPr>
          <w:sz w:val="1"/>
          <w:szCs w:val="1"/>
          <w:color w:val="auto"/>
        </w:rPr>
        <w:drawing>
          <wp:inline distT="0" distB="0" distL="0" distR="0">
            <wp:extent cx="146050" cy="146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 cy="146050"/>
                    </a:xfrm>
                    <a:prstGeom prst="rect">
                      <a:avLst/>
                    </a:prstGeom>
                    <a:noFill/>
                    <a:ln>
                      <a:noFill/>
                    </a:ln>
                  </pic:spPr>
                </pic:pic>
              </a:graphicData>
            </a:graphic>
          </wp:inline>
        </w:drawing>
      </w:r>
      <w:r>
        <w:rPr>
          <w:rFonts w:ascii="Arial" w:cs="Arial" w:eastAsia="Arial" w:hAnsi="Arial"/>
          <w:sz w:val="18"/>
          <w:szCs w:val="18"/>
          <w:color w:val="auto"/>
        </w:rPr>
        <w:t xml:space="preserve"> Direct-to-Consumer </w:t>
      </w:r>
      <w:r>
        <w:rPr>
          <w:sz w:val="1"/>
          <w:szCs w:val="1"/>
          <w:color w:val="auto"/>
        </w:rPr>
        <w:drawing>
          <wp:inline distT="0" distB="0" distL="0" distR="0">
            <wp:extent cx="146050" cy="1460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 cy="146050"/>
                    </a:xfrm>
                    <a:prstGeom prst="rect">
                      <a:avLst/>
                    </a:prstGeom>
                    <a:noFill/>
                    <a:ln>
                      <a:noFill/>
                    </a:ln>
                  </pic:spPr>
                </pic:pic>
              </a:graphicData>
            </a:graphic>
          </wp:inline>
        </w:drawing>
      </w:r>
      <w:r>
        <w:rPr>
          <w:rFonts w:ascii="Arial" w:cs="Arial" w:eastAsia="Arial" w:hAnsi="Arial"/>
          <w:sz w:val="18"/>
          <w:szCs w:val="18"/>
          <w:color w:val="auto"/>
        </w:rPr>
        <w:t xml:space="preserve"> Store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900"/>
        <w:spacing w:after="0"/>
        <w:rPr>
          <w:sz w:val="20"/>
          <w:szCs w:val="20"/>
          <w:color w:val="auto"/>
        </w:rPr>
      </w:pPr>
      <w:r>
        <w:rPr>
          <w:rFonts w:ascii="Arial" w:cs="Arial" w:eastAsia="Arial" w:hAnsi="Arial"/>
          <w:sz w:val="28"/>
          <w:szCs w:val="28"/>
          <w:color w:val="auto"/>
        </w:rPr>
        <w:t>ADJUSTED DILUTED EPS</w:t>
      </w:r>
    </w:p>
    <w:p>
      <w:pPr>
        <w:spacing w:after="0" w:line="181" w:lineRule="exact"/>
        <w:rPr>
          <w:sz w:val="20"/>
          <w:szCs w:val="20"/>
          <w:color w:val="auto"/>
        </w:rPr>
      </w:pPr>
    </w:p>
    <w:p>
      <w:pPr>
        <w:jc w:val="center"/>
        <w:ind w:right="678"/>
        <w:spacing w:after="0"/>
        <w:rPr>
          <w:sz w:val="20"/>
          <w:szCs w:val="20"/>
          <w:color w:val="auto"/>
        </w:rPr>
      </w:pPr>
      <w:r>
        <w:rPr>
          <w:rFonts w:ascii="Arial" w:cs="Arial" w:eastAsia="Arial" w:hAnsi="Arial"/>
          <w:sz w:val="9"/>
          <w:szCs w:val="9"/>
          <w:b w:val="1"/>
          <w:bCs w:val="1"/>
          <w:color w:val="auto"/>
        </w:rPr>
        <w:t>$</w:t>
      </w:r>
      <w:r>
        <w:rPr>
          <w:rFonts w:ascii="Arial" w:cs="Arial" w:eastAsia="Arial" w:hAnsi="Arial"/>
          <w:sz w:val="16"/>
          <w:szCs w:val="16"/>
          <w:b w:val="1"/>
          <w:bCs w:val="1"/>
          <w:color w:val="auto"/>
        </w:rPr>
        <w:t>0.90</w:t>
      </w:r>
    </w:p>
    <w:p>
      <w:pPr>
        <w:spacing w:after="0" w:line="200" w:lineRule="exact"/>
        <w:rPr>
          <w:sz w:val="20"/>
          <w:szCs w:val="20"/>
          <w:color w:val="auto"/>
        </w:rPr>
      </w:pPr>
    </w:p>
    <w:p>
      <w:pPr>
        <w:spacing w:after="0" w:line="295" w:lineRule="exact"/>
        <w:rPr>
          <w:sz w:val="20"/>
          <w:szCs w:val="20"/>
          <w:color w:val="auto"/>
        </w:rPr>
      </w:pPr>
    </w:p>
    <w:p>
      <w:pPr>
        <w:ind w:left="402"/>
        <w:spacing w:after="0"/>
        <w:rPr>
          <w:sz w:val="20"/>
          <w:szCs w:val="20"/>
          <w:color w:val="auto"/>
        </w:rPr>
      </w:pPr>
      <w:r>
        <w:rPr>
          <w:rFonts w:ascii="Arial" w:cs="Arial" w:eastAsia="Arial" w:hAnsi="Arial"/>
          <w:sz w:val="9"/>
          <w:szCs w:val="9"/>
          <w:b w:val="1"/>
          <w:bCs w:val="1"/>
          <w:color w:val="auto"/>
        </w:rPr>
        <w:t>$</w:t>
      </w:r>
      <w:r>
        <w:rPr>
          <w:rFonts w:ascii="Arial" w:cs="Arial" w:eastAsia="Arial" w:hAnsi="Arial"/>
          <w:sz w:val="16"/>
          <w:szCs w:val="16"/>
          <w:b w:val="1"/>
          <w:bCs w:val="1"/>
          <w:color w:val="auto"/>
        </w:rPr>
        <w:t>0.58</w:t>
      </w:r>
    </w:p>
    <w:p>
      <w:pPr>
        <w:spacing w:after="0" w:line="236" w:lineRule="exact"/>
        <w:rPr>
          <w:sz w:val="20"/>
          <w:szCs w:val="20"/>
          <w:color w:val="auto"/>
        </w:rPr>
      </w:pPr>
    </w:p>
    <w:p>
      <w:pPr>
        <w:ind w:left="1102"/>
        <w:spacing w:after="0"/>
        <w:rPr>
          <w:sz w:val="20"/>
          <w:szCs w:val="20"/>
          <w:color w:val="auto"/>
        </w:rPr>
      </w:pPr>
      <w:r>
        <w:rPr>
          <w:rFonts w:ascii="Arial" w:cs="Arial" w:eastAsia="Arial" w:hAnsi="Arial"/>
          <w:sz w:val="9"/>
          <w:szCs w:val="9"/>
          <w:b w:val="1"/>
          <w:bCs w:val="1"/>
          <w:color w:val="auto"/>
        </w:rPr>
        <w:t>$</w:t>
      </w:r>
      <w:r>
        <w:rPr>
          <w:rFonts w:ascii="Arial" w:cs="Arial" w:eastAsia="Arial" w:hAnsi="Arial"/>
          <w:sz w:val="16"/>
          <w:szCs w:val="16"/>
          <w:b w:val="1"/>
          <w:bCs w:val="1"/>
          <w:color w:val="auto"/>
        </w:rPr>
        <w:t>0.42</w:t>
      </w:r>
    </w:p>
    <w:p>
      <w:pPr>
        <w:spacing w:after="0" w:line="60" w:lineRule="exact"/>
        <w:rPr>
          <w:sz w:val="20"/>
          <w:szCs w:val="20"/>
          <w:color w:val="auto"/>
        </w:rPr>
      </w:pPr>
    </w:p>
    <w:tbl>
      <w:tblPr>
        <w:tblLayout w:type="fixed"/>
        <w:tblInd w:w="2" w:type="dxa"/>
        <w:tblCellMar>
          <w:top w:w="0" w:type="dxa"/>
          <w:left w:w="0" w:type="dxa"/>
          <w:bottom w:w="0" w:type="dxa"/>
          <w:right w:w="0" w:type="dxa"/>
        </w:tblCellMar>
      </w:tblPr>
      <w:tr>
        <w:trPr>
          <w:trHeight w:val="1080"/>
        </w:trPr>
        <w:tc>
          <w:tcPr>
            <w:tcW w:w="1020" w:type="dxa"/>
            <w:vAlign w:val="bottom"/>
          </w:tcPr>
          <w:p>
            <w:pPr>
              <w:spacing w:after="0"/>
              <w:rPr>
                <w:sz w:val="24"/>
                <w:szCs w:val="24"/>
                <w:color w:val="auto"/>
              </w:rPr>
            </w:pPr>
          </w:p>
        </w:tc>
        <w:tc>
          <w:tcPr>
            <w:tcW w:w="500" w:type="dxa"/>
            <w:vAlign w:val="bottom"/>
            <w:shd w:val="clear" w:color="auto" w:fill="002F59"/>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Arial" w:cs="Arial" w:eastAsia="Arial" w:hAnsi="Arial"/>
                <w:sz w:val="9"/>
                <w:szCs w:val="9"/>
                <w:b w:val="1"/>
                <w:bCs w:val="1"/>
                <w:color w:val="auto"/>
              </w:rPr>
              <w:t>$</w:t>
            </w:r>
            <w:r>
              <w:rPr>
                <w:rFonts w:ascii="Arial" w:cs="Arial" w:eastAsia="Arial" w:hAnsi="Arial"/>
                <w:sz w:val="16"/>
                <w:szCs w:val="16"/>
                <w:b w:val="1"/>
                <w:bCs w:val="1"/>
                <w:color w:val="auto"/>
              </w:rPr>
              <w:t>0.07</w:t>
            </w:r>
          </w:p>
        </w:tc>
        <w:tc>
          <w:tcPr>
            <w:tcW w:w="7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9"/>
                <w:szCs w:val="9"/>
                <w:b w:val="1"/>
                <w:bCs w:val="1"/>
                <w:color w:val="auto"/>
              </w:rPr>
              <w:t>$</w:t>
            </w:r>
            <w:r>
              <w:rPr>
                <w:rFonts w:ascii="Arial" w:cs="Arial" w:eastAsia="Arial" w:hAnsi="Arial"/>
                <w:sz w:val="16"/>
                <w:szCs w:val="16"/>
                <w:b w:val="1"/>
                <w:bCs w:val="1"/>
                <w:color w:val="auto"/>
              </w:rPr>
              <w:t xml:space="preserve"> 0.28)</w:t>
            </w:r>
          </w:p>
        </w:tc>
        <w:tc>
          <w:tcPr>
            <w:tcW w:w="102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9"/>
                <w:szCs w:val="9"/>
                <w:b w:val="1"/>
                <w:bCs w:val="1"/>
                <w:color w:val="auto"/>
              </w:rPr>
              <w:t>$</w:t>
            </w:r>
            <w:r>
              <w:rPr>
                <w:rFonts w:ascii="Arial" w:cs="Arial" w:eastAsia="Arial" w:hAnsi="Arial"/>
                <w:sz w:val="16"/>
                <w:szCs w:val="16"/>
                <w:b w:val="1"/>
                <w:bCs w:val="1"/>
                <w:color w:val="auto"/>
              </w:rPr>
              <w:t xml:space="preserve"> 0.71)</w:t>
            </w:r>
          </w:p>
        </w:tc>
        <w:tc>
          <w:tcPr>
            <w:tcW w:w="0" w:type="dxa"/>
            <w:vAlign w:val="bottom"/>
          </w:tcPr>
          <w:p>
            <w:pPr>
              <w:spacing w:after="0"/>
              <w:rPr>
                <w:sz w:val="1"/>
                <w:szCs w:val="1"/>
                <w:color w:val="auto"/>
              </w:rPr>
            </w:pPr>
          </w:p>
        </w:tc>
      </w:tr>
      <w:tr>
        <w:trPr>
          <w:trHeight w:val="28"/>
        </w:trPr>
        <w:tc>
          <w:tcPr>
            <w:tcW w:w="1020" w:type="dxa"/>
            <w:vAlign w:val="bottom"/>
          </w:tcPr>
          <w:p>
            <w:pPr>
              <w:spacing w:after="0"/>
              <w:rPr>
                <w:sz w:val="2"/>
                <w:szCs w:val="2"/>
                <w:color w:val="auto"/>
              </w:rPr>
            </w:pPr>
          </w:p>
        </w:tc>
        <w:tc>
          <w:tcPr>
            <w:tcW w:w="500" w:type="dxa"/>
            <w:vAlign w:val="bottom"/>
            <w:shd w:val="clear" w:color="auto" w:fill="002F59"/>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020" w:type="dxa"/>
            <w:vAlign w:val="bottom"/>
          </w:tcPr>
          <w:p>
            <w:pPr>
              <w:spacing w:after="0"/>
              <w:rPr>
                <w:sz w:val="18"/>
                <w:szCs w:val="18"/>
                <w:color w:val="auto"/>
              </w:rPr>
            </w:pPr>
          </w:p>
        </w:tc>
        <w:tc>
          <w:tcPr>
            <w:tcW w:w="500" w:type="dxa"/>
            <w:vAlign w:val="bottom"/>
            <w:tcBorders>
              <w:bottom w:val="single" w:sz="8" w:color="002F59"/>
            </w:tcBorders>
            <w:shd w:val="clear" w:color="auto" w:fill="002F59"/>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Borders>
              <w:bottom w:val="single" w:sz="8" w:color="002F59"/>
            </w:tcBorders>
            <w:shd w:val="clear" w:color="auto" w:fill="002F59"/>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020" w:type="dxa"/>
            <w:vAlign w:val="bottom"/>
            <w:tcBorders>
              <w:top w:val="single" w:sz="8" w:color="auto"/>
            </w:tcBorders>
          </w:tcPr>
          <w:p>
            <w:pPr>
              <w:ind w:left="400"/>
              <w:spacing w:after="0"/>
              <w:rPr>
                <w:sz w:val="20"/>
                <w:szCs w:val="20"/>
                <w:color w:val="auto"/>
              </w:rPr>
            </w:pPr>
            <w:r>
              <w:rPr>
                <w:rFonts w:ascii="Arial" w:cs="Arial" w:eastAsia="Arial" w:hAnsi="Arial"/>
                <w:sz w:val="16"/>
                <w:szCs w:val="16"/>
                <w:color w:val="auto"/>
              </w:rPr>
              <w:t>FY 19</w:t>
            </w:r>
          </w:p>
        </w:tc>
        <w:tc>
          <w:tcPr>
            <w:tcW w:w="50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w w:val="93"/>
              </w:rPr>
              <w:t>FY 20</w:t>
            </w:r>
          </w:p>
        </w:tc>
        <w:tc>
          <w:tcPr>
            <w:tcW w:w="90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FY 21</w:t>
            </w:r>
          </w:p>
        </w:tc>
        <w:tc>
          <w:tcPr>
            <w:tcW w:w="48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w w:val="93"/>
              </w:rPr>
              <w:t>FY 22</w:t>
            </w:r>
          </w:p>
        </w:tc>
        <w:tc>
          <w:tcPr>
            <w:tcW w:w="22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shd w:val="clear" w:color="auto" w:fill="002F59"/>
          </w:tcPr>
          <w:p>
            <w:pPr>
              <w:jc w:val="center"/>
              <w:spacing w:after="0"/>
              <w:rPr>
                <w:sz w:val="20"/>
                <w:szCs w:val="20"/>
                <w:color w:val="auto"/>
              </w:rPr>
            </w:pPr>
            <w:r>
              <w:rPr>
                <w:rFonts w:ascii="Arial" w:cs="Arial" w:eastAsia="Arial" w:hAnsi="Arial"/>
                <w:sz w:val="16"/>
                <w:szCs w:val="16"/>
                <w:color w:val="FFFFFF"/>
                <w:w w:val="79"/>
              </w:rPr>
              <w:t>FY 23</w:t>
            </w:r>
          </w:p>
        </w:tc>
        <w:tc>
          <w:tcPr>
            <w:tcW w:w="1020" w:type="dxa"/>
            <w:vAlign w:val="bottom"/>
            <w:tcBorders>
              <w:top w:val="single" w:sz="8" w:color="auto"/>
            </w:tcBorders>
          </w:tcPr>
          <w:p>
            <w:pPr>
              <w:ind w:left="240"/>
              <w:spacing w:after="0"/>
              <w:rPr>
                <w:sz w:val="20"/>
                <w:szCs w:val="20"/>
                <w:color w:val="auto"/>
              </w:rPr>
            </w:pPr>
            <w:r>
              <w:rPr>
                <w:rFonts w:ascii="Arial" w:cs="Arial" w:eastAsia="Arial" w:hAnsi="Arial"/>
                <w:sz w:val="16"/>
                <w:szCs w:val="16"/>
                <w:color w:val="FFFFFF"/>
              </w:rPr>
              <w:t>FY 24</w:t>
            </w:r>
            <w:r>
              <w:rPr>
                <w:rFonts w:ascii="Arial" w:cs="Arial" w:eastAsia="Arial" w:hAnsi="Arial"/>
                <w:sz w:val="8"/>
                <w:szCs w:val="8"/>
                <w:color w:val="FFFFFF"/>
              </w:rPr>
              <w:t>(1)</w:t>
            </w:r>
          </w:p>
        </w:tc>
        <w:tc>
          <w:tcPr>
            <w:tcW w:w="0" w:type="dxa"/>
            <w:vAlign w:val="bottom"/>
          </w:tcPr>
          <w:p>
            <w:pPr>
              <w:spacing w:after="0"/>
              <w:rPr>
                <w:sz w:val="1"/>
                <w:szCs w:val="1"/>
                <w:color w:val="auto"/>
              </w:rPr>
            </w:pPr>
          </w:p>
        </w:tc>
      </w:tr>
      <w:tr>
        <w:trPr>
          <w:trHeight w:val="144"/>
        </w:trPr>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shd w:val="clear" w:color="auto" w:fill="002F59"/>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122" w:right="1140" w:hanging="122"/>
        <w:spacing w:after="0" w:line="303" w:lineRule="auto"/>
        <w:tabs>
          <w:tab w:leader="none" w:pos="122" w:val="left"/>
        </w:tabs>
        <w:numPr>
          <w:ilvl w:val="0"/>
          <w:numId w:val="3"/>
        </w:numPr>
        <w:rPr>
          <w:rFonts w:ascii="Arial" w:cs="Arial" w:eastAsia="Arial" w:hAnsi="Arial"/>
          <w:sz w:val="8"/>
          <w:szCs w:val="8"/>
          <w:color w:val="auto"/>
        </w:rPr>
      </w:pPr>
      <w:r>
        <w:rPr>
          <w:rFonts w:ascii="Arial" w:cs="Arial" w:eastAsia="Arial" w:hAnsi="Arial"/>
          <w:sz w:val="11"/>
          <w:szCs w:val="11"/>
          <w:color w:val="auto"/>
        </w:rPr>
        <w:t>Includes $7.7 million and $3.0 million of restructuring expenses and impairment expenses, net of tax, respectively, and $11.8 million of valuation allowance on the Company’s deferred tax assets.</w:t>
      </w:r>
    </w:p>
    <w:p>
      <w:pPr>
        <w:spacing w:after="0" w:line="200" w:lineRule="exact"/>
        <w:rPr>
          <w:sz w:val="20"/>
          <w:szCs w:val="20"/>
          <w:color w:val="auto"/>
        </w:rPr>
      </w:pPr>
    </w:p>
    <w:p>
      <w:pPr>
        <w:sectPr>
          <w:pgSz w:w="11880" w:h="15480" w:orient="portrait"/>
          <w:cols w:equalWidth="0" w:num="2">
            <w:col w:w="4965" w:space="720"/>
            <w:col w:w="4622"/>
          </w:cols>
          <w:pgMar w:left="773" w:top="1269" w:right="800" w:bottom="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7"/>
        <w:spacing w:after="0"/>
        <w:rPr>
          <w:sz w:val="20"/>
          <w:szCs w:val="20"/>
          <w:color w:val="auto"/>
        </w:rPr>
      </w:pPr>
      <w:r>
        <w:rPr>
          <w:rFonts w:ascii="Arial" w:cs="Arial" w:eastAsia="Arial" w:hAnsi="Arial"/>
          <w:sz w:val="23"/>
          <w:szCs w:val="23"/>
          <w:color w:val="auto"/>
        </w:rPr>
        <w:t>ADJUSTED EBITDA</w:t>
      </w:r>
      <w:r>
        <w:rPr>
          <w:rFonts w:ascii="Arial" w:cs="Arial" w:eastAsia="Arial" w:hAnsi="Arial"/>
          <w:sz w:val="7"/>
          <w:szCs w:val="7"/>
          <w:color w:val="auto"/>
        </w:rPr>
        <w:t>(1)</w:t>
      </w:r>
      <w:r>
        <w:rPr>
          <w:rFonts w:ascii="Arial" w:cs="Arial" w:eastAsia="Arial" w:hAnsi="Arial"/>
          <w:sz w:val="23"/>
          <w:szCs w:val="23"/>
          <w:color w:val="auto"/>
        </w:rPr>
        <w:t xml:space="preserve"> AND % OF NET SALES</w:t>
      </w:r>
    </w:p>
    <w:p>
      <w:pPr>
        <w:spacing w:after="0" w:line="200" w:lineRule="exact"/>
        <w:rPr>
          <w:sz w:val="20"/>
          <w:szCs w:val="20"/>
          <w:color w:val="auto"/>
        </w:rPr>
      </w:pPr>
    </w:p>
    <w:p>
      <w:pPr>
        <w:spacing w:after="0" w:line="319" w:lineRule="exact"/>
        <w:rPr>
          <w:sz w:val="20"/>
          <w:szCs w:val="20"/>
          <w:color w:val="auto"/>
        </w:rPr>
      </w:pPr>
    </w:p>
    <w:tbl>
      <w:tblPr>
        <w:tblLayout w:type="fixed"/>
        <w:tblInd w:w="487"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1920" w:type="dxa"/>
            <w:vAlign w:val="bottom"/>
          </w:tcPr>
          <w:p>
            <w:pPr>
              <w:jc w:val="right"/>
              <w:ind w:right="580"/>
              <w:spacing w:after="0"/>
              <w:rPr>
                <w:sz w:val="20"/>
                <w:szCs w:val="20"/>
                <w:color w:val="auto"/>
              </w:rPr>
            </w:pPr>
            <w:r>
              <w:rPr>
                <w:rFonts w:ascii="Arial" w:cs="Arial" w:eastAsia="Arial" w:hAnsi="Arial"/>
                <w:sz w:val="16"/>
                <w:szCs w:val="16"/>
                <w:b w:val="1"/>
                <w:bCs w:val="1"/>
                <w:color w:val="FFFFFF"/>
              </w:rPr>
              <w:t>11.8%</w:t>
            </w:r>
          </w:p>
        </w:tc>
        <w:tc>
          <w:tcPr>
            <w:tcW w:w="0" w:type="dxa"/>
            <w:vAlign w:val="bottom"/>
          </w:tcPr>
          <w:p>
            <w:pPr>
              <w:spacing w:after="0"/>
              <w:rPr>
                <w:sz w:val="1"/>
                <w:szCs w:val="1"/>
                <w:color w:val="auto"/>
              </w:rPr>
            </w:pPr>
          </w:p>
        </w:tc>
      </w:tr>
      <w:tr>
        <w:trPr>
          <w:trHeight w:val="576"/>
        </w:trPr>
        <w:tc>
          <w:tcPr>
            <w:tcW w:w="520" w:type="dxa"/>
            <w:vAlign w:val="bottom"/>
            <w:vMerge w:val="restart"/>
          </w:tcPr>
          <w:p>
            <w:pPr>
              <w:jc w:val="right"/>
              <w:ind w:right="100"/>
              <w:spacing w:after="0"/>
              <w:rPr>
                <w:sz w:val="20"/>
                <w:szCs w:val="20"/>
                <w:color w:val="auto"/>
              </w:rPr>
            </w:pPr>
            <w:r>
              <w:rPr>
                <w:rFonts w:ascii="Arial" w:cs="Arial" w:eastAsia="Arial" w:hAnsi="Arial"/>
                <w:sz w:val="16"/>
                <w:szCs w:val="16"/>
                <w:b w:val="1"/>
                <w:bCs w:val="1"/>
                <w:color w:val="FFFFFF"/>
                <w:w w:val="87"/>
              </w:rPr>
              <w:t>8.1%</w:t>
            </w:r>
          </w:p>
        </w:tc>
        <w:tc>
          <w:tcPr>
            <w:tcW w:w="1920" w:type="dxa"/>
            <w:vAlign w:val="bottom"/>
          </w:tcPr>
          <w:p>
            <w:pPr>
              <w:jc w:val="right"/>
              <w:ind w:right="1320"/>
              <w:spacing w:after="0"/>
              <w:rPr>
                <w:sz w:val="20"/>
                <w:szCs w:val="20"/>
                <w:color w:val="auto"/>
              </w:rPr>
            </w:pPr>
            <w:r>
              <w:rPr>
                <w:rFonts w:ascii="Arial" w:cs="Arial" w:eastAsia="Arial" w:hAnsi="Arial"/>
                <w:sz w:val="16"/>
                <w:szCs w:val="16"/>
                <w:b w:val="1"/>
                <w:bCs w:val="1"/>
                <w:color w:val="FFFFFF"/>
              </w:rPr>
              <w:t>7.8%</w:t>
            </w:r>
          </w:p>
        </w:tc>
        <w:tc>
          <w:tcPr>
            <w:tcW w:w="0" w:type="dxa"/>
            <w:vAlign w:val="bottom"/>
          </w:tcPr>
          <w:p>
            <w:pPr>
              <w:spacing w:after="0"/>
              <w:rPr>
                <w:sz w:val="1"/>
                <w:szCs w:val="1"/>
                <w:color w:val="auto"/>
              </w:rPr>
            </w:pPr>
          </w:p>
        </w:tc>
      </w:tr>
      <w:tr>
        <w:trPr>
          <w:trHeight w:val="160"/>
        </w:trPr>
        <w:tc>
          <w:tcPr>
            <w:tcW w:w="520" w:type="dxa"/>
            <w:vAlign w:val="bottom"/>
            <w:vMerge w:val="continue"/>
          </w:tcPr>
          <w:p>
            <w:pPr>
              <w:spacing w:after="0"/>
              <w:rPr>
                <w:sz w:val="13"/>
                <w:szCs w:val="13"/>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b w:val="1"/>
                <w:bCs w:val="1"/>
                <w:color w:val="FFFFFF"/>
              </w:rPr>
              <w:t>6.7%</w:t>
            </w:r>
          </w:p>
        </w:tc>
        <w:tc>
          <w:tcPr>
            <w:tcW w:w="0" w:type="dxa"/>
            <w:vAlign w:val="bottom"/>
          </w:tcPr>
          <w:p>
            <w:pPr>
              <w:spacing w:after="0"/>
              <w:rPr>
                <w:sz w:val="1"/>
                <w:szCs w:val="1"/>
                <w:color w:val="auto"/>
              </w:rPr>
            </w:pPr>
          </w:p>
        </w:tc>
      </w:tr>
      <w:tr>
        <w:trPr>
          <w:trHeight w:val="62"/>
        </w:trPr>
        <w:tc>
          <w:tcPr>
            <w:tcW w:w="52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880"/>
        <w:spacing w:after="0"/>
        <w:rPr>
          <w:sz w:val="20"/>
          <w:szCs w:val="20"/>
          <w:color w:val="auto"/>
        </w:rPr>
      </w:pPr>
      <w:r>
        <w:rPr>
          <w:rFonts w:ascii="Arial" w:cs="Arial" w:eastAsia="Arial" w:hAnsi="Arial"/>
          <w:sz w:val="27"/>
          <w:szCs w:val="27"/>
          <w:color w:val="auto"/>
        </w:rPr>
        <w:t>CAPITAL EXPENDITURES</w:t>
      </w:r>
    </w:p>
    <w:p>
      <w:pPr>
        <w:spacing w:after="0" w:line="73" w:lineRule="exact"/>
        <w:rPr>
          <w:sz w:val="20"/>
          <w:szCs w:val="20"/>
          <w:color w:val="auto"/>
        </w:rPr>
      </w:pPr>
    </w:p>
    <w:p>
      <w:pPr>
        <w:ind w:left="2760"/>
        <w:spacing w:after="0"/>
        <w:rPr>
          <w:sz w:val="20"/>
          <w:szCs w:val="20"/>
          <w:color w:val="auto"/>
        </w:rPr>
      </w:pPr>
      <w:r>
        <w:rPr>
          <w:rFonts w:ascii="Arial" w:cs="Arial" w:eastAsia="Arial" w:hAnsi="Arial"/>
          <w:sz w:val="9"/>
          <w:szCs w:val="9"/>
          <w:b w:val="1"/>
          <w:bCs w:val="1"/>
          <w:color w:val="auto"/>
        </w:rPr>
        <w:t>$</w:t>
      </w:r>
      <w:r>
        <w:rPr>
          <w:rFonts w:ascii="Arial" w:cs="Arial" w:eastAsia="Arial" w:hAnsi="Arial"/>
          <w:sz w:val="16"/>
          <w:szCs w:val="16"/>
          <w:b w:val="1"/>
          <w:bCs w:val="1"/>
          <w:color w:val="auto"/>
        </w:rPr>
        <w:t>53.2</w:t>
      </w:r>
    </w:p>
    <w:p>
      <w:pPr>
        <w:spacing w:after="0" w:line="200" w:lineRule="exact"/>
        <w:rPr>
          <w:sz w:val="20"/>
          <w:szCs w:val="20"/>
          <w:color w:val="auto"/>
        </w:rPr>
      </w:pPr>
    </w:p>
    <w:p>
      <w:pPr>
        <w:spacing w:after="0" w:line="371" w:lineRule="exact"/>
        <w:rPr>
          <w:sz w:val="20"/>
          <w:szCs w:val="20"/>
          <w:color w:val="auto"/>
        </w:rPr>
      </w:pPr>
    </w:p>
    <w:p>
      <w:pPr>
        <w:spacing w:after="0"/>
        <w:tabs>
          <w:tab w:leader="none" w:pos="2040" w:val="left"/>
        </w:tabs>
        <w:rPr>
          <w:sz w:val="20"/>
          <w:szCs w:val="20"/>
          <w:color w:val="auto"/>
        </w:rPr>
      </w:pPr>
      <w:r>
        <w:rPr>
          <w:rFonts w:ascii="Arial" w:cs="Arial" w:eastAsia="Arial" w:hAnsi="Arial"/>
          <w:sz w:val="9"/>
          <w:szCs w:val="9"/>
          <w:b w:val="1"/>
          <w:bCs w:val="1"/>
          <w:color w:val="auto"/>
        </w:rPr>
        <w:t>$</w:t>
      </w:r>
      <w:r>
        <w:rPr>
          <w:rFonts w:ascii="Arial" w:cs="Arial" w:eastAsia="Arial" w:hAnsi="Arial"/>
          <w:sz w:val="32"/>
          <w:szCs w:val="32"/>
          <w:b w:val="1"/>
          <w:bCs w:val="1"/>
          <w:color w:val="auto"/>
          <w:vertAlign w:val="subscript"/>
        </w:rPr>
        <w:t>30.8</w:t>
      </w:r>
      <w:r>
        <w:rPr>
          <w:sz w:val="20"/>
          <w:szCs w:val="20"/>
          <w:color w:val="auto"/>
        </w:rPr>
        <w:tab/>
      </w:r>
      <w:r>
        <w:rPr>
          <w:rFonts w:ascii="Arial" w:cs="Arial" w:eastAsia="Arial" w:hAnsi="Arial"/>
          <w:sz w:val="14"/>
          <w:szCs w:val="14"/>
          <w:b w:val="1"/>
          <w:bCs w:val="1"/>
          <w:color w:val="auto"/>
          <w:vertAlign w:val="superscript"/>
        </w:rPr>
        <w:t>$</w:t>
      </w:r>
      <w:r>
        <w:rPr>
          <w:rFonts w:ascii="Arial" w:cs="Arial" w:eastAsia="Arial" w:hAnsi="Arial"/>
          <w:sz w:val="23"/>
          <w:szCs w:val="23"/>
          <w:b w:val="1"/>
          <w:bCs w:val="1"/>
          <w:color w:val="auto"/>
          <w:vertAlign w:val="superscript"/>
        </w:rPr>
        <w:t>31.5</w:t>
      </w:r>
    </w:p>
    <w:p>
      <w:pPr>
        <w:spacing w:after="0" w:line="303" w:lineRule="exact"/>
        <w:rPr>
          <w:sz w:val="20"/>
          <w:szCs w:val="20"/>
          <w:color w:val="auto"/>
        </w:rPr>
      </w:pPr>
    </w:p>
    <w:p>
      <w:pPr>
        <w:sectPr>
          <w:pgSz w:w="11880" w:h="15480" w:orient="portrait"/>
          <w:cols w:equalWidth="0" w:num="2">
            <w:col w:w="5387" w:space="720"/>
            <w:col w:w="4200"/>
          </w:cols>
          <w:pgMar w:left="773" w:top="1269" w:right="800" w:bottom="9" w:gutter="0" w:footer="0" w:header="0"/>
          <w:type w:val="continuous"/>
        </w:sectPr>
      </w:pPr>
    </w:p>
    <w:p>
      <w:pPr>
        <w:spacing w:after="0" w:line="16" w:lineRule="exact"/>
        <w:rPr>
          <w:sz w:val="20"/>
          <w:szCs w:val="20"/>
          <w:color w:val="auto"/>
        </w:rPr>
      </w:pPr>
    </w:p>
    <w:tbl>
      <w:tblPr>
        <w:tblLayout w:type="fixed"/>
        <w:tblInd w:w="107" w:type="dxa"/>
        <w:tblCellMar>
          <w:top w:w="0" w:type="dxa"/>
          <w:left w:w="0" w:type="dxa"/>
          <w:bottom w:w="0" w:type="dxa"/>
          <w:right w:w="0" w:type="dxa"/>
        </w:tblCellMar>
      </w:tblPr>
      <w:tr>
        <w:trPr>
          <w:trHeight w:val="274"/>
        </w:trPr>
        <w:tc>
          <w:tcPr>
            <w:tcW w:w="9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shd w:val="clear" w:color="auto" w:fill="002F59"/>
          </w:tcPr>
          <w:p>
            <w:pPr>
              <w:jc w:val="right"/>
              <w:spacing w:after="0"/>
              <w:rPr>
                <w:sz w:val="20"/>
                <w:szCs w:val="20"/>
                <w:color w:val="auto"/>
              </w:rPr>
            </w:pPr>
            <w:r>
              <w:rPr>
                <w:rFonts w:ascii="Arial" w:cs="Arial" w:eastAsia="Arial" w:hAnsi="Arial"/>
                <w:sz w:val="16"/>
                <w:szCs w:val="16"/>
                <w:b w:val="1"/>
                <w:bCs w:val="1"/>
                <w:color w:val="FFFFFF"/>
              </w:rPr>
              <w:t>5.2%</w:t>
            </w: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67"/>
        </w:trPr>
        <w:tc>
          <w:tcPr>
            <w:tcW w:w="9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shd w:val="clear" w:color="auto" w:fill="002F59"/>
          </w:tcPr>
          <w:p>
            <w:pPr>
              <w:spacing w:after="0"/>
              <w:rPr>
                <w:sz w:val="23"/>
                <w:szCs w:val="23"/>
                <w:color w:val="auto"/>
              </w:rPr>
            </w:pPr>
          </w:p>
        </w:tc>
        <w:tc>
          <w:tcPr>
            <w:tcW w:w="680" w:type="dxa"/>
            <w:vAlign w:val="bottom"/>
            <w:gridSpan w:val="2"/>
          </w:tcPr>
          <w:p>
            <w:pPr>
              <w:jc w:val="right"/>
              <w:ind w:right="13"/>
              <w:spacing w:after="0"/>
              <w:rPr>
                <w:sz w:val="20"/>
                <w:szCs w:val="20"/>
                <w:color w:val="auto"/>
              </w:rPr>
            </w:pPr>
            <w:r>
              <w:rPr>
                <w:rFonts w:ascii="Arial" w:cs="Arial" w:eastAsia="Arial" w:hAnsi="Arial"/>
                <w:sz w:val="16"/>
                <w:szCs w:val="16"/>
                <w:b w:val="1"/>
                <w:bCs w:val="1"/>
                <w:color w:val="auto"/>
              </w:rPr>
              <w:t>2.3%</w:t>
            </w:r>
          </w:p>
        </w:tc>
        <w:tc>
          <w:tcPr>
            <w:tcW w:w="360" w:type="dxa"/>
            <w:vAlign w:val="bottom"/>
          </w:tcPr>
          <w:p>
            <w:pPr>
              <w:spacing w:after="0"/>
              <w:rPr>
                <w:sz w:val="23"/>
                <w:szCs w:val="23"/>
                <w:color w:val="auto"/>
              </w:rPr>
            </w:pPr>
          </w:p>
        </w:tc>
      </w:tr>
      <w:tr>
        <w:trPr>
          <w:trHeight w:val="379"/>
        </w:trPr>
        <w:tc>
          <w:tcPr>
            <w:tcW w:w="900" w:type="dxa"/>
            <w:vAlign w:val="bottom"/>
          </w:tcPr>
          <w:p>
            <w:pPr>
              <w:jc w:val="right"/>
              <w:ind w:right="133"/>
              <w:spacing w:after="0"/>
              <w:rPr>
                <w:sz w:val="20"/>
                <w:szCs w:val="20"/>
                <w:color w:val="auto"/>
              </w:rPr>
            </w:pPr>
            <w:r>
              <w:rPr>
                <w:rFonts w:ascii="Arial" w:cs="Arial" w:eastAsia="Arial" w:hAnsi="Arial"/>
                <w:sz w:val="9"/>
                <w:szCs w:val="9"/>
                <w:b w:val="1"/>
                <w:bCs w:val="1"/>
                <w:color w:val="FFFFFF"/>
              </w:rPr>
              <w:t>$</w:t>
            </w:r>
            <w:r>
              <w:rPr>
                <w:rFonts w:ascii="Arial" w:cs="Arial" w:eastAsia="Arial" w:hAnsi="Arial"/>
                <w:sz w:val="16"/>
                <w:szCs w:val="16"/>
                <w:b w:val="1"/>
                <w:bCs w:val="1"/>
                <w:color w:val="FFFFFF"/>
              </w:rPr>
              <w:t>51.9</w:t>
            </w:r>
          </w:p>
        </w:tc>
        <w:tc>
          <w:tcPr>
            <w:tcW w:w="700" w:type="dxa"/>
            <w:vAlign w:val="bottom"/>
          </w:tcPr>
          <w:p>
            <w:pPr>
              <w:jc w:val="right"/>
              <w:ind w:right="133"/>
              <w:spacing w:after="0"/>
              <w:rPr>
                <w:sz w:val="20"/>
                <w:szCs w:val="20"/>
                <w:color w:val="auto"/>
              </w:rPr>
            </w:pPr>
            <w:r>
              <w:rPr>
                <w:rFonts w:ascii="Arial" w:cs="Arial" w:eastAsia="Arial" w:hAnsi="Arial"/>
                <w:sz w:val="9"/>
                <w:szCs w:val="9"/>
                <w:b w:val="1"/>
                <w:bCs w:val="1"/>
                <w:color w:val="FFFFFF"/>
              </w:rPr>
              <w:t>$</w:t>
            </w:r>
            <w:r>
              <w:rPr>
                <w:rFonts w:ascii="Arial" w:cs="Arial" w:eastAsia="Arial" w:hAnsi="Arial"/>
                <w:sz w:val="16"/>
                <w:szCs w:val="16"/>
                <w:b w:val="1"/>
                <w:bCs w:val="1"/>
                <w:color w:val="FFFFFF"/>
              </w:rPr>
              <w:t>54.7</w:t>
            </w:r>
          </w:p>
        </w:tc>
        <w:tc>
          <w:tcPr>
            <w:tcW w:w="680" w:type="dxa"/>
            <w:vAlign w:val="bottom"/>
          </w:tcPr>
          <w:p>
            <w:pPr>
              <w:jc w:val="right"/>
              <w:ind w:right="113"/>
              <w:spacing w:after="0"/>
              <w:rPr>
                <w:sz w:val="20"/>
                <w:szCs w:val="20"/>
                <w:color w:val="auto"/>
              </w:rPr>
            </w:pPr>
            <w:r>
              <w:rPr>
                <w:rFonts w:ascii="Arial" w:cs="Arial" w:eastAsia="Arial" w:hAnsi="Arial"/>
                <w:sz w:val="9"/>
                <w:szCs w:val="9"/>
                <w:b w:val="1"/>
                <w:bCs w:val="1"/>
                <w:color w:val="FFFFFF"/>
              </w:rPr>
              <w:t>$</w:t>
            </w:r>
            <w:r>
              <w:rPr>
                <w:rFonts w:ascii="Arial" w:cs="Arial" w:eastAsia="Arial" w:hAnsi="Arial"/>
                <w:sz w:val="16"/>
                <w:szCs w:val="16"/>
                <w:b w:val="1"/>
                <w:bCs w:val="1"/>
                <w:color w:val="FFFFFF"/>
              </w:rPr>
              <w:t>77.4</w:t>
            </w:r>
          </w:p>
        </w:tc>
        <w:tc>
          <w:tcPr>
            <w:tcW w:w="820" w:type="dxa"/>
            <w:vAlign w:val="bottom"/>
          </w:tcPr>
          <w:p>
            <w:pPr>
              <w:jc w:val="right"/>
              <w:ind w:right="233"/>
              <w:spacing w:after="0"/>
              <w:rPr>
                <w:sz w:val="20"/>
                <w:szCs w:val="20"/>
                <w:color w:val="auto"/>
              </w:rPr>
            </w:pPr>
            <w:r>
              <w:rPr>
                <w:rFonts w:ascii="Arial" w:cs="Arial" w:eastAsia="Arial" w:hAnsi="Arial"/>
                <w:sz w:val="9"/>
                <w:szCs w:val="9"/>
                <w:b w:val="1"/>
                <w:bCs w:val="1"/>
                <w:color w:val="FFFFFF"/>
              </w:rPr>
              <w:t>$</w:t>
            </w:r>
            <w:r>
              <w:rPr>
                <w:rFonts w:ascii="Arial" w:cs="Arial" w:eastAsia="Arial" w:hAnsi="Arial"/>
                <w:sz w:val="16"/>
                <w:szCs w:val="16"/>
                <w:b w:val="1"/>
                <w:bCs w:val="1"/>
                <w:color w:val="FFFFFF"/>
              </w:rPr>
              <w:t>43.5</w:t>
            </w:r>
          </w:p>
        </w:tc>
        <w:tc>
          <w:tcPr>
            <w:tcW w:w="480" w:type="dxa"/>
            <w:vAlign w:val="bottom"/>
            <w:shd w:val="clear" w:color="auto" w:fill="002F59"/>
          </w:tcPr>
          <w:p>
            <w:pPr>
              <w:jc w:val="right"/>
              <w:spacing w:after="0"/>
              <w:rPr>
                <w:sz w:val="20"/>
                <w:szCs w:val="20"/>
                <w:color w:val="auto"/>
              </w:rPr>
            </w:pPr>
            <w:r>
              <w:rPr>
                <w:rFonts w:ascii="Arial" w:cs="Arial" w:eastAsia="Arial" w:hAnsi="Arial"/>
                <w:sz w:val="9"/>
                <w:szCs w:val="9"/>
                <w:b w:val="1"/>
                <w:bCs w:val="1"/>
                <w:color w:val="FFFFFF"/>
              </w:rPr>
              <w:t>$</w:t>
            </w:r>
            <w:r>
              <w:rPr>
                <w:rFonts w:ascii="Arial" w:cs="Arial" w:eastAsia="Arial" w:hAnsi="Arial"/>
                <w:sz w:val="16"/>
                <w:szCs w:val="16"/>
                <w:b w:val="1"/>
                <w:bCs w:val="1"/>
                <w:color w:val="FFFFFF"/>
              </w:rPr>
              <w:t>33.4</w:t>
            </w:r>
          </w:p>
        </w:tc>
        <w:tc>
          <w:tcPr>
            <w:tcW w:w="200" w:type="dxa"/>
            <w:vAlign w:val="bottom"/>
          </w:tcPr>
          <w:p>
            <w:pPr>
              <w:spacing w:after="0"/>
              <w:rPr>
                <w:sz w:val="24"/>
                <w:szCs w:val="24"/>
                <w:color w:val="auto"/>
              </w:rPr>
            </w:pPr>
          </w:p>
        </w:tc>
        <w:tc>
          <w:tcPr>
            <w:tcW w:w="480" w:type="dxa"/>
            <w:vAlign w:val="bottom"/>
            <w:shd w:val="clear" w:color="auto" w:fill="2B4C18"/>
          </w:tcPr>
          <w:p>
            <w:pPr>
              <w:jc w:val="right"/>
              <w:ind w:right="13"/>
              <w:spacing w:after="0"/>
              <w:rPr>
                <w:sz w:val="20"/>
                <w:szCs w:val="20"/>
                <w:color w:val="auto"/>
              </w:rPr>
            </w:pPr>
            <w:r>
              <w:rPr>
                <w:rFonts w:ascii="Arial" w:cs="Arial" w:eastAsia="Arial" w:hAnsi="Arial"/>
                <w:sz w:val="9"/>
                <w:szCs w:val="9"/>
                <w:b w:val="1"/>
                <w:bCs w:val="1"/>
                <w:color w:val="FFFFFF"/>
              </w:rPr>
              <w:t>$</w:t>
            </w:r>
            <w:r>
              <w:rPr>
                <w:rFonts w:ascii="Arial" w:cs="Arial" w:eastAsia="Arial" w:hAnsi="Arial"/>
                <w:sz w:val="16"/>
                <w:szCs w:val="16"/>
                <w:b w:val="1"/>
                <w:bCs w:val="1"/>
                <w:color w:val="FFFFFF"/>
              </w:rPr>
              <w:t>14.6</w:t>
            </w:r>
          </w:p>
        </w:tc>
        <w:tc>
          <w:tcPr>
            <w:tcW w:w="360" w:type="dxa"/>
            <w:vAlign w:val="bottom"/>
          </w:tcPr>
          <w:p>
            <w:pPr>
              <w:spacing w:after="0"/>
              <w:rPr>
                <w:sz w:val="24"/>
                <w:szCs w:val="24"/>
                <w:color w:val="auto"/>
              </w:rPr>
            </w:pPr>
          </w:p>
        </w:tc>
      </w:tr>
      <w:tr>
        <w:trPr>
          <w:trHeight w:val="153"/>
        </w:trPr>
        <w:tc>
          <w:tcPr>
            <w:tcW w:w="9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shd w:val="clear" w:color="auto" w:fill="002F59"/>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shd w:val="clear" w:color="auto" w:fill="2B4C18"/>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tabs>
          <w:tab w:leader="none" w:pos="680" w:val="left"/>
        </w:tabs>
        <w:rPr>
          <w:sz w:val="20"/>
          <w:szCs w:val="20"/>
          <w:color w:val="auto"/>
        </w:rPr>
      </w:pPr>
      <w:r>
        <w:rPr>
          <w:rFonts w:ascii="Arial" w:cs="Arial" w:eastAsia="Arial" w:hAnsi="Arial"/>
          <w:sz w:val="18"/>
          <w:szCs w:val="18"/>
          <w:b w:val="1"/>
          <w:bCs w:val="1"/>
          <w:color w:val="auto"/>
          <w:vertAlign w:val="superscript"/>
        </w:rPr>
        <w:t>$</w:t>
      </w:r>
      <w:r>
        <w:rPr>
          <w:rFonts w:ascii="Arial" w:cs="Arial" w:eastAsia="Arial" w:hAnsi="Arial"/>
          <w:sz w:val="16"/>
          <w:szCs w:val="16"/>
          <w:b w:val="1"/>
          <w:bCs w:val="1"/>
          <w:color w:val="auto"/>
        </w:rPr>
        <w:t>16.4</w:t>
      </w:r>
      <w:r>
        <w:rPr>
          <w:sz w:val="20"/>
          <w:szCs w:val="20"/>
          <w:color w:val="auto"/>
        </w:rPr>
        <w:tab/>
      </w:r>
      <w:r>
        <w:rPr>
          <w:rFonts w:ascii="Arial" w:cs="Arial" w:eastAsia="Arial" w:hAnsi="Arial"/>
          <w:sz w:val="8"/>
          <w:szCs w:val="8"/>
          <w:b w:val="1"/>
          <w:bCs w:val="1"/>
          <w:color w:val="auto"/>
        </w:rPr>
        <w:t>$</w:t>
      </w:r>
      <w:r>
        <w:rPr>
          <w:rFonts w:ascii="Arial" w:cs="Arial" w:eastAsia="Arial" w:hAnsi="Arial"/>
          <w:sz w:val="22"/>
          <w:szCs w:val="22"/>
          <w:b w:val="1"/>
          <w:bCs w:val="1"/>
          <w:color w:val="auto"/>
          <w:vertAlign w:val="subscript"/>
        </w:rPr>
        <w:t>15.1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w:t>
      </w:r>
      <w:r>
        <w:rPr>
          <w:rFonts w:ascii="Arial" w:cs="Arial" w:eastAsia="Arial" w:hAnsi="Arial"/>
          <w:sz w:val="14"/>
          <w:szCs w:val="14"/>
          <w:b w:val="1"/>
          <w:bCs w:val="1"/>
          <w:color w:val="auto"/>
        </w:rPr>
        <w:t>17.4</w:t>
      </w:r>
    </w:p>
    <w:p>
      <w:pPr>
        <w:spacing w:after="0" w:line="963" w:lineRule="exact"/>
        <w:rPr>
          <w:sz w:val="20"/>
          <w:szCs w:val="20"/>
          <w:color w:val="auto"/>
        </w:rPr>
      </w:pPr>
    </w:p>
    <w:p>
      <w:pPr>
        <w:sectPr>
          <w:pgSz w:w="11880" w:h="15480" w:orient="portrait"/>
          <w:cols w:equalWidth="0" w:num="3">
            <w:col w:w="6067" w:space="720"/>
            <w:col w:w="2060" w:space="720"/>
            <w:col w:w="740"/>
          </w:cols>
          <w:pgMar w:left="773" w:top="1269" w:right="800" w:bottom="9" w:gutter="0" w:footer="0" w:header="0"/>
          <w:type w:val="continuous"/>
        </w:sectPr>
      </w:pPr>
    </w:p>
    <w:p>
      <w:pPr>
        <w:spacing w:after="0" w:line="2" w:lineRule="exact"/>
        <w:rPr>
          <w:sz w:val="20"/>
          <w:szCs w:val="20"/>
          <w:color w:val="auto"/>
        </w:rPr>
      </w:pPr>
    </w:p>
    <w:tbl>
      <w:tblPr>
        <w:tblLayout w:type="fixed"/>
        <w:tblInd w:w="487" w:type="dxa"/>
        <w:tblCellMar>
          <w:top w:w="0" w:type="dxa"/>
          <w:left w:w="0" w:type="dxa"/>
          <w:bottom w:w="0" w:type="dxa"/>
          <w:right w:w="0" w:type="dxa"/>
        </w:tblCellMar>
      </w:tblPr>
      <w:tr>
        <w:trPr>
          <w:trHeight w:val="224"/>
        </w:trPr>
        <w:tc>
          <w:tcPr>
            <w:tcW w:w="540" w:type="dxa"/>
            <w:vAlign w:val="bottom"/>
          </w:tcPr>
          <w:p>
            <w:pPr>
              <w:spacing w:after="0"/>
              <w:rPr>
                <w:sz w:val="20"/>
                <w:szCs w:val="20"/>
                <w:color w:val="auto"/>
              </w:rPr>
            </w:pPr>
            <w:r>
              <w:rPr>
                <w:rFonts w:ascii="Arial" w:cs="Arial" w:eastAsia="Arial" w:hAnsi="Arial"/>
                <w:sz w:val="16"/>
                <w:szCs w:val="16"/>
                <w:color w:val="auto"/>
              </w:rPr>
              <w:t>FY 19</w:t>
            </w:r>
          </w:p>
        </w:tc>
        <w:tc>
          <w:tcPr>
            <w:tcW w:w="680" w:type="dxa"/>
            <w:vAlign w:val="bottom"/>
          </w:tcPr>
          <w:p>
            <w:pPr>
              <w:ind w:left="160"/>
              <w:spacing w:after="0"/>
              <w:rPr>
                <w:sz w:val="20"/>
                <w:szCs w:val="20"/>
                <w:color w:val="auto"/>
              </w:rPr>
            </w:pPr>
            <w:r>
              <w:rPr>
                <w:rFonts w:ascii="Arial" w:cs="Arial" w:eastAsia="Arial" w:hAnsi="Arial"/>
                <w:sz w:val="16"/>
                <w:szCs w:val="16"/>
                <w:color w:val="auto"/>
              </w:rPr>
              <w:t>FY 20</w:t>
            </w:r>
          </w:p>
        </w:tc>
        <w:tc>
          <w:tcPr>
            <w:tcW w:w="700" w:type="dxa"/>
            <w:vAlign w:val="bottom"/>
          </w:tcPr>
          <w:p>
            <w:pPr>
              <w:ind w:left="180"/>
              <w:spacing w:after="0"/>
              <w:rPr>
                <w:sz w:val="20"/>
                <w:szCs w:val="20"/>
                <w:color w:val="auto"/>
              </w:rPr>
            </w:pPr>
            <w:r>
              <w:rPr>
                <w:rFonts w:ascii="Arial" w:cs="Arial" w:eastAsia="Arial" w:hAnsi="Arial"/>
                <w:sz w:val="16"/>
                <w:szCs w:val="16"/>
                <w:color w:val="auto"/>
              </w:rPr>
              <w:t>FY 21</w:t>
            </w:r>
          </w:p>
        </w:tc>
        <w:tc>
          <w:tcPr>
            <w:tcW w:w="700" w:type="dxa"/>
            <w:vAlign w:val="bottom"/>
          </w:tcPr>
          <w:p>
            <w:pPr>
              <w:ind w:left="160"/>
              <w:spacing w:after="0"/>
              <w:rPr>
                <w:sz w:val="20"/>
                <w:szCs w:val="20"/>
                <w:color w:val="auto"/>
              </w:rPr>
            </w:pPr>
            <w:r>
              <w:rPr>
                <w:rFonts w:ascii="Arial" w:cs="Arial" w:eastAsia="Arial" w:hAnsi="Arial"/>
                <w:sz w:val="16"/>
                <w:szCs w:val="16"/>
                <w:color w:val="auto"/>
              </w:rPr>
              <w:t>FY 22</w:t>
            </w:r>
          </w:p>
        </w:tc>
        <w:tc>
          <w:tcPr>
            <w:tcW w:w="680" w:type="dxa"/>
            <w:vAlign w:val="bottom"/>
          </w:tcPr>
          <w:p>
            <w:pPr>
              <w:ind w:left="160"/>
              <w:spacing w:after="0"/>
              <w:rPr>
                <w:sz w:val="20"/>
                <w:szCs w:val="20"/>
                <w:color w:val="auto"/>
              </w:rPr>
            </w:pPr>
            <w:r>
              <w:rPr>
                <w:rFonts w:ascii="Arial" w:cs="Arial" w:eastAsia="Arial" w:hAnsi="Arial"/>
                <w:sz w:val="16"/>
                <w:szCs w:val="16"/>
                <w:color w:val="auto"/>
              </w:rPr>
              <w:t>FY 23</w:t>
            </w:r>
          </w:p>
        </w:tc>
        <w:tc>
          <w:tcPr>
            <w:tcW w:w="520" w:type="dxa"/>
            <w:vAlign w:val="bottom"/>
          </w:tcPr>
          <w:p>
            <w:pPr>
              <w:ind w:left="180"/>
              <w:spacing w:after="0"/>
              <w:rPr>
                <w:sz w:val="20"/>
                <w:szCs w:val="20"/>
                <w:color w:val="auto"/>
              </w:rPr>
            </w:pPr>
            <w:r>
              <w:rPr>
                <w:rFonts w:ascii="Arial" w:cs="Arial" w:eastAsia="Arial" w:hAnsi="Arial"/>
                <w:sz w:val="16"/>
                <w:szCs w:val="16"/>
                <w:color w:val="auto"/>
                <w:w w:val="74"/>
              </w:rPr>
              <w:t>FY 24</w:t>
            </w:r>
          </w:p>
        </w:tc>
      </w:tr>
    </w:tbl>
    <w:p>
      <w:pPr>
        <w:spacing w:after="0" w:line="58" w:lineRule="exact"/>
        <w:rPr>
          <w:sz w:val="20"/>
          <w:szCs w:val="20"/>
          <w:color w:val="auto"/>
        </w:rPr>
      </w:pPr>
    </w:p>
    <w:p>
      <w:pPr>
        <w:ind w:left="187"/>
        <w:spacing w:after="0"/>
        <w:rPr>
          <w:sz w:val="20"/>
          <w:szCs w:val="20"/>
          <w:color w:val="auto"/>
        </w:rPr>
      </w:pPr>
      <w:r>
        <w:rPr>
          <w:sz w:val="1"/>
          <w:szCs w:val="1"/>
          <w:color w:val="auto"/>
        </w:rPr>
        <w:drawing>
          <wp:inline distT="0" distB="0" distL="0" distR="0">
            <wp:extent cx="292735" cy="641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2735" cy="64135"/>
                    </a:xfrm>
                    <a:prstGeom prst="rect">
                      <a:avLst/>
                    </a:prstGeom>
                    <a:noFill/>
                    <a:ln>
                      <a:noFill/>
                    </a:ln>
                  </pic:spPr>
                </pic:pic>
              </a:graphicData>
            </a:graphic>
          </wp:inline>
        </w:drawing>
      </w:r>
      <w:r>
        <w:rPr>
          <w:rFonts w:ascii="Arial" w:cs="Arial" w:eastAsia="Arial" w:hAnsi="Arial"/>
          <w:sz w:val="14"/>
          <w:szCs w:val="14"/>
          <w:color w:val="auto"/>
        </w:rPr>
        <w:t xml:space="preserve"> Adjusted EBITDA $  </w:t>
      </w:r>
      <w:r>
        <w:rPr>
          <w:sz w:val="1"/>
          <w:szCs w:val="1"/>
          <w:color w:val="auto"/>
        </w:rPr>
        <w:drawing>
          <wp:inline distT="0" distB="0" distL="0" distR="0">
            <wp:extent cx="292735" cy="1403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2735" cy="140335"/>
                    </a:xfrm>
                    <a:prstGeom prst="rect">
                      <a:avLst/>
                    </a:prstGeom>
                    <a:noFill/>
                    <a:ln>
                      <a:noFill/>
                    </a:ln>
                  </pic:spPr>
                </pic:pic>
              </a:graphicData>
            </a:graphic>
          </wp:inline>
        </w:drawing>
      </w:r>
      <w:r>
        <w:rPr>
          <w:rFonts w:ascii="Arial" w:cs="Arial" w:eastAsia="Arial" w:hAnsi="Arial"/>
          <w:sz w:val="14"/>
          <w:szCs w:val="14"/>
          <w:color w:val="auto"/>
        </w:rPr>
        <w:t xml:space="preserve"> Adjusted EBITDA % of net sales</w:t>
      </w:r>
    </w:p>
    <w:p>
      <w:pPr>
        <w:spacing w:after="0" w:line="120" w:lineRule="exact"/>
        <w:rPr>
          <w:sz w:val="20"/>
          <w:szCs w:val="20"/>
          <w:color w:val="auto"/>
        </w:rPr>
      </w:pPr>
    </w:p>
    <w:p>
      <w:pPr>
        <w:ind w:left="107" w:right="318" w:hanging="107"/>
        <w:spacing w:after="0" w:line="281" w:lineRule="auto"/>
        <w:tabs>
          <w:tab w:leader="none" w:pos="107" w:val="left"/>
        </w:tabs>
        <w:numPr>
          <w:ilvl w:val="0"/>
          <w:numId w:val="4"/>
        </w:numPr>
        <w:rPr>
          <w:rFonts w:ascii="Arial" w:cs="Arial" w:eastAsia="Arial" w:hAnsi="Arial"/>
          <w:sz w:val="8"/>
          <w:szCs w:val="8"/>
          <w:color w:val="auto"/>
        </w:rPr>
      </w:pPr>
      <w:r>
        <w:rPr>
          <w:rFonts w:ascii="Arial" w:cs="Arial" w:eastAsia="Arial" w:hAnsi="Arial"/>
          <w:sz w:val="11"/>
          <w:szCs w:val="11"/>
          <w:color w:val="auto"/>
        </w:rPr>
        <w:t>Non-GAAP Measure. See “Reconciliation of Net (Loss) Income to EBITDA and EBITDA to Adjusted EBITDA” section in the “Management’s Discussion and Analysis of Financial Conditions and Results of Operations” section for a reconciliation of our net (loss) income to EBITDA and EBITDA to Adjusted EBITDA, both of which are non-U.S. GAAP financial measures. See also the information under the heading “Adjusted EBITDA” in the subsection “How We Assess the Performance of Our Business” for our definition of Adjusted EBITDA.</w:t>
      </w:r>
    </w:p>
    <w:p>
      <w:pPr>
        <w:spacing w:after="0" w:line="20" w:lineRule="exact"/>
        <w:rPr>
          <w:sz w:val="20"/>
          <w:szCs w:val="20"/>
          <w:color w:val="auto"/>
        </w:rPr>
      </w:pPr>
      <w:r>
        <w:rPr>
          <w:sz w:val="20"/>
          <w:szCs w:val="20"/>
          <w:color w:val="auto"/>
        </w:rPr>
        <w:br w:type="column"/>
      </w:r>
    </w:p>
    <w:p>
      <w:pPr>
        <w:ind w:left="422"/>
        <w:spacing w:after="0"/>
        <w:tabs>
          <w:tab w:leader="none" w:pos="1042" w:val="left"/>
          <w:tab w:leader="none" w:pos="1742" w:val="left"/>
          <w:tab w:leader="none" w:pos="2422" w:val="left"/>
          <w:tab w:leader="none" w:pos="3122" w:val="left"/>
          <w:tab w:leader="none" w:pos="3822" w:val="left"/>
        </w:tabs>
        <w:rPr>
          <w:sz w:val="20"/>
          <w:szCs w:val="20"/>
          <w:color w:val="auto"/>
        </w:rPr>
      </w:pPr>
      <w:r>
        <w:rPr>
          <w:rFonts w:ascii="Arial" w:cs="Arial" w:eastAsia="Arial" w:hAnsi="Arial"/>
          <w:sz w:val="16"/>
          <w:szCs w:val="16"/>
          <w:color w:val="auto"/>
        </w:rPr>
        <w:t>FY 19</w:t>
      </w:r>
      <w:r>
        <w:rPr>
          <w:sz w:val="20"/>
          <w:szCs w:val="20"/>
          <w:color w:val="auto"/>
        </w:rPr>
        <w:tab/>
      </w:r>
      <w:r>
        <w:rPr>
          <w:rFonts w:ascii="Arial" w:cs="Arial" w:eastAsia="Arial" w:hAnsi="Arial"/>
          <w:sz w:val="16"/>
          <w:szCs w:val="16"/>
          <w:color w:val="auto"/>
        </w:rPr>
        <w:t>FY 20</w:t>
      </w:r>
      <w:r>
        <w:rPr>
          <w:rFonts w:ascii="Arial" w:cs="Arial" w:eastAsia="Arial" w:hAnsi="Arial"/>
          <w:sz w:val="8"/>
          <w:szCs w:val="8"/>
          <w:color w:val="auto"/>
        </w:rPr>
        <w:t>(1)</w:t>
      </w:r>
      <w:r>
        <w:rPr>
          <w:sz w:val="20"/>
          <w:szCs w:val="20"/>
          <w:color w:val="auto"/>
        </w:rPr>
        <w:tab/>
      </w:r>
      <w:r>
        <w:rPr>
          <w:rFonts w:ascii="Arial" w:cs="Arial" w:eastAsia="Arial" w:hAnsi="Arial"/>
          <w:sz w:val="16"/>
          <w:szCs w:val="16"/>
          <w:color w:val="auto"/>
        </w:rPr>
        <w:t>FY 21</w:t>
      </w:r>
      <w:r>
        <w:rPr>
          <w:rFonts w:ascii="Arial" w:cs="Arial" w:eastAsia="Arial" w:hAnsi="Arial"/>
          <w:sz w:val="8"/>
          <w:szCs w:val="8"/>
          <w:color w:val="auto"/>
        </w:rPr>
        <w:t>(2)</w:t>
      </w:r>
      <w:r>
        <w:rPr>
          <w:sz w:val="20"/>
          <w:szCs w:val="20"/>
          <w:color w:val="auto"/>
        </w:rPr>
        <w:tab/>
      </w:r>
      <w:r>
        <w:rPr>
          <w:rFonts w:ascii="Arial" w:cs="Arial" w:eastAsia="Arial" w:hAnsi="Arial"/>
          <w:sz w:val="16"/>
          <w:szCs w:val="16"/>
          <w:color w:val="auto"/>
        </w:rPr>
        <w:t>FY 22</w:t>
      </w:r>
      <w:r>
        <w:rPr>
          <w:rFonts w:ascii="Arial" w:cs="Arial" w:eastAsia="Arial" w:hAnsi="Arial"/>
          <w:sz w:val="8"/>
          <w:szCs w:val="8"/>
          <w:color w:val="auto"/>
        </w:rPr>
        <w:t>(3)</w:t>
      </w:r>
      <w:r>
        <w:rPr>
          <w:sz w:val="20"/>
          <w:szCs w:val="20"/>
          <w:color w:val="auto"/>
        </w:rPr>
        <w:tab/>
      </w:r>
      <w:r>
        <w:rPr>
          <w:rFonts w:ascii="Arial" w:cs="Arial" w:eastAsia="Arial" w:hAnsi="Arial"/>
          <w:sz w:val="16"/>
          <w:szCs w:val="16"/>
          <w:color w:val="auto"/>
        </w:rPr>
        <w:t>FY 23</w:t>
      </w:r>
      <w:r>
        <w:rPr>
          <w:rFonts w:ascii="Arial" w:cs="Arial" w:eastAsia="Arial" w:hAnsi="Arial"/>
          <w:sz w:val="8"/>
          <w:szCs w:val="8"/>
          <w:color w:val="auto"/>
        </w:rPr>
        <w:t>(4)</w:t>
      </w:r>
      <w:r>
        <w:rPr>
          <w:sz w:val="20"/>
          <w:szCs w:val="20"/>
          <w:color w:val="auto"/>
        </w:rPr>
        <w:tab/>
      </w:r>
      <w:r>
        <w:rPr>
          <w:rFonts w:ascii="Arial" w:cs="Arial" w:eastAsia="Arial" w:hAnsi="Arial"/>
          <w:sz w:val="13"/>
          <w:szCs w:val="13"/>
          <w:color w:val="auto"/>
        </w:rPr>
        <w:t>FY 24</w:t>
      </w:r>
      <w:r>
        <w:rPr>
          <w:rFonts w:ascii="Arial" w:cs="Arial" w:eastAsia="Arial" w:hAnsi="Arial"/>
          <w:sz w:val="7"/>
          <w:szCs w:val="7"/>
          <w:color w:val="auto"/>
        </w:rPr>
        <w:t>(5)</w:t>
      </w:r>
    </w:p>
    <w:p>
      <w:pPr>
        <w:spacing w:after="0" w:line="90" w:lineRule="exact"/>
        <w:rPr>
          <w:sz w:val="20"/>
          <w:szCs w:val="20"/>
          <w:color w:val="auto"/>
        </w:rPr>
      </w:pPr>
    </w:p>
    <w:p>
      <w:pPr>
        <w:jc w:val="both"/>
        <w:ind w:left="122" w:right="120" w:hanging="122"/>
        <w:spacing w:after="0" w:line="269" w:lineRule="auto"/>
        <w:tabs>
          <w:tab w:leader="none" w:pos="122" w:val="left"/>
        </w:tabs>
        <w:numPr>
          <w:ilvl w:val="0"/>
          <w:numId w:val="5"/>
        </w:numPr>
        <w:rPr>
          <w:rFonts w:ascii="Arial" w:cs="Arial" w:eastAsia="Arial" w:hAnsi="Arial"/>
          <w:sz w:val="8"/>
          <w:szCs w:val="8"/>
          <w:color w:val="auto"/>
        </w:rPr>
      </w:pPr>
      <w:r>
        <w:rPr>
          <w:rFonts w:ascii="Arial" w:cs="Arial" w:eastAsia="Arial" w:hAnsi="Arial"/>
          <w:sz w:val="12"/>
          <w:szCs w:val="12"/>
          <w:color w:val="auto"/>
        </w:rPr>
        <w:t>Includes $4.1 of additional investments in implementation costs to enhance the value of hosting arrangements, which are included in Prepaid expenses &amp; other current assets on the Company’s Consolidated Balance Sheets.</w:t>
      </w:r>
    </w:p>
    <w:p>
      <w:pPr>
        <w:spacing w:after="0" w:line="96" w:lineRule="exact"/>
        <w:rPr>
          <w:rFonts w:ascii="Arial" w:cs="Arial" w:eastAsia="Arial" w:hAnsi="Arial"/>
          <w:sz w:val="8"/>
          <w:szCs w:val="8"/>
          <w:color w:val="auto"/>
        </w:rPr>
      </w:pPr>
    </w:p>
    <w:p>
      <w:pPr>
        <w:jc w:val="both"/>
        <w:ind w:left="122" w:right="120" w:hanging="122"/>
        <w:spacing w:after="0" w:line="267" w:lineRule="auto"/>
        <w:tabs>
          <w:tab w:leader="none" w:pos="122" w:val="left"/>
        </w:tabs>
        <w:numPr>
          <w:ilvl w:val="0"/>
          <w:numId w:val="5"/>
        </w:numPr>
        <w:rPr>
          <w:rFonts w:ascii="Arial" w:cs="Arial" w:eastAsia="Arial" w:hAnsi="Arial"/>
          <w:sz w:val="8"/>
          <w:szCs w:val="8"/>
          <w:color w:val="auto"/>
        </w:rPr>
      </w:pPr>
      <w:r>
        <w:rPr>
          <w:rFonts w:ascii="Arial" w:cs="Arial" w:eastAsia="Arial" w:hAnsi="Arial"/>
          <w:sz w:val="12"/>
          <w:szCs w:val="12"/>
          <w:color w:val="auto"/>
        </w:rPr>
        <w:t>Includes $4.7 of additional investments in implementation costs to enhance the value of hosting arrangements, which are included in Prepaid expenses &amp; other current assets on the Company’s Consolidated Balance Sheets.</w:t>
      </w:r>
    </w:p>
    <w:p>
      <w:pPr>
        <w:spacing w:after="0" w:line="99" w:lineRule="exact"/>
        <w:rPr>
          <w:rFonts w:ascii="Arial" w:cs="Arial" w:eastAsia="Arial" w:hAnsi="Arial"/>
          <w:sz w:val="8"/>
          <w:szCs w:val="8"/>
          <w:color w:val="auto"/>
        </w:rPr>
      </w:pPr>
    </w:p>
    <w:p>
      <w:pPr>
        <w:jc w:val="both"/>
        <w:ind w:left="122" w:right="120" w:hanging="122"/>
        <w:spacing w:after="0" w:line="267" w:lineRule="auto"/>
        <w:tabs>
          <w:tab w:leader="none" w:pos="122" w:val="left"/>
        </w:tabs>
        <w:numPr>
          <w:ilvl w:val="0"/>
          <w:numId w:val="5"/>
        </w:numPr>
        <w:rPr>
          <w:rFonts w:ascii="Arial" w:cs="Arial" w:eastAsia="Arial" w:hAnsi="Arial"/>
          <w:sz w:val="8"/>
          <w:szCs w:val="8"/>
          <w:color w:val="auto"/>
        </w:rPr>
      </w:pPr>
      <w:r>
        <w:rPr>
          <w:rFonts w:ascii="Arial" w:cs="Arial" w:eastAsia="Arial" w:hAnsi="Arial"/>
          <w:sz w:val="12"/>
          <w:szCs w:val="12"/>
          <w:color w:val="auto"/>
        </w:rPr>
        <w:t>Includes $6.1 of additional investments in implementation costs to enhance the value of hosting arrangements, which are included in Prepaid expenses &amp; other current assets on the Company’s Consolidated Balance Sheets.</w:t>
      </w:r>
    </w:p>
    <w:p>
      <w:pPr>
        <w:spacing w:after="0" w:line="99" w:lineRule="exact"/>
        <w:rPr>
          <w:rFonts w:ascii="Arial" w:cs="Arial" w:eastAsia="Arial" w:hAnsi="Arial"/>
          <w:sz w:val="8"/>
          <w:szCs w:val="8"/>
          <w:color w:val="auto"/>
        </w:rPr>
      </w:pPr>
    </w:p>
    <w:p>
      <w:pPr>
        <w:jc w:val="both"/>
        <w:ind w:left="122" w:right="120" w:hanging="122"/>
        <w:spacing w:after="0" w:line="267" w:lineRule="auto"/>
        <w:tabs>
          <w:tab w:leader="none" w:pos="122" w:val="left"/>
        </w:tabs>
        <w:numPr>
          <w:ilvl w:val="0"/>
          <w:numId w:val="5"/>
        </w:numPr>
        <w:rPr>
          <w:rFonts w:ascii="Arial" w:cs="Arial" w:eastAsia="Arial" w:hAnsi="Arial"/>
          <w:sz w:val="8"/>
          <w:szCs w:val="8"/>
          <w:color w:val="auto"/>
        </w:rPr>
      </w:pPr>
      <w:r>
        <w:rPr>
          <w:rFonts w:ascii="Arial" w:cs="Arial" w:eastAsia="Arial" w:hAnsi="Arial"/>
          <w:sz w:val="12"/>
          <w:szCs w:val="12"/>
          <w:color w:val="auto"/>
        </w:rPr>
        <w:t>Includes $5.8 of additional investments in implementation costs to enhance the value of hosting arrangements, which are included in Prepaid expenses &amp; other current assets on the Company’s Consolidated Balance Sheets.</w:t>
      </w:r>
    </w:p>
    <w:p>
      <w:pPr>
        <w:spacing w:after="0" w:line="99" w:lineRule="exact"/>
        <w:rPr>
          <w:rFonts w:ascii="Arial" w:cs="Arial" w:eastAsia="Arial" w:hAnsi="Arial"/>
          <w:sz w:val="8"/>
          <w:szCs w:val="8"/>
          <w:color w:val="auto"/>
        </w:rPr>
      </w:pPr>
    </w:p>
    <w:p>
      <w:pPr>
        <w:jc w:val="both"/>
        <w:ind w:left="122" w:right="120" w:hanging="122"/>
        <w:spacing w:after="0" w:line="267" w:lineRule="auto"/>
        <w:tabs>
          <w:tab w:leader="none" w:pos="122" w:val="left"/>
        </w:tabs>
        <w:numPr>
          <w:ilvl w:val="0"/>
          <w:numId w:val="5"/>
        </w:numPr>
        <w:rPr>
          <w:rFonts w:ascii="Arial" w:cs="Arial" w:eastAsia="Arial" w:hAnsi="Arial"/>
          <w:sz w:val="8"/>
          <w:szCs w:val="8"/>
          <w:color w:val="auto"/>
        </w:rPr>
      </w:pPr>
      <w:r>
        <w:rPr>
          <w:rFonts w:ascii="Arial" w:cs="Arial" w:eastAsia="Arial" w:hAnsi="Arial"/>
          <w:sz w:val="12"/>
          <w:szCs w:val="12"/>
          <w:color w:val="auto"/>
        </w:rPr>
        <w:t>Includes $9.1 of additional investments in implementation costs to enhance the value of hosting arrangements, which are included in Prepaid expenses &amp; other current assets on the Company’s Consolidated Balance Sheets.</w:t>
      </w:r>
    </w:p>
    <w:p>
      <w:pPr>
        <w:sectPr>
          <w:pgSz w:w="11880" w:h="15480" w:orient="portrait"/>
          <w:cols w:equalWidth="0" w:num="2">
            <w:col w:w="4965" w:space="720"/>
            <w:col w:w="4622"/>
          </w:cols>
          <w:pgMar w:left="773" w:top="1269" w:right="800" w:bottom="9"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8"/>
          <w:szCs w:val="28"/>
          <w:b w:val="1"/>
          <w:bCs w:val="1"/>
          <w:color w:val="1E1E1E"/>
        </w:rPr>
        <w:t>UNITED STATES</w:t>
      </w:r>
    </w:p>
    <w:p>
      <w:pPr>
        <w:jc w:val="center"/>
        <w:spacing w:after="0"/>
        <w:rPr>
          <w:sz w:val="20"/>
          <w:szCs w:val="20"/>
          <w:color w:val="auto"/>
        </w:rPr>
      </w:pPr>
      <w:r>
        <w:rPr>
          <w:rFonts w:ascii="Times New Roman" w:cs="Times New Roman" w:eastAsia="Times New Roman" w:hAnsi="Times New Roman"/>
          <w:sz w:val="28"/>
          <w:szCs w:val="28"/>
          <w:b w:val="1"/>
          <w:bCs w:val="1"/>
          <w:color w:val="1E1E1E"/>
        </w:rPr>
        <w:t>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Washington, D.C. 20549</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1E1E1E"/>
        </w:rPr>
        <w:t>FORM 10-K</w:t>
      </w:r>
    </w:p>
    <w:p>
      <w:pPr>
        <w:spacing w:after="0" w:line="148" w:lineRule="exact"/>
        <w:rPr>
          <w:sz w:val="20"/>
          <w:szCs w:val="20"/>
          <w:color w:val="auto"/>
        </w:rPr>
      </w:pPr>
    </w:p>
    <w:p>
      <w:pPr>
        <w:ind w:left="420" w:hanging="358"/>
        <w:spacing w:after="0"/>
        <w:tabs>
          <w:tab w:leader="none" w:pos="420" w:val="left"/>
        </w:tabs>
        <w:numPr>
          <w:ilvl w:val="0"/>
          <w:numId w:val="6"/>
        </w:numPr>
        <w:rPr>
          <w:rFonts w:ascii="Wingdings" w:cs="Wingdings" w:eastAsia="Wingdings" w:hAnsi="Wingdings"/>
          <w:sz w:val="20"/>
          <w:szCs w:val="20"/>
          <w:color w:val="1E1E1E"/>
        </w:rPr>
      </w:pPr>
      <w:r>
        <w:rPr>
          <w:rFonts w:ascii="Times New Roman" w:cs="Times New Roman" w:eastAsia="Times New Roman" w:hAnsi="Times New Roman"/>
          <w:sz w:val="20"/>
          <w:szCs w:val="20"/>
          <w:b w:val="1"/>
          <w:bCs w:val="1"/>
          <w:color w:val="1E1E1E"/>
        </w:rPr>
        <w:t>ANNUAL REPORT PURSUANT TO SECTION 13 OR 15(d) OF THE SECURITIES EXCHANGE ACT OF 1934</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1E1E1E"/>
        </w:rPr>
        <w:t>For the Fiscal Year Ended February 2, 2025</w:t>
      </w:r>
    </w:p>
    <w:p>
      <w:pPr>
        <w:jc w:val="center"/>
        <w:spacing w:after="0"/>
        <w:rPr>
          <w:sz w:val="20"/>
          <w:szCs w:val="20"/>
          <w:color w:val="auto"/>
        </w:rPr>
      </w:pPr>
      <w:r>
        <w:rPr>
          <w:rFonts w:ascii="Times New Roman" w:cs="Times New Roman" w:eastAsia="Times New Roman" w:hAnsi="Times New Roman"/>
          <w:sz w:val="20"/>
          <w:szCs w:val="20"/>
          <w:b w:val="1"/>
          <w:bCs w:val="1"/>
          <w:color w:val="1E1E1E"/>
        </w:rPr>
        <w:t>OR</w:t>
      </w:r>
    </w:p>
    <w:p>
      <w:pPr>
        <w:spacing w:after="0" w:line="221" w:lineRule="exact"/>
        <w:rPr>
          <w:sz w:val="20"/>
          <w:szCs w:val="20"/>
          <w:color w:val="auto"/>
        </w:rPr>
      </w:pPr>
    </w:p>
    <w:p>
      <w:pPr>
        <w:ind w:left="420" w:hanging="358"/>
        <w:spacing w:after="0"/>
        <w:tabs>
          <w:tab w:leader="none" w:pos="420" w:val="left"/>
        </w:tabs>
        <w:numPr>
          <w:ilvl w:val="0"/>
          <w:numId w:val="7"/>
        </w:numPr>
        <w:rPr>
          <w:rFonts w:ascii="Wingdings" w:cs="Wingdings" w:eastAsia="Wingdings" w:hAnsi="Wingdings"/>
          <w:sz w:val="20"/>
          <w:szCs w:val="20"/>
          <w:color w:val="1E1E1E"/>
        </w:rPr>
      </w:pPr>
      <w:r>
        <w:rPr>
          <w:rFonts w:ascii="Times New Roman" w:cs="Times New Roman" w:eastAsia="Times New Roman" w:hAnsi="Times New Roman"/>
          <w:sz w:val="20"/>
          <w:szCs w:val="20"/>
          <w:b w:val="1"/>
          <w:bCs w:val="1"/>
          <w:color w:val="1E1E1E"/>
        </w:rPr>
        <w:t>TRANSITION REPORT PURSUANT TO SECTION 13 OR 15(d) OF THE SECURITIES EXCHANGE ACT OF 1934</w:t>
      </w:r>
    </w:p>
    <w:p>
      <w:pPr>
        <w:spacing w:after="0" w:line="140"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360" w:type="dxa"/>
            <w:vAlign w:val="bottom"/>
          </w:tcPr>
          <w:p>
            <w:pPr>
              <w:ind w:left="2600"/>
              <w:spacing w:after="0"/>
              <w:rPr>
                <w:sz w:val="20"/>
                <w:szCs w:val="20"/>
                <w:color w:val="auto"/>
              </w:rPr>
            </w:pPr>
            <w:r>
              <w:rPr>
                <w:rFonts w:ascii="Times New Roman" w:cs="Times New Roman" w:eastAsia="Times New Roman" w:hAnsi="Times New Roman"/>
                <w:sz w:val="20"/>
                <w:szCs w:val="20"/>
                <w:b w:val="1"/>
                <w:bCs w:val="1"/>
                <w:color w:val="1E1E1E"/>
              </w:rPr>
              <w:t>For the transition period from</w:t>
            </w:r>
          </w:p>
        </w:tc>
        <w:tc>
          <w:tcPr>
            <w:tcW w:w="18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1E1E1E"/>
              </w:rPr>
              <w:t>to</w:t>
            </w:r>
          </w:p>
        </w:tc>
      </w:tr>
      <w:tr>
        <w:trPr>
          <w:trHeight w:val="213"/>
        </w:trPr>
        <w:tc>
          <w:tcPr>
            <w:tcW w:w="6360" w:type="dxa"/>
            <w:vAlign w:val="bottom"/>
          </w:tcPr>
          <w:p>
            <w:pPr>
              <w:jc w:val="center"/>
              <w:ind w:left="2700"/>
              <w:spacing w:after="0" w:line="213" w:lineRule="exact"/>
              <w:rPr>
                <w:sz w:val="20"/>
                <w:szCs w:val="20"/>
                <w:color w:val="auto"/>
              </w:rPr>
            </w:pPr>
            <w:r>
              <w:rPr>
                <w:rFonts w:ascii="Times New Roman" w:cs="Times New Roman" w:eastAsia="Times New Roman" w:hAnsi="Times New Roman"/>
                <w:sz w:val="20"/>
                <w:szCs w:val="20"/>
                <w:b w:val="1"/>
                <w:bCs w:val="1"/>
                <w:color w:val="1E1E1E"/>
              </w:rPr>
              <w:t>Commission file No. 001-37641</w:t>
            </w:r>
          </w:p>
        </w:tc>
        <w:tc>
          <w:tcPr>
            <w:tcW w:w="1860" w:type="dxa"/>
            <w:vAlign w:val="bottom"/>
          </w:tcPr>
          <w:p>
            <w:pPr>
              <w:spacing w:after="0"/>
              <w:rPr>
                <w:sz w:val="18"/>
                <w:szCs w:val="18"/>
                <w:color w:val="auto"/>
              </w:rPr>
            </w:pPr>
          </w:p>
        </w:tc>
      </w:tr>
      <w:tr>
        <w:trPr>
          <w:trHeight w:val="486"/>
        </w:trPr>
        <w:tc>
          <w:tcPr>
            <w:tcW w:w="8220" w:type="dxa"/>
            <w:vAlign w:val="bottom"/>
            <w:gridSpan w:val="2"/>
          </w:tcPr>
          <w:p>
            <w:pPr>
              <w:jc w:val="center"/>
              <w:ind w:left="840"/>
              <w:spacing w:after="0"/>
              <w:rPr>
                <w:sz w:val="20"/>
                <w:szCs w:val="20"/>
                <w:color w:val="auto"/>
              </w:rPr>
            </w:pPr>
            <w:r>
              <w:rPr>
                <w:rFonts w:ascii="Times New Roman" w:cs="Times New Roman" w:eastAsia="Times New Roman" w:hAnsi="Times New Roman"/>
                <w:sz w:val="40"/>
                <w:szCs w:val="40"/>
                <w:b w:val="1"/>
                <w:bCs w:val="1"/>
                <w:color w:val="1E1E1E"/>
              </w:rPr>
              <w:t>DULUTH HOLDINGS INC.</w:t>
            </w:r>
          </w:p>
        </w:tc>
      </w:tr>
      <w:tr>
        <w:trPr>
          <w:trHeight w:val="217"/>
        </w:trPr>
        <w:tc>
          <w:tcPr>
            <w:tcW w:w="6360" w:type="dxa"/>
            <w:vAlign w:val="bottom"/>
          </w:tcPr>
          <w:p>
            <w:pPr>
              <w:jc w:val="center"/>
              <w:ind w:left="2700"/>
              <w:spacing w:after="0"/>
              <w:rPr>
                <w:sz w:val="20"/>
                <w:szCs w:val="20"/>
                <w:color w:val="auto"/>
              </w:rPr>
            </w:pPr>
            <w:r>
              <w:rPr>
                <w:rFonts w:ascii="Times New Roman" w:cs="Times New Roman" w:eastAsia="Times New Roman" w:hAnsi="Times New Roman"/>
                <w:sz w:val="16"/>
                <w:szCs w:val="16"/>
                <w:b w:val="1"/>
                <w:bCs w:val="1"/>
                <w:color w:val="1E1E1E"/>
                <w:w w:val="99"/>
              </w:rPr>
              <w:t>(Exact name of registrant as specified in its charter)</w:t>
            </w:r>
          </w:p>
        </w:tc>
        <w:tc>
          <w:tcPr>
            <w:tcW w:w="1860" w:type="dxa"/>
            <w:vAlign w:val="bottom"/>
          </w:tcPr>
          <w:p>
            <w:pPr>
              <w:spacing w:after="0"/>
              <w:rPr>
                <w:sz w:val="18"/>
                <w:szCs w:val="18"/>
                <w:color w:val="auto"/>
              </w:rPr>
            </w:pPr>
          </w:p>
        </w:tc>
      </w:tr>
      <w:tr>
        <w:trPr>
          <w:trHeight w:val="488"/>
        </w:trPr>
        <w:tc>
          <w:tcPr>
            <w:tcW w:w="6360" w:type="dxa"/>
            <w:vAlign w:val="bottom"/>
          </w:tcPr>
          <w:p>
            <w:pPr>
              <w:jc w:val="center"/>
              <w:ind w:right="2600"/>
              <w:spacing w:after="0"/>
              <w:rPr>
                <w:sz w:val="20"/>
                <w:szCs w:val="20"/>
                <w:color w:val="auto"/>
              </w:rPr>
            </w:pPr>
            <w:r>
              <w:rPr>
                <w:rFonts w:ascii="Times New Roman" w:cs="Times New Roman" w:eastAsia="Times New Roman" w:hAnsi="Times New Roman"/>
                <w:sz w:val="18"/>
                <w:szCs w:val="18"/>
                <w:b w:val="1"/>
                <w:bCs w:val="1"/>
                <w:color w:val="1E1E1E"/>
                <w:w w:val="98"/>
              </w:rPr>
              <w:t>Wisconsin</w:t>
            </w:r>
          </w:p>
        </w:tc>
        <w:tc>
          <w:tcPr>
            <w:tcW w:w="186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1E1E1E"/>
              </w:rPr>
              <w:t>39-1564801</w:t>
            </w:r>
          </w:p>
        </w:tc>
      </w:tr>
      <w:tr>
        <w:trPr>
          <w:trHeight w:val="236"/>
        </w:trPr>
        <w:tc>
          <w:tcPr>
            <w:tcW w:w="6360" w:type="dxa"/>
            <w:vAlign w:val="bottom"/>
          </w:tcPr>
          <w:p>
            <w:pPr>
              <w:jc w:val="center"/>
              <w:ind w:right="2620"/>
              <w:spacing w:after="0"/>
              <w:rPr>
                <w:sz w:val="20"/>
                <w:szCs w:val="20"/>
                <w:color w:val="auto"/>
              </w:rPr>
            </w:pPr>
            <w:r>
              <w:rPr>
                <w:rFonts w:ascii="Times New Roman" w:cs="Times New Roman" w:eastAsia="Times New Roman" w:hAnsi="Times New Roman"/>
                <w:sz w:val="16"/>
                <w:szCs w:val="16"/>
                <w:b w:val="1"/>
                <w:bCs w:val="1"/>
                <w:color w:val="1E1E1E"/>
                <w:w w:val="99"/>
              </w:rPr>
              <w:t>(State or other jurisdiction of</w:t>
            </w:r>
          </w:p>
        </w:tc>
        <w:tc>
          <w:tcPr>
            <w:tcW w:w="1860" w:type="dxa"/>
            <w:vAlign w:val="bottom"/>
          </w:tcPr>
          <w:p>
            <w:pPr>
              <w:jc w:val="center"/>
              <w:ind w:left="173"/>
              <w:spacing w:after="0"/>
              <w:rPr>
                <w:sz w:val="20"/>
                <w:szCs w:val="20"/>
                <w:color w:val="auto"/>
              </w:rPr>
            </w:pPr>
            <w:r>
              <w:rPr>
                <w:rFonts w:ascii="Times New Roman" w:cs="Times New Roman" w:eastAsia="Times New Roman" w:hAnsi="Times New Roman"/>
                <w:sz w:val="16"/>
                <w:szCs w:val="16"/>
                <w:b w:val="1"/>
                <w:bCs w:val="1"/>
                <w:color w:val="1E1E1E"/>
              </w:rPr>
              <w:t>(I.R.S. Employer</w:t>
            </w:r>
          </w:p>
        </w:tc>
      </w:tr>
      <w:tr>
        <w:trPr>
          <w:trHeight w:val="217"/>
        </w:trPr>
        <w:tc>
          <w:tcPr>
            <w:tcW w:w="6360" w:type="dxa"/>
            <w:vAlign w:val="bottom"/>
          </w:tcPr>
          <w:p>
            <w:pPr>
              <w:jc w:val="center"/>
              <w:ind w:right="2600"/>
              <w:spacing w:after="0"/>
              <w:rPr>
                <w:sz w:val="20"/>
                <w:szCs w:val="20"/>
                <w:color w:val="auto"/>
              </w:rPr>
            </w:pPr>
            <w:r>
              <w:rPr>
                <w:rFonts w:ascii="Times New Roman" w:cs="Times New Roman" w:eastAsia="Times New Roman" w:hAnsi="Times New Roman"/>
                <w:sz w:val="16"/>
                <w:szCs w:val="16"/>
                <w:b w:val="1"/>
                <w:bCs w:val="1"/>
                <w:color w:val="1E1E1E"/>
              </w:rPr>
              <w:t>incorporation or organization)</w:t>
            </w:r>
          </w:p>
        </w:tc>
        <w:tc>
          <w:tcPr>
            <w:tcW w:w="1860" w:type="dxa"/>
            <w:vAlign w:val="bottom"/>
          </w:tcPr>
          <w:p>
            <w:pPr>
              <w:jc w:val="center"/>
              <w:ind w:left="193"/>
              <w:spacing w:after="0"/>
              <w:rPr>
                <w:sz w:val="20"/>
                <w:szCs w:val="20"/>
                <w:color w:val="auto"/>
              </w:rPr>
            </w:pPr>
            <w:r>
              <w:rPr>
                <w:rFonts w:ascii="Times New Roman" w:cs="Times New Roman" w:eastAsia="Times New Roman" w:hAnsi="Times New Roman"/>
                <w:sz w:val="16"/>
                <w:szCs w:val="16"/>
                <w:b w:val="1"/>
                <w:bCs w:val="1"/>
                <w:color w:val="1E1E1E"/>
                <w:w w:val="99"/>
              </w:rPr>
              <w:t>Identification Number)</w:t>
            </w:r>
          </w:p>
        </w:tc>
      </w:tr>
      <w:tr>
        <w:trPr>
          <w:trHeight w:val="291"/>
        </w:trPr>
        <w:tc>
          <w:tcPr>
            <w:tcW w:w="6360" w:type="dxa"/>
            <w:vAlign w:val="bottom"/>
          </w:tcPr>
          <w:p>
            <w:pPr>
              <w:jc w:val="center"/>
              <w:ind w:right="2600"/>
              <w:spacing w:after="0"/>
              <w:rPr>
                <w:sz w:val="20"/>
                <w:szCs w:val="20"/>
                <w:color w:val="auto"/>
              </w:rPr>
            </w:pPr>
            <w:r>
              <w:rPr>
                <w:rFonts w:ascii="Times New Roman" w:cs="Times New Roman" w:eastAsia="Times New Roman" w:hAnsi="Times New Roman"/>
                <w:sz w:val="18"/>
                <w:szCs w:val="18"/>
                <w:b w:val="1"/>
                <w:bCs w:val="1"/>
                <w:color w:val="1E1E1E"/>
                <w:w w:val="99"/>
              </w:rPr>
              <w:t>201 East Front Street, Mount Horeb, Wisconsin</w:t>
            </w:r>
          </w:p>
        </w:tc>
        <w:tc>
          <w:tcPr>
            <w:tcW w:w="1860" w:type="dxa"/>
            <w:vAlign w:val="bottom"/>
          </w:tcPr>
          <w:p>
            <w:pPr>
              <w:jc w:val="right"/>
              <w:ind w:right="473"/>
              <w:spacing w:after="0"/>
              <w:rPr>
                <w:sz w:val="20"/>
                <w:szCs w:val="20"/>
                <w:color w:val="auto"/>
              </w:rPr>
            </w:pPr>
            <w:r>
              <w:rPr>
                <w:rFonts w:ascii="Times New Roman" w:cs="Times New Roman" w:eastAsia="Times New Roman" w:hAnsi="Times New Roman"/>
                <w:sz w:val="18"/>
                <w:szCs w:val="18"/>
                <w:b w:val="1"/>
                <w:bCs w:val="1"/>
                <w:color w:val="1E1E1E"/>
              </w:rPr>
              <w:t>53572</w:t>
            </w:r>
          </w:p>
        </w:tc>
      </w:tr>
      <w:tr>
        <w:trPr>
          <w:trHeight w:val="251"/>
        </w:trPr>
        <w:tc>
          <w:tcPr>
            <w:tcW w:w="6360" w:type="dxa"/>
            <w:vAlign w:val="bottom"/>
          </w:tcPr>
          <w:p>
            <w:pPr>
              <w:jc w:val="center"/>
              <w:ind w:right="2600"/>
              <w:spacing w:after="0"/>
              <w:rPr>
                <w:sz w:val="20"/>
                <w:szCs w:val="20"/>
                <w:color w:val="auto"/>
              </w:rPr>
            </w:pPr>
            <w:r>
              <w:rPr>
                <w:rFonts w:ascii="Times New Roman" w:cs="Times New Roman" w:eastAsia="Times New Roman" w:hAnsi="Times New Roman"/>
                <w:sz w:val="16"/>
                <w:szCs w:val="16"/>
                <w:b w:val="1"/>
                <w:bCs w:val="1"/>
                <w:color w:val="1E1E1E"/>
              </w:rPr>
              <w:t>(Address of principal executive offices)</w:t>
            </w:r>
          </w:p>
        </w:tc>
        <w:tc>
          <w:tcPr>
            <w:tcW w:w="1860" w:type="dxa"/>
            <w:vAlign w:val="bottom"/>
          </w:tcPr>
          <w:p>
            <w:pPr>
              <w:jc w:val="center"/>
              <w:ind w:left="193"/>
              <w:spacing w:after="0"/>
              <w:rPr>
                <w:sz w:val="20"/>
                <w:szCs w:val="20"/>
                <w:color w:val="auto"/>
              </w:rPr>
            </w:pPr>
            <w:r>
              <w:rPr>
                <w:rFonts w:ascii="Times New Roman" w:cs="Times New Roman" w:eastAsia="Times New Roman" w:hAnsi="Times New Roman"/>
                <w:sz w:val="16"/>
                <w:szCs w:val="16"/>
                <w:b w:val="1"/>
                <w:bCs w:val="1"/>
                <w:color w:val="1E1E1E"/>
                <w:w w:val="99"/>
              </w:rPr>
              <w:t>(Zip Code)</w:t>
            </w: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E1E1E"/>
        </w:rPr>
        <w:t>Registrant’s telephone number, including area code: (608) 424-1544</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E1E1E"/>
        </w:rPr>
        <w:t>Securities registered pursuant to Section 12(b) of the Act:</w:t>
      </w:r>
    </w:p>
    <w:p>
      <w:pPr>
        <w:spacing w:after="0" w:line="63" w:lineRule="exact"/>
        <w:rPr>
          <w:sz w:val="20"/>
          <w:szCs w:val="20"/>
          <w:color w:val="auto"/>
        </w:rPr>
      </w:pPr>
    </w:p>
    <w:tbl>
      <w:tblPr>
        <w:tblLayout w:type="fixed"/>
        <w:tblInd w:w="300" w:type="dxa"/>
        <w:tblCellMar>
          <w:top w:w="0" w:type="dxa"/>
          <w:left w:w="0" w:type="dxa"/>
          <w:bottom w:w="0" w:type="dxa"/>
          <w:right w:w="0" w:type="dxa"/>
        </w:tblCellMar>
      </w:tblPr>
      <w:tr>
        <w:trPr>
          <w:trHeight w:val="220"/>
        </w:trPr>
        <w:tc>
          <w:tcPr>
            <w:tcW w:w="36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Title of each class</w:t>
            </w:r>
          </w:p>
        </w:tc>
        <w:tc>
          <w:tcPr>
            <w:tcW w:w="30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Trading Symbol(s)</w:t>
            </w:r>
          </w:p>
        </w:tc>
        <w:tc>
          <w:tcPr>
            <w:tcW w:w="36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Name of each exchange on which registered</w:t>
            </w:r>
          </w:p>
        </w:tc>
      </w:tr>
      <w:tr>
        <w:trPr>
          <w:trHeight w:val="264"/>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Class B Common Stock, No Par Value</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DLTH</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NASDAQ Global Select Market</w:t>
            </w:r>
          </w:p>
        </w:tc>
      </w:tr>
    </w:tbl>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E1E1E"/>
        </w:rPr>
        <w:t>Securities registered pursuant to Section 12(g) of the Act:</w:t>
      </w:r>
    </w:p>
    <w:p>
      <w:pPr>
        <w:jc w:val="center"/>
        <w:spacing w:after="0"/>
        <w:rPr>
          <w:sz w:val="20"/>
          <w:szCs w:val="20"/>
          <w:color w:val="auto"/>
        </w:rPr>
      </w:pPr>
      <w:r>
        <w:rPr>
          <w:rFonts w:ascii="Times New Roman" w:cs="Times New Roman" w:eastAsia="Times New Roman" w:hAnsi="Times New Roman"/>
          <w:sz w:val="18"/>
          <w:szCs w:val="18"/>
          <w:b w:val="1"/>
          <w:bCs w:val="1"/>
          <w:color w:val="1E1E1E"/>
        </w:rPr>
        <w:t>None</w:t>
      </w:r>
    </w:p>
    <w:p>
      <w:pPr>
        <w:spacing w:after="0" w:line="65" w:lineRule="exact"/>
        <w:rPr>
          <w:sz w:val="20"/>
          <w:szCs w:val="20"/>
          <w:color w:val="auto"/>
        </w:rPr>
      </w:pPr>
    </w:p>
    <w:p>
      <w:pPr>
        <w:ind w:left="360" w:right="340"/>
        <w:spacing w:after="0" w:line="308" w:lineRule="auto"/>
        <w:rPr>
          <w:sz w:val="20"/>
          <w:szCs w:val="20"/>
          <w:color w:val="auto"/>
        </w:rPr>
      </w:pPr>
      <w:r>
        <w:rPr>
          <w:rFonts w:ascii="Times New Roman" w:cs="Times New Roman" w:eastAsia="Times New Roman" w:hAnsi="Times New Roman"/>
          <w:sz w:val="18"/>
          <w:szCs w:val="18"/>
          <w:color w:val="1E1E1E"/>
        </w:rPr>
        <w:t>Indicate by check mark if the registrant is a well-known seasoned issuer, as defined in Rule 405 of the Securities Act.</w:t>
      </w:r>
      <w:r>
        <w:rPr>
          <w:sz w:val="20"/>
          <w:szCs w:val="20"/>
          <w:color w:val="auto"/>
        </w:rPr>
        <w:t xml:space="preserve"> </w:t>
      </w:r>
      <w:r>
        <w:rPr>
          <w:rFonts w:ascii="Times New Roman" w:cs="Times New Roman" w:eastAsia="Times New Roman" w:hAnsi="Times New Roman"/>
          <w:sz w:val="18"/>
          <w:szCs w:val="18"/>
          <w:color w:val="1E1E1E"/>
        </w:rPr>
        <w:t xml:space="preserve">Yes </w:t>
      </w:r>
      <w:r>
        <w:rPr>
          <w:rFonts w:ascii="Wingdings" w:cs="Wingdings" w:eastAsia="Wingdings" w:hAnsi="Wingdings"/>
          <w:sz w:val="18"/>
          <w:szCs w:val="18"/>
          <w:color w:val="1E1E1E"/>
        </w:rPr>
        <w:t>¨</w:t>
      </w:r>
      <w:r>
        <w:rPr>
          <w:rFonts w:ascii="Times New Roman" w:cs="Times New Roman" w:eastAsia="Times New Roman" w:hAnsi="Times New Roman"/>
          <w:sz w:val="18"/>
          <w:szCs w:val="18"/>
          <w:color w:val="1E1E1E"/>
        </w:rPr>
        <w:t xml:space="preserve"> No </w:t>
      </w:r>
      <w:r>
        <w:rPr>
          <w:rFonts w:ascii="Wingdings" w:cs="Wingdings" w:eastAsia="Wingdings" w:hAnsi="Wingdings"/>
          <w:sz w:val="18"/>
          <w:szCs w:val="18"/>
          <w:color w:val="1E1E1E"/>
        </w:rPr>
        <w:t>x</w:t>
      </w:r>
      <w:r>
        <w:rPr>
          <w:rFonts w:ascii="Times New Roman" w:cs="Times New Roman" w:eastAsia="Times New Roman" w:hAnsi="Times New Roman"/>
          <w:sz w:val="18"/>
          <w:szCs w:val="18"/>
          <w:color w:val="1E1E1E"/>
        </w:rPr>
        <w:t xml:space="preserve"> Indicate by check mark if the registrant is not required to file reports pursuant to Section 13 or Section 15(d) of the Act. Yes </w:t>
      </w:r>
      <w:r>
        <w:rPr>
          <w:rFonts w:ascii="Wingdings" w:cs="Wingdings" w:eastAsia="Wingdings" w:hAnsi="Wingdings"/>
          <w:sz w:val="18"/>
          <w:szCs w:val="18"/>
          <w:color w:val="1E1E1E"/>
        </w:rPr>
        <w:t>¨</w:t>
      </w:r>
      <w:r>
        <w:rPr>
          <w:rFonts w:ascii="Times New Roman" w:cs="Times New Roman" w:eastAsia="Times New Roman" w:hAnsi="Times New Roman"/>
          <w:sz w:val="18"/>
          <w:szCs w:val="18"/>
          <w:color w:val="1E1E1E"/>
        </w:rPr>
        <w:t xml:space="preserve"> No </w:t>
      </w:r>
      <w:r>
        <w:rPr>
          <w:rFonts w:ascii="Wingdings" w:cs="Wingdings" w:eastAsia="Wingdings" w:hAnsi="Wingdings"/>
          <w:sz w:val="18"/>
          <w:szCs w:val="18"/>
          <w:color w:val="1E1E1E"/>
        </w:rPr>
        <w:t>x</w:t>
      </w:r>
    </w:p>
    <w:p>
      <w:pPr>
        <w:spacing w:after="0" w:line="2" w:lineRule="exact"/>
        <w:rPr>
          <w:sz w:val="20"/>
          <w:szCs w:val="20"/>
          <w:color w:val="auto"/>
        </w:rPr>
      </w:pPr>
    </w:p>
    <w:p>
      <w:pPr>
        <w:ind w:right="100" w:firstLine="360"/>
        <w:spacing w:after="0" w:line="260" w:lineRule="auto"/>
        <w:rPr>
          <w:sz w:val="20"/>
          <w:szCs w:val="20"/>
          <w:color w:val="auto"/>
        </w:rPr>
      </w:pPr>
      <w:r>
        <w:rPr>
          <w:rFonts w:ascii="Times New Roman" w:cs="Times New Roman" w:eastAsia="Times New Roman" w:hAnsi="Times New Roman"/>
          <w:sz w:val="18"/>
          <w:szCs w:val="18"/>
          <w:color w:val="1E1E1E"/>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color w:val="1E1E1E"/>
        </w:rPr>
        <w:t>x</w:t>
      </w:r>
      <w:r>
        <w:rPr>
          <w:rFonts w:ascii="Times New Roman" w:cs="Times New Roman" w:eastAsia="Times New Roman" w:hAnsi="Times New Roman"/>
          <w:sz w:val="18"/>
          <w:szCs w:val="18"/>
          <w:color w:val="1E1E1E"/>
        </w:rPr>
        <w:t xml:space="preserve"> No </w:t>
      </w:r>
      <w:r>
        <w:rPr>
          <w:rFonts w:ascii="Wingdings" w:cs="Wingdings" w:eastAsia="Wingdings" w:hAnsi="Wingdings"/>
          <w:sz w:val="18"/>
          <w:szCs w:val="18"/>
          <w:color w:val="1E1E1E"/>
        </w:rPr>
        <w:t>¨</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1E1E1E"/>
        </w:rPr>
        <w:t>Indicate by check mark whether the registrant has submitted electronically every Interactive Data File required to be submitted pursuant to Rule</w:t>
      </w:r>
    </w:p>
    <w:p>
      <w:pPr>
        <w:spacing w:after="0" w:line="275" w:lineRule="auto"/>
        <w:rPr>
          <w:sz w:val="20"/>
          <w:szCs w:val="20"/>
          <w:color w:val="auto"/>
        </w:rPr>
      </w:pPr>
      <w:r>
        <w:rPr>
          <w:rFonts w:ascii="Times New Roman" w:cs="Times New Roman" w:eastAsia="Times New Roman" w:hAnsi="Times New Roman"/>
          <w:sz w:val="18"/>
          <w:szCs w:val="18"/>
          <w:color w:val="1E1E1E"/>
        </w:rPr>
        <w:t xml:space="preserve">405 of Regulation S-T (§232.405 of this chapter) during the preceding 12 months (or for such shorter period that the registrant was required to submit such files). Yes </w:t>
      </w:r>
      <w:r>
        <w:rPr>
          <w:rFonts w:ascii="Wingdings" w:cs="Wingdings" w:eastAsia="Wingdings" w:hAnsi="Wingdings"/>
          <w:sz w:val="18"/>
          <w:szCs w:val="18"/>
          <w:color w:val="1E1E1E"/>
        </w:rPr>
        <w:t>x</w:t>
      </w:r>
      <w:r>
        <w:rPr>
          <w:rFonts w:ascii="Times New Roman" w:cs="Times New Roman" w:eastAsia="Times New Roman" w:hAnsi="Times New Roman"/>
          <w:sz w:val="18"/>
          <w:szCs w:val="18"/>
          <w:color w:val="1E1E1E"/>
        </w:rPr>
        <w:t xml:space="preserve"> No </w:t>
      </w:r>
      <w:r>
        <w:rPr>
          <w:rFonts w:ascii="Wingdings" w:cs="Wingdings" w:eastAsia="Wingdings" w:hAnsi="Wingdings"/>
          <w:sz w:val="18"/>
          <w:szCs w:val="18"/>
          <w:color w:val="1E1E1E"/>
        </w:rPr>
        <w:t>¨</w:t>
      </w:r>
    </w:p>
    <w:p>
      <w:pPr>
        <w:spacing w:after="0" w:line="1" w:lineRule="exact"/>
        <w:rPr>
          <w:sz w:val="20"/>
          <w:szCs w:val="20"/>
          <w:color w:val="auto"/>
        </w:rPr>
      </w:pPr>
    </w:p>
    <w:p>
      <w:pPr>
        <w:ind w:right="360" w:firstLine="360"/>
        <w:spacing w:after="0" w:line="260" w:lineRule="auto"/>
        <w:rPr>
          <w:sz w:val="20"/>
          <w:szCs w:val="20"/>
          <w:color w:val="auto"/>
        </w:rPr>
      </w:pPr>
      <w:r>
        <w:rPr>
          <w:rFonts w:ascii="Times New Roman" w:cs="Times New Roman" w:eastAsia="Times New Roman" w:hAnsi="Times New Roman"/>
          <w:sz w:val="18"/>
          <w:szCs w:val="18"/>
          <w:color w:val="1E1E1E"/>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24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1E1E1E"/>
              </w:rPr>
              <w:t>Large accelerated filer</w:t>
            </w:r>
          </w:p>
        </w:tc>
        <w:tc>
          <w:tcPr>
            <w:tcW w:w="2760" w:type="dxa"/>
            <w:vAlign w:val="bottom"/>
          </w:tcPr>
          <w:p>
            <w:pPr>
              <w:ind w:left="200"/>
              <w:spacing w:after="0"/>
              <w:rPr>
                <w:sz w:val="20"/>
                <w:szCs w:val="20"/>
                <w:color w:val="auto"/>
              </w:rPr>
            </w:pPr>
            <w:r>
              <w:rPr>
                <w:rFonts w:ascii="Wingdings" w:cs="Wingdings" w:eastAsia="Wingdings" w:hAnsi="Wingdings"/>
                <w:sz w:val="18"/>
                <w:szCs w:val="18"/>
                <w:color w:val="1E1E1E"/>
              </w:rPr>
              <w:t>o</w:t>
            </w:r>
          </w:p>
        </w:tc>
        <w:tc>
          <w:tcPr>
            <w:tcW w:w="4740" w:type="dxa"/>
            <w:vAlign w:val="bottom"/>
          </w:tcPr>
          <w:p>
            <w:pPr>
              <w:ind w:left="2380"/>
              <w:spacing w:after="0"/>
              <w:rPr>
                <w:sz w:val="20"/>
                <w:szCs w:val="20"/>
                <w:color w:val="auto"/>
              </w:rPr>
            </w:pPr>
            <w:r>
              <w:rPr>
                <w:rFonts w:ascii="Times New Roman" w:cs="Times New Roman" w:eastAsia="Times New Roman" w:hAnsi="Times New Roman"/>
                <w:sz w:val="18"/>
                <w:szCs w:val="18"/>
                <w:color w:val="1E1E1E"/>
              </w:rPr>
              <w:t>Accelerated filer</w:t>
            </w:r>
          </w:p>
        </w:tc>
        <w:tc>
          <w:tcPr>
            <w:tcW w:w="580" w:type="dxa"/>
            <w:vAlign w:val="bottom"/>
          </w:tcPr>
          <w:p>
            <w:pPr>
              <w:ind w:left="380"/>
              <w:spacing w:after="0"/>
              <w:rPr>
                <w:sz w:val="20"/>
                <w:szCs w:val="20"/>
                <w:color w:val="auto"/>
              </w:rPr>
            </w:pPr>
            <w:r>
              <w:rPr>
                <w:rFonts w:ascii="Wingdings" w:cs="Wingdings" w:eastAsia="Wingdings" w:hAnsi="Wingdings"/>
                <w:sz w:val="18"/>
                <w:szCs w:val="18"/>
                <w:color w:val="1E1E1E"/>
              </w:rPr>
              <w:t>o</w:t>
            </w:r>
          </w:p>
        </w:tc>
      </w:tr>
      <w:tr>
        <w:trPr>
          <w:trHeight w:val="26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1E1E1E"/>
              </w:rPr>
              <w:t>Non-accelerated filer</w:t>
            </w:r>
          </w:p>
        </w:tc>
        <w:tc>
          <w:tcPr>
            <w:tcW w:w="2760" w:type="dxa"/>
            <w:vAlign w:val="bottom"/>
          </w:tcPr>
          <w:p>
            <w:pPr>
              <w:ind w:left="200"/>
              <w:spacing w:after="0"/>
              <w:rPr>
                <w:sz w:val="20"/>
                <w:szCs w:val="20"/>
                <w:color w:val="auto"/>
              </w:rPr>
            </w:pPr>
            <w:r>
              <w:rPr>
                <w:rFonts w:ascii="Wingdings" w:cs="Wingdings" w:eastAsia="Wingdings" w:hAnsi="Wingdings"/>
                <w:sz w:val="18"/>
                <w:szCs w:val="18"/>
                <w:color w:val="1E1E1E"/>
              </w:rPr>
              <w:t>x</w:t>
            </w:r>
          </w:p>
        </w:tc>
        <w:tc>
          <w:tcPr>
            <w:tcW w:w="4740" w:type="dxa"/>
            <w:vAlign w:val="bottom"/>
          </w:tcPr>
          <w:p>
            <w:pPr>
              <w:ind w:left="2380"/>
              <w:spacing w:after="0"/>
              <w:rPr>
                <w:sz w:val="20"/>
                <w:szCs w:val="20"/>
                <w:color w:val="auto"/>
              </w:rPr>
            </w:pPr>
            <w:r>
              <w:rPr>
                <w:rFonts w:ascii="Times New Roman" w:cs="Times New Roman" w:eastAsia="Times New Roman" w:hAnsi="Times New Roman"/>
                <w:sz w:val="18"/>
                <w:szCs w:val="18"/>
                <w:color w:val="1E1E1E"/>
              </w:rPr>
              <w:t>Smaller reporting company</w:t>
            </w:r>
          </w:p>
        </w:tc>
        <w:tc>
          <w:tcPr>
            <w:tcW w:w="580" w:type="dxa"/>
            <w:vAlign w:val="bottom"/>
          </w:tcPr>
          <w:p>
            <w:pPr>
              <w:ind w:left="380"/>
              <w:spacing w:after="0"/>
              <w:rPr>
                <w:sz w:val="20"/>
                <w:szCs w:val="20"/>
                <w:color w:val="auto"/>
              </w:rPr>
            </w:pPr>
            <w:r>
              <w:rPr>
                <w:rFonts w:ascii="Wingdings" w:cs="Wingdings" w:eastAsia="Wingdings" w:hAnsi="Wingdings"/>
                <w:sz w:val="18"/>
                <w:szCs w:val="18"/>
                <w:color w:val="1E1E1E"/>
                <w:w w:val="94"/>
              </w:rPr>
              <w:t>x</w:t>
            </w:r>
          </w:p>
        </w:tc>
      </w:tr>
      <w:tr>
        <w:trPr>
          <w:trHeight w:val="26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1E1E1E"/>
              </w:rPr>
              <w:t>Emerging Growth Company</w:t>
            </w:r>
          </w:p>
        </w:tc>
        <w:tc>
          <w:tcPr>
            <w:tcW w:w="2760" w:type="dxa"/>
            <w:vAlign w:val="bottom"/>
          </w:tcPr>
          <w:p>
            <w:pPr>
              <w:ind w:left="200"/>
              <w:spacing w:after="0"/>
              <w:rPr>
                <w:sz w:val="20"/>
                <w:szCs w:val="20"/>
                <w:color w:val="auto"/>
              </w:rPr>
            </w:pPr>
            <w:r>
              <w:rPr>
                <w:rFonts w:ascii="Wingdings" w:cs="Wingdings" w:eastAsia="Wingdings" w:hAnsi="Wingdings"/>
                <w:sz w:val="18"/>
                <w:szCs w:val="18"/>
                <w:color w:val="1E1E1E"/>
              </w:rPr>
              <w:t>o</w:t>
            </w:r>
          </w:p>
        </w:tc>
        <w:tc>
          <w:tcPr>
            <w:tcW w:w="4740" w:type="dxa"/>
            <w:vAlign w:val="bottom"/>
          </w:tcPr>
          <w:p>
            <w:pPr>
              <w:spacing w:after="0"/>
              <w:rPr>
                <w:sz w:val="23"/>
                <w:szCs w:val="23"/>
                <w:color w:val="auto"/>
              </w:rPr>
            </w:pPr>
          </w:p>
        </w:tc>
        <w:tc>
          <w:tcPr>
            <w:tcW w:w="580" w:type="dxa"/>
            <w:vAlign w:val="bottom"/>
          </w:tcPr>
          <w:p>
            <w:pPr>
              <w:spacing w:after="0"/>
              <w:rPr>
                <w:sz w:val="23"/>
                <w:szCs w:val="23"/>
                <w:color w:val="auto"/>
              </w:rPr>
            </w:pPr>
          </w:p>
        </w:tc>
      </w:tr>
    </w:tbl>
    <w:p>
      <w:pPr>
        <w:spacing w:after="0" w:line="35" w:lineRule="exact"/>
        <w:rPr>
          <w:sz w:val="20"/>
          <w:szCs w:val="20"/>
          <w:color w:val="auto"/>
        </w:rPr>
      </w:pPr>
    </w:p>
    <w:p>
      <w:pPr>
        <w:ind w:firstLine="360"/>
        <w:spacing w:after="0" w:line="275" w:lineRule="auto"/>
        <w:rPr>
          <w:sz w:val="20"/>
          <w:szCs w:val="20"/>
          <w:color w:val="auto"/>
        </w:rPr>
      </w:pPr>
      <w:r>
        <w:rPr>
          <w:rFonts w:ascii="Times New Roman" w:cs="Times New Roman" w:eastAsia="Times New Roman" w:hAnsi="Times New Roman"/>
          <w:sz w:val="18"/>
          <w:szCs w:val="18"/>
          <w:color w:val="1E1E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color w:val="1E1E1E"/>
        </w:rPr>
        <w:t>¨</w:t>
      </w:r>
    </w:p>
    <w:p>
      <w:pPr>
        <w:spacing w:after="0" w:line="1"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18"/>
          <w:szCs w:val="18"/>
          <w:color w:val="1E1E1E"/>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color w:val="1E1E1E"/>
        </w:rPr>
        <w:t>o</w:t>
      </w:r>
    </w:p>
    <w:p>
      <w:pPr>
        <w:spacing w:after="0" w:line="9" w:lineRule="exact"/>
        <w:rPr>
          <w:sz w:val="20"/>
          <w:szCs w:val="20"/>
          <w:color w:val="auto"/>
        </w:rPr>
      </w:pPr>
    </w:p>
    <w:p>
      <w:pPr>
        <w:ind w:right="620" w:firstLine="360"/>
        <w:spacing w:after="0" w:line="272" w:lineRule="auto"/>
        <w:rPr>
          <w:sz w:val="20"/>
          <w:szCs w:val="20"/>
          <w:color w:val="auto"/>
        </w:rPr>
      </w:pPr>
      <w:r>
        <w:rPr>
          <w:rFonts w:ascii="Times New Roman" w:cs="Times New Roman" w:eastAsia="Times New Roman" w:hAnsi="Times New Roman"/>
          <w:sz w:val="18"/>
          <w:szCs w:val="18"/>
          <w:color w:val="1E1E1E"/>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color w:val="1E1E1E"/>
        </w:rPr>
        <w:t>x</w:t>
      </w:r>
    </w:p>
    <w:p>
      <w:pPr>
        <w:spacing w:after="0" w:line="1" w:lineRule="exact"/>
        <w:rPr>
          <w:sz w:val="20"/>
          <w:szCs w:val="20"/>
          <w:color w:val="auto"/>
        </w:rPr>
      </w:pPr>
    </w:p>
    <w:p>
      <w:pPr>
        <w:ind w:right="960" w:firstLine="360"/>
        <w:spacing w:after="0" w:line="275" w:lineRule="auto"/>
        <w:rPr>
          <w:sz w:val="20"/>
          <w:szCs w:val="20"/>
          <w:color w:val="auto"/>
        </w:rPr>
      </w:pPr>
      <w:r>
        <w:rPr>
          <w:rFonts w:ascii="Times New Roman" w:cs="Times New Roman" w:eastAsia="Times New Roman" w:hAnsi="Times New Roman"/>
          <w:sz w:val="18"/>
          <w:szCs w:val="18"/>
          <w:color w:val="1E1E1E"/>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color w:val="1E1E1E"/>
        </w:rPr>
        <w:t>x</w:t>
      </w:r>
    </w:p>
    <w:p>
      <w:pPr>
        <w:spacing w:after="0" w:line="1" w:lineRule="exact"/>
        <w:rPr>
          <w:sz w:val="20"/>
          <w:szCs w:val="20"/>
          <w:color w:val="auto"/>
        </w:rPr>
      </w:pPr>
    </w:p>
    <w:p>
      <w:pPr>
        <w:ind w:left="360"/>
        <w:spacing w:after="0"/>
        <w:tabs>
          <w:tab w:leader="none" w:pos="8800" w:val="left"/>
          <w:tab w:leader="none" w:pos="9580" w:val="left"/>
        </w:tabs>
        <w:rPr>
          <w:sz w:val="20"/>
          <w:szCs w:val="20"/>
          <w:color w:val="auto"/>
        </w:rPr>
      </w:pPr>
      <w:r>
        <w:rPr>
          <w:rFonts w:ascii="Times New Roman" w:cs="Times New Roman" w:eastAsia="Times New Roman" w:hAnsi="Times New Roman"/>
          <w:sz w:val="18"/>
          <w:szCs w:val="18"/>
          <w:color w:val="1E1E1E"/>
        </w:rPr>
        <w:t>Indicate by check mark whether the registrant is a shell company (as defined in Rule 12b-2 of the Exchange Act).</w:t>
        <w:tab/>
        <w:t xml:space="preserve">Yes  </w:t>
      </w:r>
      <w:r>
        <w:rPr>
          <w:rFonts w:ascii="Wingdings" w:cs="Wingdings" w:eastAsia="Wingdings" w:hAnsi="Wingdings"/>
          <w:sz w:val="18"/>
          <w:szCs w:val="18"/>
          <w:color w:val="1E1E1E"/>
        </w:rPr>
        <w:t>¨</w:t>
      </w:r>
      <w:r>
        <w:rPr>
          <w:rFonts w:ascii="Times New Roman" w:cs="Times New Roman" w:eastAsia="Times New Roman" w:hAnsi="Times New Roman"/>
          <w:sz w:val="18"/>
          <w:szCs w:val="18"/>
          <w:color w:val="1E1E1E"/>
        </w:rPr>
        <w:tab/>
        <w:t xml:space="preserve">No </w:t>
      </w:r>
      <w:r>
        <w:rPr>
          <w:rFonts w:ascii="Wingdings" w:cs="Wingdings" w:eastAsia="Wingdings" w:hAnsi="Wingdings"/>
          <w:sz w:val="18"/>
          <w:szCs w:val="18"/>
          <w:color w:val="1E1E1E"/>
        </w:rPr>
        <w:t>x</w:t>
      </w:r>
    </w:p>
    <w:p>
      <w:pPr>
        <w:spacing w:after="0" w:line="62" w:lineRule="exact"/>
        <w:rPr>
          <w:sz w:val="20"/>
          <w:szCs w:val="20"/>
          <w:color w:val="auto"/>
        </w:rPr>
      </w:pPr>
    </w:p>
    <w:p>
      <w:pPr>
        <w:ind w:right="360" w:firstLine="360"/>
        <w:spacing w:after="0" w:line="272" w:lineRule="auto"/>
        <w:rPr>
          <w:sz w:val="20"/>
          <w:szCs w:val="20"/>
          <w:color w:val="auto"/>
        </w:rPr>
      </w:pPr>
      <w:r>
        <w:rPr>
          <w:rFonts w:ascii="Times New Roman" w:cs="Times New Roman" w:eastAsia="Times New Roman" w:hAnsi="Times New Roman"/>
          <w:sz w:val="18"/>
          <w:szCs w:val="18"/>
          <w:color w:val="1E1E1E"/>
        </w:rPr>
        <w:t>The aggregate market value of voting stock held by non-affiliates of the Registrant was approximately $51.2 million based upon the closing price on the last business day of the registrant’s most recently completed second fiscal quarter (July 28, 2024).</w:t>
      </w:r>
    </w:p>
    <w:p>
      <w:pPr>
        <w:spacing w:after="0" w:line="1"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18"/>
          <w:szCs w:val="18"/>
          <w:color w:val="1E1E1E"/>
        </w:rPr>
        <w:t>The number of shares outstanding of the Registrant’s Class A common stock, no par value, as of March 19, 2025, was 3,364,200. The number of shares outstanding of the Registrant’s Class B common stock, no par value, as of March 19, 2025 was 31,774,348.</w:t>
      </w:r>
    </w:p>
    <w:p>
      <w:pPr>
        <w:sectPr>
          <w:pgSz w:w="11880" w:h="15480" w:orient="portrait"/>
          <w:cols w:equalWidth="0" w:num="1">
            <w:col w:w="10800"/>
          </w:cols>
          <w:pgMar w:left="540" w:top="586" w:right="540" w:bottom="246" w:gutter="0" w:footer="0" w:header="0"/>
        </w:sectPr>
      </w:pPr>
    </w:p>
    <w:bookmarkStart w:id="5" w:name="page6"/>
    <w:bookmarkEnd w:id="5"/>
    <w:p>
      <w:pPr>
        <w:jc w:val="center"/>
        <w:ind w:right="-499"/>
        <w:spacing w:after="0"/>
        <w:rPr>
          <w:sz w:val="20"/>
          <w:szCs w:val="20"/>
          <w:color w:val="auto"/>
        </w:rPr>
      </w:pPr>
      <w:r>
        <w:rPr>
          <w:rFonts w:ascii="Times New Roman" w:cs="Times New Roman" w:eastAsia="Times New Roman" w:hAnsi="Times New Roman"/>
          <w:sz w:val="18"/>
          <w:szCs w:val="18"/>
          <w:b w:val="1"/>
          <w:bCs w:val="1"/>
          <w:color w:val="1E1E1E"/>
        </w:rPr>
        <w:t>DOCUMENTS INCORPORATED BY REFERENCE</w:t>
      </w:r>
    </w:p>
    <w:p>
      <w:pPr>
        <w:spacing w:after="0" w:line="65"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18"/>
          <w:szCs w:val="18"/>
          <w:color w:val="1E1E1E"/>
        </w:rPr>
        <w:t>Portions of the registrant’s definitive proxy statement to be filed within 120 days of February 2, 2025 are incorporated by reference in this Annual Report on Form 10-K in response to Part III, Items 10, 11, 12, 13 and 14.</w:t>
      </w:r>
    </w:p>
    <w:p>
      <w:pPr>
        <w:sectPr>
          <w:pgSz w:w="11880" w:h="15480" w:orient="portrait"/>
          <w:cols w:equalWidth="0" w:num="1">
            <w:col w:w="10300"/>
          </w:cols>
          <w:pgMar w:left="540" w:top="515" w:right="10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1E1E1E"/>
        </w:rPr>
        <w:t>TABLE OF CONTENTS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40" w:type="dxa"/>
            <w:vAlign w:val="bottom"/>
          </w:tcPr>
          <w:p>
            <w:pPr>
              <w:spacing w:after="0"/>
              <w:rPr>
                <w:sz w:val="18"/>
                <w:szCs w:val="18"/>
                <w:color w:val="auto"/>
              </w:rPr>
            </w:pPr>
          </w:p>
        </w:tc>
        <w:tc>
          <w:tcPr>
            <w:tcW w:w="8320" w:type="dxa"/>
            <w:vAlign w:val="bottom"/>
            <w:vMerge w:val="restart"/>
          </w:tcPr>
          <w:p>
            <w:pPr>
              <w:jc w:val="center"/>
              <w:ind w:right="59"/>
              <w:spacing w:after="0"/>
              <w:rPr>
                <w:sz w:val="20"/>
                <w:szCs w:val="20"/>
                <w:color w:val="auto"/>
              </w:rPr>
            </w:pPr>
            <w:r>
              <w:rPr>
                <w:rFonts w:ascii="Times New Roman" w:cs="Times New Roman" w:eastAsia="Times New Roman" w:hAnsi="Times New Roman"/>
                <w:sz w:val="20"/>
                <w:szCs w:val="20"/>
                <w:b w:val="1"/>
                <w:bCs w:val="1"/>
                <w:color w:val="1E1E1E"/>
              </w:rPr>
              <w:t>PART I</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1E1E1E"/>
              </w:rPr>
              <w:t>Page</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832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ITEM 1.</w:t>
            </w: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BUSINESS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0" w:type="dxa"/>
            <w:vAlign w:val="bottom"/>
          </w:tcPr>
          <w:p>
            <w:pPr>
              <w:spacing w:after="0"/>
              <w:rPr>
                <w:sz w:val="1"/>
                <w:szCs w:val="1"/>
                <w:color w:val="auto"/>
              </w:rPr>
            </w:pPr>
          </w:p>
        </w:tc>
      </w:tr>
      <w:tr>
        <w:trPr>
          <w:trHeight w:val="461"/>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ITEM 1A.</w:t>
            </w: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w:t>
            </w:r>
          </w:p>
        </w:tc>
        <w:tc>
          <w:tcPr>
            <w:tcW w:w="0" w:type="dxa"/>
            <w:vAlign w:val="bottom"/>
          </w:tcPr>
          <w:p>
            <w:pPr>
              <w:spacing w:after="0"/>
              <w:rPr>
                <w:sz w:val="1"/>
                <w:szCs w:val="1"/>
                <w:color w:val="auto"/>
              </w:rPr>
            </w:pPr>
          </w:p>
        </w:tc>
      </w:tr>
      <w:tr>
        <w:trPr>
          <w:trHeight w:val="456"/>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ITEM 1B.</w:t>
            </w: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UNRESOLVED STAFF COMMENTS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w:t>
            </w:r>
          </w:p>
        </w:tc>
        <w:tc>
          <w:tcPr>
            <w:tcW w:w="0" w:type="dxa"/>
            <w:vAlign w:val="bottom"/>
          </w:tcPr>
          <w:p>
            <w:pPr>
              <w:spacing w:after="0"/>
              <w:rPr>
                <w:sz w:val="1"/>
                <w:szCs w:val="1"/>
                <w:color w:val="auto"/>
              </w:rPr>
            </w:pPr>
          </w:p>
        </w:tc>
      </w:tr>
      <w:tr>
        <w:trPr>
          <w:trHeight w:val="461"/>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ITEM 1C.</w:t>
            </w: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CYBERSECURITY</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w:t>
            </w:r>
          </w:p>
        </w:tc>
        <w:tc>
          <w:tcPr>
            <w:tcW w:w="0" w:type="dxa"/>
            <w:vAlign w:val="bottom"/>
          </w:tcPr>
          <w:p>
            <w:pPr>
              <w:spacing w:after="0"/>
              <w:rPr>
                <w:sz w:val="1"/>
                <w:szCs w:val="1"/>
                <w:color w:val="auto"/>
              </w:rPr>
            </w:pPr>
          </w:p>
        </w:tc>
      </w:tr>
      <w:tr>
        <w:trPr>
          <w:trHeight w:val="389"/>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ITEM 2.</w:t>
            </w: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PROPERTIES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w:t>
            </w:r>
          </w:p>
        </w:tc>
        <w:tc>
          <w:tcPr>
            <w:tcW w:w="0" w:type="dxa"/>
            <w:vAlign w:val="bottom"/>
          </w:tcPr>
          <w:p>
            <w:pPr>
              <w:spacing w:after="0"/>
              <w:rPr>
                <w:sz w:val="1"/>
                <w:szCs w:val="1"/>
                <w:color w:val="auto"/>
              </w:rPr>
            </w:pPr>
          </w:p>
        </w:tc>
      </w:tr>
      <w:tr>
        <w:trPr>
          <w:trHeight w:val="461"/>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ITEM 3.</w:t>
            </w: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w:t>
            </w:r>
          </w:p>
        </w:tc>
        <w:tc>
          <w:tcPr>
            <w:tcW w:w="0" w:type="dxa"/>
            <w:vAlign w:val="bottom"/>
          </w:tcPr>
          <w:p>
            <w:pPr>
              <w:spacing w:after="0"/>
              <w:rPr>
                <w:sz w:val="1"/>
                <w:szCs w:val="1"/>
                <w:color w:val="auto"/>
              </w:rPr>
            </w:pPr>
          </w:p>
        </w:tc>
      </w:tr>
      <w:tr>
        <w:trPr>
          <w:trHeight w:val="461"/>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ITEM 4.</w:t>
            </w: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w:t>
            </w:r>
          </w:p>
        </w:tc>
        <w:tc>
          <w:tcPr>
            <w:tcW w:w="0" w:type="dxa"/>
            <w:vAlign w:val="bottom"/>
          </w:tcPr>
          <w:p>
            <w:pPr>
              <w:spacing w:after="0"/>
              <w:rPr>
                <w:sz w:val="1"/>
                <w:szCs w:val="1"/>
                <w:color w:val="auto"/>
              </w:rPr>
            </w:pPr>
          </w:p>
        </w:tc>
      </w:tr>
      <w:tr>
        <w:trPr>
          <w:trHeight w:val="456"/>
        </w:trPr>
        <w:tc>
          <w:tcPr>
            <w:tcW w:w="940" w:type="dxa"/>
            <w:vAlign w:val="bottom"/>
          </w:tcPr>
          <w:p>
            <w:pPr>
              <w:spacing w:after="0"/>
              <w:rPr>
                <w:sz w:val="24"/>
                <w:szCs w:val="24"/>
                <w:color w:val="auto"/>
              </w:rPr>
            </w:pP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INFORMATION ABOUT OUR EXECUTIVE OFFICERS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w:t>
            </w:r>
          </w:p>
        </w:tc>
        <w:tc>
          <w:tcPr>
            <w:tcW w:w="0" w:type="dxa"/>
            <w:vAlign w:val="bottom"/>
          </w:tcPr>
          <w:p>
            <w:pPr>
              <w:spacing w:after="0"/>
              <w:rPr>
                <w:sz w:val="1"/>
                <w:szCs w:val="1"/>
                <w:color w:val="auto"/>
              </w:rPr>
            </w:pPr>
          </w:p>
        </w:tc>
      </w:tr>
      <w:tr>
        <w:trPr>
          <w:trHeight w:val="422"/>
        </w:trPr>
        <w:tc>
          <w:tcPr>
            <w:tcW w:w="940" w:type="dxa"/>
            <w:vAlign w:val="bottom"/>
          </w:tcPr>
          <w:p>
            <w:pPr>
              <w:spacing w:after="0"/>
              <w:rPr>
                <w:sz w:val="24"/>
                <w:szCs w:val="24"/>
                <w:color w:val="auto"/>
              </w:rPr>
            </w:pPr>
          </w:p>
        </w:tc>
        <w:tc>
          <w:tcPr>
            <w:tcW w:w="8320" w:type="dxa"/>
            <w:vAlign w:val="bottom"/>
          </w:tcPr>
          <w:p>
            <w:pPr>
              <w:jc w:val="center"/>
              <w:ind w:right="59"/>
              <w:spacing w:after="0"/>
              <w:rPr>
                <w:sz w:val="20"/>
                <w:szCs w:val="20"/>
                <w:color w:val="auto"/>
              </w:rPr>
            </w:pPr>
            <w:r>
              <w:rPr>
                <w:rFonts w:ascii="Times New Roman" w:cs="Times New Roman" w:eastAsia="Times New Roman" w:hAnsi="Times New Roman"/>
                <w:sz w:val="20"/>
                <w:szCs w:val="20"/>
                <w:b w:val="1"/>
                <w:bCs w:val="1"/>
                <w:color w:val="1E1E1E"/>
              </w:rPr>
              <w:t>PART II</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ITEM 5.</w:t>
            </w: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MARKET FOR THE REGISTRANT’S COMMON EQUITY, RELATED SHAREHOLDER</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MATTERS AND ISSUER PURCHASES OF EQUITY SECURITIES</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1"/>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ITEM 6.</w:t>
            </w: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[RESERVED]</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28</w:t>
            </w:r>
          </w:p>
        </w:tc>
        <w:tc>
          <w:tcPr>
            <w:tcW w:w="0" w:type="dxa"/>
            <w:vAlign w:val="bottom"/>
          </w:tcPr>
          <w:p>
            <w:pPr>
              <w:spacing w:after="0"/>
              <w:rPr>
                <w:sz w:val="1"/>
                <w:szCs w:val="1"/>
                <w:color w:val="auto"/>
              </w:rPr>
            </w:pPr>
          </w:p>
        </w:tc>
      </w:tr>
      <w:tr>
        <w:trPr>
          <w:trHeight w:val="383"/>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ITEM 7.</w:t>
            </w: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MANAGEMENT’S DISCUSSION AND ANALYSIS OF FINANCIAL CONDITION AND</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RESULTS OF OPERATIONS</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1"/>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ITEM 8.</w:t>
            </w: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FINANCIAL STATEMENTS AND SUPPLEMENTARY DATA</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37</w:t>
            </w:r>
          </w:p>
        </w:tc>
        <w:tc>
          <w:tcPr>
            <w:tcW w:w="0" w:type="dxa"/>
            <w:vAlign w:val="bottom"/>
          </w:tcPr>
          <w:p>
            <w:pPr>
              <w:spacing w:after="0"/>
              <w:rPr>
                <w:sz w:val="1"/>
                <w:szCs w:val="1"/>
                <w:color w:val="auto"/>
              </w:rPr>
            </w:pPr>
          </w:p>
        </w:tc>
      </w:tr>
      <w:tr>
        <w:trPr>
          <w:trHeight w:val="417"/>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ITEM 9.</w:t>
            </w: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CHANGES IN AND DISAGREEMENTS WITH ACCOUNTANTS ON ACCOUNTING AND</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64</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FINANCIAL DISCLOSURE</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1"/>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ITEM 9A.</w:t>
            </w: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64</w:t>
            </w:r>
          </w:p>
        </w:tc>
        <w:tc>
          <w:tcPr>
            <w:tcW w:w="0" w:type="dxa"/>
            <w:vAlign w:val="bottom"/>
          </w:tcPr>
          <w:p>
            <w:pPr>
              <w:spacing w:after="0"/>
              <w:rPr>
                <w:sz w:val="1"/>
                <w:szCs w:val="1"/>
                <w:color w:val="auto"/>
              </w:rPr>
            </w:pPr>
          </w:p>
        </w:tc>
      </w:tr>
      <w:tr>
        <w:trPr>
          <w:trHeight w:val="461"/>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ITEM 9B.</w:t>
            </w: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64</w:t>
            </w:r>
          </w:p>
        </w:tc>
        <w:tc>
          <w:tcPr>
            <w:tcW w:w="0" w:type="dxa"/>
            <w:vAlign w:val="bottom"/>
          </w:tcPr>
          <w:p>
            <w:pPr>
              <w:spacing w:after="0"/>
              <w:rPr>
                <w:sz w:val="1"/>
                <w:szCs w:val="1"/>
                <w:color w:val="auto"/>
              </w:rPr>
            </w:pPr>
          </w:p>
        </w:tc>
      </w:tr>
      <w:tr>
        <w:trPr>
          <w:trHeight w:val="461"/>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ITEM 9C.</w:t>
            </w: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DISCLOSURE REGARDING 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64</w:t>
            </w:r>
          </w:p>
        </w:tc>
        <w:tc>
          <w:tcPr>
            <w:tcW w:w="0" w:type="dxa"/>
            <w:vAlign w:val="bottom"/>
          </w:tcPr>
          <w:p>
            <w:pPr>
              <w:spacing w:after="0"/>
              <w:rPr>
                <w:sz w:val="1"/>
                <w:szCs w:val="1"/>
                <w:color w:val="auto"/>
              </w:rPr>
            </w:pPr>
          </w:p>
        </w:tc>
      </w:tr>
      <w:tr>
        <w:trPr>
          <w:trHeight w:val="321"/>
        </w:trPr>
        <w:tc>
          <w:tcPr>
            <w:tcW w:w="940" w:type="dxa"/>
            <w:vAlign w:val="bottom"/>
          </w:tcPr>
          <w:p>
            <w:pPr>
              <w:spacing w:after="0"/>
              <w:rPr>
                <w:sz w:val="24"/>
                <w:szCs w:val="24"/>
                <w:color w:val="auto"/>
              </w:rPr>
            </w:pPr>
          </w:p>
        </w:tc>
        <w:tc>
          <w:tcPr>
            <w:tcW w:w="8320" w:type="dxa"/>
            <w:vAlign w:val="bottom"/>
          </w:tcPr>
          <w:p>
            <w:pPr>
              <w:jc w:val="center"/>
              <w:ind w:right="59"/>
              <w:spacing w:after="0"/>
              <w:rPr>
                <w:sz w:val="20"/>
                <w:szCs w:val="20"/>
                <w:color w:val="auto"/>
              </w:rPr>
            </w:pPr>
            <w:r>
              <w:rPr>
                <w:rFonts w:ascii="Times New Roman" w:cs="Times New Roman" w:eastAsia="Times New Roman" w:hAnsi="Times New Roman"/>
                <w:sz w:val="20"/>
                <w:szCs w:val="20"/>
                <w:b w:val="1"/>
                <w:bCs w:val="1"/>
                <w:color w:val="1E1E1E"/>
              </w:rPr>
              <w:t>PART III</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ITEM 10.</w:t>
            </w: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DIRECTORS, EXECUTIVE OFFICERS AND CORPORATE GOVERNANCE</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64</w:t>
            </w:r>
          </w:p>
        </w:tc>
        <w:tc>
          <w:tcPr>
            <w:tcW w:w="0" w:type="dxa"/>
            <w:vAlign w:val="bottom"/>
          </w:tcPr>
          <w:p>
            <w:pPr>
              <w:spacing w:after="0"/>
              <w:rPr>
                <w:sz w:val="1"/>
                <w:szCs w:val="1"/>
                <w:color w:val="auto"/>
              </w:rPr>
            </w:pPr>
          </w:p>
        </w:tc>
      </w:tr>
      <w:tr>
        <w:trPr>
          <w:trHeight w:val="461"/>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ITEM 11.</w:t>
            </w: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EXECUTIVE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65</w:t>
            </w:r>
          </w:p>
        </w:tc>
        <w:tc>
          <w:tcPr>
            <w:tcW w:w="0" w:type="dxa"/>
            <w:vAlign w:val="bottom"/>
          </w:tcPr>
          <w:p>
            <w:pPr>
              <w:spacing w:after="0"/>
              <w:rPr>
                <w:sz w:val="1"/>
                <w:szCs w:val="1"/>
                <w:color w:val="auto"/>
              </w:rPr>
            </w:pPr>
          </w:p>
        </w:tc>
      </w:tr>
      <w:tr>
        <w:trPr>
          <w:trHeight w:val="417"/>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ITEM 12.</w:t>
            </w: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SECURITY OWNERSHIP OF CERTAIN BENEFICIAL OWNERS AND MANAGEMENT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65</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AND RELATED SHAREHOLDER MATTERS</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ITEM 13.</w:t>
            </w: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CERTAIN RELATIONSHIPS AND RELATED TRANSACTIONS AND DIRECTOR</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65</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INDEPENDENCE</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8"/>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ITEM 14.</w:t>
            </w: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PRINCIPAL ACCOUNTANT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65</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8320" w:type="dxa"/>
            <w:vAlign w:val="bottom"/>
          </w:tcPr>
          <w:p>
            <w:pPr>
              <w:jc w:val="center"/>
              <w:ind w:right="39"/>
              <w:spacing w:after="0"/>
              <w:rPr>
                <w:sz w:val="20"/>
                <w:szCs w:val="20"/>
                <w:color w:val="auto"/>
              </w:rPr>
            </w:pPr>
            <w:r>
              <w:rPr>
                <w:rFonts w:ascii="Times New Roman" w:cs="Times New Roman" w:eastAsia="Times New Roman" w:hAnsi="Times New Roman"/>
                <w:sz w:val="20"/>
                <w:szCs w:val="20"/>
                <w:b w:val="1"/>
                <w:bCs w:val="1"/>
                <w:color w:val="1E1E1E"/>
              </w:rPr>
              <w:t>PART IV</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ITEM 15.</w:t>
            </w: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EXHIBITS, FINANCIAL STATEMENTS AND SCHEDULE</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66</w:t>
            </w:r>
          </w:p>
        </w:tc>
        <w:tc>
          <w:tcPr>
            <w:tcW w:w="0" w:type="dxa"/>
            <w:vAlign w:val="bottom"/>
          </w:tcPr>
          <w:p>
            <w:pPr>
              <w:spacing w:after="0"/>
              <w:rPr>
                <w:sz w:val="1"/>
                <w:szCs w:val="1"/>
                <w:color w:val="auto"/>
              </w:rPr>
            </w:pPr>
          </w:p>
        </w:tc>
      </w:tr>
      <w:tr>
        <w:trPr>
          <w:trHeight w:val="461"/>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ITEM 16.</w:t>
            </w: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FORM 10-K SUMMARY</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68</w:t>
            </w:r>
          </w:p>
        </w:tc>
        <w:tc>
          <w:tcPr>
            <w:tcW w:w="0" w:type="dxa"/>
            <w:vAlign w:val="bottom"/>
          </w:tcPr>
          <w:p>
            <w:pPr>
              <w:spacing w:after="0"/>
              <w:rPr>
                <w:sz w:val="1"/>
                <w:szCs w:val="1"/>
                <w:color w:val="auto"/>
              </w:rPr>
            </w:pPr>
          </w:p>
        </w:tc>
      </w:tr>
      <w:tr>
        <w:trPr>
          <w:trHeight w:val="456"/>
        </w:trPr>
        <w:tc>
          <w:tcPr>
            <w:tcW w:w="940" w:type="dxa"/>
            <w:vAlign w:val="bottom"/>
          </w:tcPr>
          <w:p>
            <w:pPr>
              <w:spacing w:after="0"/>
              <w:rPr>
                <w:sz w:val="24"/>
                <w:szCs w:val="24"/>
                <w:color w:val="auto"/>
              </w:rPr>
            </w:pPr>
          </w:p>
        </w:tc>
        <w:tc>
          <w:tcPr>
            <w:tcW w:w="83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SIGNATURES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40"/>
          </w:cols>
          <w:pgMar w:left="920" w:top="979" w:right="920" w:bottom="0" w:gutter="0" w:footer="0" w:header="0"/>
        </w:sect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1</w:t>
      </w:r>
    </w:p>
    <w:p>
      <w:pPr>
        <w:sectPr>
          <w:pgSz w:w="11880" w:h="15480" w:orient="portrait"/>
          <w:cols w:equalWidth="0" w:num="1">
            <w:col w:w="10040"/>
          </w:cols>
          <w:pgMar w:left="920" w:top="979" w:right="920" w:bottom="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1E1E1E"/>
        </w:rPr>
        <w:t>FORWARD-LOOKING STATEMENTS</w:t>
      </w:r>
    </w:p>
    <w:p>
      <w:pPr>
        <w:spacing w:after="0" w:line="205" w:lineRule="exact"/>
        <w:rPr>
          <w:sz w:val="20"/>
          <w:szCs w:val="20"/>
          <w:color w:val="auto"/>
        </w:rPr>
      </w:pPr>
    </w:p>
    <w:p>
      <w:pPr>
        <w:ind w:firstLine="491"/>
        <w:spacing w:after="0" w:line="243" w:lineRule="auto"/>
        <w:rPr>
          <w:sz w:val="20"/>
          <w:szCs w:val="20"/>
          <w:color w:val="auto"/>
        </w:rPr>
      </w:pPr>
      <w:r>
        <w:rPr>
          <w:rFonts w:ascii="Times New Roman" w:cs="Times New Roman" w:eastAsia="Times New Roman" w:hAnsi="Times New Roman"/>
          <w:sz w:val="20"/>
          <w:szCs w:val="20"/>
          <w:color w:val="1E1E1E"/>
        </w:rPr>
        <w:t>This Annual Report on Form 10-K contains “forward-looking statements” within the meaning of the Private Securities Litigation Reform Act of 1995 that are subject to risks and uncertainties. All statements other than statements of historical or current facts included in this Annual Report on Form 10-K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“design,”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78" w:lineRule="exact"/>
        <w:rPr>
          <w:sz w:val="20"/>
          <w:szCs w:val="20"/>
          <w:color w:val="auto"/>
        </w:rPr>
      </w:pPr>
    </w:p>
    <w:p>
      <w:pPr>
        <w:ind w:left="980" w:hanging="496"/>
        <w:spacing w:after="0"/>
        <w:tabs>
          <w:tab w:leader="none" w:pos="980" w:val="left"/>
        </w:tabs>
        <w:numPr>
          <w:ilvl w:val="0"/>
          <w:numId w:val="8"/>
        </w:numPr>
        <w:rPr>
          <w:rFonts w:ascii="Arial" w:cs="Arial" w:eastAsia="Arial" w:hAnsi="Arial"/>
          <w:sz w:val="16"/>
          <w:szCs w:val="16"/>
          <w:color w:val="1E1E1E"/>
        </w:rPr>
      </w:pPr>
      <w:r>
        <w:rPr>
          <w:rFonts w:ascii="Times New Roman" w:cs="Times New Roman" w:eastAsia="Times New Roman" w:hAnsi="Times New Roman"/>
          <w:sz w:val="20"/>
          <w:szCs w:val="20"/>
          <w:color w:val="1E1E1E"/>
        </w:rPr>
        <w:t>the impact of inflation and measures to control inflation on our results of operations;</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8"/>
        </w:numPr>
        <w:rPr>
          <w:rFonts w:ascii="Arial" w:cs="Arial" w:eastAsia="Arial" w:hAnsi="Arial"/>
          <w:sz w:val="16"/>
          <w:szCs w:val="16"/>
          <w:color w:val="1E1E1E"/>
        </w:rPr>
      </w:pPr>
      <w:r>
        <w:rPr>
          <w:rFonts w:ascii="Times New Roman" w:cs="Times New Roman" w:eastAsia="Times New Roman" w:hAnsi="Times New Roman"/>
          <w:sz w:val="20"/>
          <w:szCs w:val="20"/>
          <w:color w:val="1E1E1E"/>
        </w:rPr>
        <w:t>the prolonged effects of economic uncertainties on store and website traffic;</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8"/>
        </w:numPr>
        <w:rPr>
          <w:rFonts w:ascii="Arial" w:cs="Arial" w:eastAsia="Arial" w:hAnsi="Arial"/>
          <w:sz w:val="16"/>
          <w:szCs w:val="16"/>
          <w:color w:val="1E1E1E"/>
        </w:rPr>
      </w:pPr>
      <w:r>
        <w:rPr>
          <w:rFonts w:ascii="Times New Roman" w:cs="Times New Roman" w:eastAsia="Times New Roman" w:hAnsi="Times New Roman"/>
          <w:sz w:val="20"/>
          <w:szCs w:val="20"/>
          <w:color w:val="1E1E1E"/>
        </w:rPr>
        <w:t>disruptions to our distribution network, supply chains and operations;</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8"/>
        </w:numPr>
        <w:rPr>
          <w:rFonts w:ascii="Arial" w:cs="Arial" w:eastAsia="Arial" w:hAnsi="Arial"/>
          <w:sz w:val="16"/>
          <w:szCs w:val="16"/>
          <w:color w:val="1E1E1E"/>
        </w:rPr>
      </w:pPr>
      <w:r>
        <w:rPr>
          <w:rFonts w:ascii="Times New Roman" w:cs="Times New Roman" w:eastAsia="Times New Roman" w:hAnsi="Times New Roman"/>
          <w:sz w:val="20"/>
          <w:szCs w:val="20"/>
          <w:color w:val="1E1E1E"/>
        </w:rPr>
        <w:t>failure to effectively manage inventory levels;</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8"/>
        </w:numPr>
        <w:rPr>
          <w:rFonts w:ascii="Arial" w:cs="Arial" w:eastAsia="Arial" w:hAnsi="Arial"/>
          <w:sz w:val="16"/>
          <w:szCs w:val="16"/>
          <w:color w:val="1E1E1E"/>
        </w:rPr>
      </w:pPr>
      <w:r>
        <w:rPr>
          <w:rFonts w:ascii="Times New Roman" w:cs="Times New Roman" w:eastAsia="Times New Roman" w:hAnsi="Times New Roman"/>
          <w:sz w:val="20"/>
          <w:szCs w:val="20"/>
          <w:color w:val="1E1E1E"/>
        </w:rPr>
        <w:t>our ability to maintain and enhance a strong brand and sub-brand image;</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8"/>
        </w:numPr>
        <w:rPr>
          <w:rFonts w:ascii="Arial" w:cs="Arial" w:eastAsia="Arial" w:hAnsi="Arial"/>
          <w:sz w:val="16"/>
          <w:szCs w:val="16"/>
          <w:color w:val="1E1E1E"/>
        </w:rPr>
      </w:pPr>
      <w:r>
        <w:rPr>
          <w:rFonts w:ascii="Times New Roman" w:cs="Times New Roman" w:eastAsia="Times New Roman" w:hAnsi="Times New Roman"/>
          <w:sz w:val="20"/>
          <w:szCs w:val="20"/>
          <w:color w:val="1E1E1E"/>
        </w:rPr>
        <w:t>adapting to declines in consumer confidence, inflation and decreases in consumer spending;</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8"/>
        </w:numPr>
        <w:rPr>
          <w:rFonts w:ascii="Arial" w:cs="Arial" w:eastAsia="Arial" w:hAnsi="Arial"/>
          <w:sz w:val="16"/>
          <w:szCs w:val="16"/>
          <w:color w:val="1E1E1E"/>
        </w:rPr>
      </w:pPr>
      <w:r>
        <w:rPr>
          <w:rFonts w:ascii="Times New Roman" w:cs="Times New Roman" w:eastAsia="Times New Roman" w:hAnsi="Times New Roman"/>
          <w:sz w:val="20"/>
          <w:szCs w:val="20"/>
          <w:color w:val="1E1E1E"/>
        </w:rPr>
        <w:t>disruptions to our e-commerce platform;</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8"/>
        </w:numPr>
        <w:rPr>
          <w:rFonts w:ascii="Arial" w:cs="Arial" w:eastAsia="Arial" w:hAnsi="Arial"/>
          <w:sz w:val="16"/>
          <w:szCs w:val="16"/>
          <w:color w:val="1E1E1E"/>
        </w:rPr>
      </w:pPr>
      <w:r>
        <w:rPr>
          <w:rFonts w:ascii="Times New Roman" w:cs="Times New Roman" w:eastAsia="Times New Roman" w:hAnsi="Times New Roman"/>
          <w:sz w:val="20"/>
          <w:szCs w:val="20"/>
          <w:color w:val="1E1E1E"/>
        </w:rPr>
        <w:t>our ability to meet customer delivery time expectations;</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8"/>
        </w:numPr>
        <w:rPr>
          <w:rFonts w:ascii="Arial" w:cs="Arial" w:eastAsia="Arial" w:hAnsi="Arial"/>
          <w:sz w:val="16"/>
          <w:szCs w:val="16"/>
          <w:color w:val="1E1E1E"/>
        </w:rPr>
      </w:pPr>
      <w:r>
        <w:rPr>
          <w:rFonts w:ascii="Times New Roman" w:cs="Times New Roman" w:eastAsia="Times New Roman" w:hAnsi="Times New Roman"/>
          <w:sz w:val="20"/>
          <w:szCs w:val="20"/>
          <w:color w:val="1E1E1E"/>
        </w:rPr>
        <w:t>our ability to properly allocate inventory throughout our distribution network to fulfill customer demand;</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8"/>
        </w:numPr>
        <w:rPr>
          <w:rFonts w:ascii="Arial" w:cs="Arial" w:eastAsia="Arial" w:hAnsi="Arial"/>
          <w:sz w:val="16"/>
          <w:szCs w:val="16"/>
          <w:color w:val="1E1E1E"/>
        </w:rPr>
      </w:pPr>
      <w:r>
        <w:rPr>
          <w:rFonts w:ascii="Times New Roman" w:cs="Times New Roman" w:eastAsia="Times New Roman" w:hAnsi="Times New Roman"/>
          <w:sz w:val="20"/>
          <w:szCs w:val="20"/>
          <w:color w:val="1E1E1E"/>
        </w:rPr>
        <w:t>our failure to meet our debt covenant ratios;</w:t>
      </w:r>
    </w:p>
    <w:p>
      <w:pPr>
        <w:spacing w:after="0" w:line="120" w:lineRule="exact"/>
        <w:rPr>
          <w:rFonts w:ascii="Arial" w:cs="Arial" w:eastAsia="Arial" w:hAnsi="Arial"/>
          <w:sz w:val="16"/>
          <w:szCs w:val="16"/>
          <w:color w:val="1E1E1E"/>
        </w:rPr>
      </w:pPr>
    </w:p>
    <w:p>
      <w:pPr>
        <w:ind w:left="980" w:right="460" w:hanging="496"/>
        <w:spacing w:after="0" w:line="281" w:lineRule="auto"/>
        <w:tabs>
          <w:tab w:leader="none" w:pos="980" w:val="left"/>
        </w:tabs>
        <w:numPr>
          <w:ilvl w:val="0"/>
          <w:numId w:val="8"/>
        </w:numPr>
        <w:rPr>
          <w:rFonts w:ascii="Arial" w:cs="Arial" w:eastAsia="Arial" w:hAnsi="Arial"/>
          <w:sz w:val="16"/>
          <w:szCs w:val="16"/>
          <w:color w:val="1E1E1E"/>
        </w:rPr>
      </w:pPr>
      <w:r>
        <w:rPr>
          <w:rFonts w:ascii="Times New Roman" w:cs="Times New Roman" w:eastAsia="Times New Roman" w:hAnsi="Times New Roman"/>
          <w:sz w:val="20"/>
          <w:szCs w:val="20"/>
          <w:color w:val="1E1E1E"/>
        </w:rPr>
        <w:t>natural disasters, unusually adverse weather conditions, boycotts, prolonged public health crises, epidemics or pandemics and unanticipated events;</w:t>
      </w:r>
    </w:p>
    <w:p>
      <w:pPr>
        <w:spacing w:after="0" w:line="37" w:lineRule="exact"/>
        <w:rPr>
          <w:rFonts w:ascii="Arial" w:cs="Arial" w:eastAsia="Arial" w:hAnsi="Arial"/>
          <w:sz w:val="16"/>
          <w:szCs w:val="16"/>
          <w:color w:val="1E1E1E"/>
        </w:rPr>
      </w:pPr>
    </w:p>
    <w:p>
      <w:pPr>
        <w:ind w:left="980" w:hanging="496"/>
        <w:spacing w:after="0"/>
        <w:tabs>
          <w:tab w:leader="none" w:pos="980" w:val="left"/>
        </w:tabs>
        <w:numPr>
          <w:ilvl w:val="0"/>
          <w:numId w:val="8"/>
        </w:numPr>
        <w:rPr>
          <w:rFonts w:ascii="Arial" w:cs="Arial" w:eastAsia="Arial" w:hAnsi="Arial"/>
          <w:sz w:val="16"/>
          <w:szCs w:val="16"/>
          <w:color w:val="1E1E1E"/>
        </w:rPr>
      </w:pPr>
      <w:r>
        <w:rPr>
          <w:rFonts w:ascii="Times New Roman" w:cs="Times New Roman" w:eastAsia="Times New Roman" w:hAnsi="Times New Roman"/>
          <w:sz w:val="20"/>
          <w:szCs w:val="20"/>
          <w:color w:val="1E1E1E"/>
        </w:rPr>
        <w:t>generating adequate cash from our existing stores and direct sales to support our growth;</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8"/>
        </w:numPr>
        <w:rPr>
          <w:rFonts w:ascii="Arial" w:cs="Arial" w:eastAsia="Arial" w:hAnsi="Arial"/>
          <w:sz w:val="16"/>
          <w:szCs w:val="16"/>
          <w:color w:val="1E1E1E"/>
        </w:rPr>
      </w:pPr>
      <w:r>
        <w:rPr>
          <w:rFonts w:ascii="Times New Roman" w:cs="Times New Roman" w:eastAsia="Times New Roman" w:hAnsi="Times New Roman"/>
          <w:sz w:val="20"/>
          <w:szCs w:val="20"/>
          <w:color w:val="1E1E1E"/>
        </w:rPr>
        <w:t>the impact of changes in corporate tax regulations and sales tax;</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8"/>
        </w:numPr>
        <w:rPr>
          <w:rFonts w:ascii="Arial" w:cs="Arial" w:eastAsia="Arial" w:hAnsi="Arial"/>
          <w:sz w:val="16"/>
          <w:szCs w:val="16"/>
          <w:color w:val="1E1E1E"/>
        </w:rPr>
      </w:pPr>
      <w:r>
        <w:rPr>
          <w:rFonts w:ascii="Times New Roman" w:cs="Times New Roman" w:eastAsia="Times New Roman" w:hAnsi="Times New Roman"/>
          <w:sz w:val="20"/>
          <w:szCs w:val="20"/>
          <w:color w:val="1E1E1E"/>
        </w:rPr>
        <w:t>identifying and responding to new and changing customer preferences;</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8"/>
        </w:numPr>
        <w:rPr>
          <w:rFonts w:ascii="Arial" w:cs="Arial" w:eastAsia="Arial" w:hAnsi="Arial"/>
          <w:sz w:val="16"/>
          <w:szCs w:val="16"/>
          <w:color w:val="1E1E1E"/>
        </w:rPr>
      </w:pPr>
      <w:r>
        <w:rPr>
          <w:rFonts w:ascii="Times New Roman" w:cs="Times New Roman" w:eastAsia="Times New Roman" w:hAnsi="Times New Roman"/>
          <w:sz w:val="20"/>
          <w:szCs w:val="20"/>
          <w:color w:val="1E1E1E"/>
        </w:rPr>
        <w:t>the success of the locations in which our stores are located;</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8"/>
        </w:numPr>
        <w:rPr>
          <w:rFonts w:ascii="Arial" w:cs="Arial" w:eastAsia="Arial" w:hAnsi="Arial"/>
          <w:sz w:val="16"/>
          <w:szCs w:val="16"/>
          <w:color w:val="1E1E1E"/>
        </w:rPr>
      </w:pPr>
      <w:r>
        <w:rPr>
          <w:rFonts w:ascii="Times New Roman" w:cs="Times New Roman" w:eastAsia="Times New Roman" w:hAnsi="Times New Roman"/>
          <w:sz w:val="20"/>
          <w:szCs w:val="20"/>
          <w:color w:val="1E1E1E"/>
        </w:rPr>
        <w:t>effectively relying on sources for merchandise located in foreign markets;</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8"/>
        </w:numPr>
        <w:rPr>
          <w:rFonts w:ascii="Arial" w:cs="Arial" w:eastAsia="Arial" w:hAnsi="Arial"/>
          <w:sz w:val="16"/>
          <w:szCs w:val="16"/>
          <w:color w:val="1E1E1E"/>
        </w:rPr>
      </w:pPr>
      <w:r>
        <w:rPr>
          <w:rFonts w:ascii="Times New Roman" w:cs="Times New Roman" w:eastAsia="Times New Roman" w:hAnsi="Times New Roman"/>
          <w:sz w:val="20"/>
          <w:szCs w:val="20"/>
          <w:color w:val="1E1E1E"/>
        </w:rPr>
        <w:t>transportation delays and interruptions, including port congestion;</w:t>
      </w:r>
    </w:p>
    <w:p>
      <w:pPr>
        <w:spacing w:after="0" w:line="120" w:lineRule="exact"/>
        <w:rPr>
          <w:rFonts w:ascii="Arial" w:cs="Arial" w:eastAsia="Arial" w:hAnsi="Arial"/>
          <w:sz w:val="16"/>
          <w:szCs w:val="16"/>
          <w:color w:val="1E1E1E"/>
        </w:rPr>
      </w:pPr>
    </w:p>
    <w:p>
      <w:pPr>
        <w:ind w:left="980" w:right="160" w:hanging="496"/>
        <w:spacing w:after="0" w:line="281" w:lineRule="auto"/>
        <w:tabs>
          <w:tab w:leader="none" w:pos="980" w:val="left"/>
        </w:tabs>
        <w:numPr>
          <w:ilvl w:val="0"/>
          <w:numId w:val="8"/>
        </w:numPr>
        <w:rPr>
          <w:rFonts w:ascii="Arial" w:cs="Arial" w:eastAsia="Arial" w:hAnsi="Arial"/>
          <w:sz w:val="16"/>
          <w:szCs w:val="16"/>
          <w:color w:val="1E1E1E"/>
        </w:rPr>
      </w:pPr>
      <w:r>
        <w:rPr>
          <w:rFonts w:ascii="Times New Roman" w:cs="Times New Roman" w:eastAsia="Times New Roman" w:hAnsi="Times New Roman"/>
          <w:sz w:val="20"/>
          <w:szCs w:val="20"/>
          <w:color w:val="1E1E1E"/>
        </w:rPr>
        <w:t>our inability to timely and effectively obtain shipments of products from our suppliers and deliver merchandise to our customers;</w:t>
      </w:r>
    </w:p>
    <w:p>
      <w:pPr>
        <w:spacing w:after="0" w:line="42" w:lineRule="exact"/>
        <w:rPr>
          <w:rFonts w:ascii="Arial" w:cs="Arial" w:eastAsia="Arial" w:hAnsi="Arial"/>
          <w:sz w:val="16"/>
          <w:szCs w:val="16"/>
          <w:color w:val="1E1E1E"/>
        </w:rPr>
      </w:pPr>
    </w:p>
    <w:p>
      <w:pPr>
        <w:ind w:left="980" w:hanging="496"/>
        <w:spacing w:after="0"/>
        <w:tabs>
          <w:tab w:leader="none" w:pos="980" w:val="left"/>
        </w:tabs>
        <w:numPr>
          <w:ilvl w:val="0"/>
          <w:numId w:val="8"/>
        </w:numPr>
        <w:rPr>
          <w:rFonts w:ascii="Arial" w:cs="Arial" w:eastAsia="Arial" w:hAnsi="Arial"/>
          <w:sz w:val="16"/>
          <w:szCs w:val="16"/>
          <w:color w:val="1E1E1E"/>
        </w:rPr>
      </w:pPr>
      <w:r>
        <w:rPr>
          <w:rFonts w:ascii="Times New Roman" w:cs="Times New Roman" w:eastAsia="Times New Roman" w:hAnsi="Times New Roman"/>
          <w:sz w:val="20"/>
          <w:szCs w:val="20"/>
          <w:color w:val="1E1E1E"/>
        </w:rPr>
        <w:t>the inability to maintain the performance of our maturing store portfolio;</w:t>
      </w:r>
    </w:p>
    <w:p>
      <w:pPr>
        <w:spacing w:after="0" w:line="120" w:lineRule="exact"/>
        <w:rPr>
          <w:rFonts w:ascii="Arial" w:cs="Arial" w:eastAsia="Arial" w:hAnsi="Arial"/>
          <w:sz w:val="16"/>
          <w:szCs w:val="16"/>
          <w:color w:val="1E1E1E"/>
        </w:rPr>
      </w:pPr>
    </w:p>
    <w:p>
      <w:pPr>
        <w:ind w:left="980" w:hanging="496"/>
        <w:spacing w:after="0" w:line="281" w:lineRule="auto"/>
        <w:tabs>
          <w:tab w:leader="none" w:pos="980" w:val="left"/>
        </w:tabs>
        <w:numPr>
          <w:ilvl w:val="0"/>
          <w:numId w:val="8"/>
        </w:numPr>
        <w:rPr>
          <w:rFonts w:ascii="Arial" w:cs="Arial" w:eastAsia="Arial" w:hAnsi="Arial"/>
          <w:sz w:val="16"/>
          <w:szCs w:val="16"/>
          <w:color w:val="1E1E1E"/>
        </w:rPr>
      </w:pPr>
      <w:r>
        <w:rPr>
          <w:rFonts w:ascii="Times New Roman" w:cs="Times New Roman" w:eastAsia="Times New Roman" w:hAnsi="Times New Roman"/>
          <w:sz w:val="20"/>
          <w:szCs w:val="20"/>
          <w:color w:val="1E1E1E"/>
        </w:rPr>
        <w:t>our inability to deploy marketing tactics to strengthen brand awareness and attract new customers in a cost effective manner;</w:t>
      </w:r>
    </w:p>
    <w:p>
      <w:pPr>
        <w:spacing w:after="0" w:line="37" w:lineRule="exact"/>
        <w:rPr>
          <w:rFonts w:ascii="Arial" w:cs="Arial" w:eastAsia="Arial" w:hAnsi="Arial"/>
          <w:sz w:val="16"/>
          <w:szCs w:val="16"/>
          <w:color w:val="1E1E1E"/>
        </w:rPr>
      </w:pPr>
    </w:p>
    <w:p>
      <w:pPr>
        <w:ind w:left="980" w:hanging="496"/>
        <w:spacing w:after="0"/>
        <w:tabs>
          <w:tab w:leader="none" w:pos="980" w:val="left"/>
        </w:tabs>
        <w:numPr>
          <w:ilvl w:val="0"/>
          <w:numId w:val="8"/>
        </w:numPr>
        <w:rPr>
          <w:rFonts w:ascii="Arial" w:cs="Arial" w:eastAsia="Arial" w:hAnsi="Arial"/>
          <w:sz w:val="16"/>
          <w:szCs w:val="16"/>
          <w:color w:val="1E1E1E"/>
        </w:rPr>
      </w:pPr>
      <w:r>
        <w:rPr>
          <w:rFonts w:ascii="Times New Roman" w:cs="Times New Roman" w:eastAsia="Times New Roman" w:hAnsi="Times New Roman"/>
          <w:sz w:val="20"/>
          <w:szCs w:val="20"/>
          <w:color w:val="1E1E1E"/>
        </w:rPr>
        <w:t>our ability to successfully open new stores;</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8"/>
        </w:numPr>
        <w:rPr>
          <w:rFonts w:ascii="Arial" w:cs="Arial" w:eastAsia="Arial" w:hAnsi="Arial"/>
          <w:sz w:val="16"/>
          <w:szCs w:val="16"/>
          <w:color w:val="1E1E1E"/>
        </w:rPr>
      </w:pPr>
      <w:r>
        <w:rPr>
          <w:rFonts w:ascii="Times New Roman" w:cs="Times New Roman" w:eastAsia="Times New Roman" w:hAnsi="Times New Roman"/>
          <w:sz w:val="20"/>
          <w:szCs w:val="20"/>
          <w:color w:val="1E1E1E"/>
        </w:rPr>
        <w:t>effectively adapting to new challenges associated with our expansion into new geographic markets;</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8"/>
        </w:numPr>
        <w:rPr>
          <w:rFonts w:ascii="Arial" w:cs="Arial" w:eastAsia="Arial" w:hAnsi="Arial"/>
          <w:sz w:val="16"/>
          <w:szCs w:val="16"/>
          <w:color w:val="1E1E1E"/>
        </w:rPr>
      </w:pPr>
      <w:r>
        <w:rPr>
          <w:rFonts w:ascii="Times New Roman" w:cs="Times New Roman" w:eastAsia="Times New Roman" w:hAnsi="Times New Roman"/>
          <w:sz w:val="20"/>
          <w:szCs w:val="20"/>
          <w:color w:val="1E1E1E"/>
        </w:rPr>
        <w:t>competing effectively in an environment of intense competition or elevated promotions;</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8"/>
        </w:numPr>
        <w:rPr>
          <w:rFonts w:ascii="Arial" w:cs="Arial" w:eastAsia="Arial" w:hAnsi="Arial"/>
          <w:sz w:val="16"/>
          <w:szCs w:val="16"/>
          <w:color w:val="1E1E1E"/>
        </w:rPr>
      </w:pPr>
      <w:r>
        <w:rPr>
          <w:rFonts w:ascii="Times New Roman" w:cs="Times New Roman" w:eastAsia="Times New Roman" w:hAnsi="Times New Roman"/>
          <w:sz w:val="20"/>
          <w:szCs w:val="20"/>
          <w:color w:val="1E1E1E"/>
        </w:rPr>
        <w:t>our ability to adapt to significant changes in sales due to the seasonality of our business;</w:t>
      </w:r>
    </w:p>
    <w:p>
      <w:pPr>
        <w:spacing w:after="0" w:line="120" w:lineRule="exact"/>
        <w:rPr>
          <w:rFonts w:ascii="Arial" w:cs="Arial" w:eastAsia="Arial" w:hAnsi="Arial"/>
          <w:sz w:val="16"/>
          <w:szCs w:val="16"/>
          <w:color w:val="1E1E1E"/>
        </w:rPr>
      </w:pPr>
    </w:p>
    <w:p>
      <w:pPr>
        <w:ind w:left="980" w:right="280" w:hanging="496"/>
        <w:spacing w:after="0" w:line="281" w:lineRule="auto"/>
        <w:tabs>
          <w:tab w:leader="none" w:pos="980" w:val="left"/>
        </w:tabs>
        <w:numPr>
          <w:ilvl w:val="0"/>
          <w:numId w:val="8"/>
        </w:numPr>
        <w:rPr>
          <w:rFonts w:ascii="Arial" w:cs="Arial" w:eastAsia="Arial" w:hAnsi="Arial"/>
          <w:sz w:val="16"/>
          <w:szCs w:val="16"/>
          <w:color w:val="1E1E1E"/>
        </w:rPr>
      </w:pPr>
      <w:r>
        <w:rPr>
          <w:rFonts w:ascii="Times New Roman" w:cs="Times New Roman" w:eastAsia="Times New Roman" w:hAnsi="Times New Roman"/>
          <w:sz w:val="20"/>
          <w:szCs w:val="20"/>
          <w:color w:val="1E1E1E"/>
        </w:rPr>
        <w:t>price reductions or inventory shortages resulting from failure to purchase the appropriate amount of inventory in advance of the season in which it will be sold;</w:t>
      </w:r>
    </w:p>
    <w:p>
      <w:pPr>
        <w:spacing w:after="0" w:line="42" w:lineRule="exact"/>
        <w:rPr>
          <w:rFonts w:ascii="Arial" w:cs="Arial" w:eastAsia="Arial" w:hAnsi="Arial"/>
          <w:sz w:val="16"/>
          <w:szCs w:val="16"/>
          <w:color w:val="1E1E1E"/>
        </w:rPr>
      </w:pPr>
    </w:p>
    <w:p>
      <w:pPr>
        <w:ind w:left="980" w:hanging="496"/>
        <w:spacing w:after="0"/>
        <w:tabs>
          <w:tab w:leader="none" w:pos="980" w:val="left"/>
        </w:tabs>
        <w:numPr>
          <w:ilvl w:val="0"/>
          <w:numId w:val="8"/>
        </w:numPr>
        <w:rPr>
          <w:rFonts w:ascii="Arial" w:cs="Arial" w:eastAsia="Arial" w:hAnsi="Arial"/>
          <w:sz w:val="16"/>
          <w:szCs w:val="16"/>
          <w:color w:val="1E1E1E"/>
        </w:rPr>
      </w:pPr>
      <w:r>
        <w:rPr>
          <w:rFonts w:ascii="Times New Roman" w:cs="Times New Roman" w:eastAsia="Times New Roman" w:hAnsi="Times New Roman"/>
          <w:sz w:val="20"/>
          <w:szCs w:val="20"/>
          <w:color w:val="1E1E1E"/>
        </w:rPr>
        <w:t>the potential for further increases in price and lack of availability of raw materials;</w:t>
      </w:r>
    </w:p>
    <w:p>
      <w:pPr>
        <w:sectPr>
          <w:pgSz w:w="11880" w:h="15480" w:orient="portrait"/>
          <w:cols w:equalWidth="0" w:num="1">
            <w:col w:w="10240"/>
          </w:cols>
          <w:pgMar w:left="820" w:top="1080" w:right="820" w:bottom="0" w:gutter="0" w:footer="0" w:header="0"/>
        </w:sect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2</w:t>
      </w:r>
    </w:p>
    <w:p>
      <w:pPr>
        <w:sectPr>
          <w:pgSz w:w="11880" w:h="15480" w:orient="portrait"/>
          <w:cols w:equalWidth="0" w:num="1">
            <w:col w:w="10240"/>
          </w:cols>
          <w:pgMar w:left="820" w:top="1080" w:right="820" w:bottom="0" w:gutter="0" w:footer="0" w:header="0"/>
          <w:type w:val="continuous"/>
        </w:sectPr>
      </w:pPr>
    </w:p>
    <w:bookmarkStart w:id="8" w:name="page9"/>
    <w:bookmarkEnd w:id="8"/>
    <w:p>
      <w:pPr>
        <w:ind w:left="980" w:hanging="496"/>
        <w:spacing w:after="0"/>
        <w:tabs>
          <w:tab w:leader="none" w:pos="980" w:val="left"/>
        </w:tabs>
        <w:numPr>
          <w:ilvl w:val="0"/>
          <w:numId w:val="9"/>
        </w:numPr>
        <w:rPr>
          <w:rFonts w:ascii="Arial" w:cs="Arial" w:eastAsia="Arial" w:hAnsi="Arial"/>
          <w:sz w:val="16"/>
          <w:szCs w:val="16"/>
          <w:color w:val="1E1E1E"/>
        </w:rPr>
      </w:pPr>
      <w:r>
        <w:rPr>
          <w:rFonts w:ascii="Times New Roman" w:cs="Times New Roman" w:eastAsia="Times New Roman" w:hAnsi="Times New Roman"/>
          <w:sz w:val="20"/>
          <w:szCs w:val="20"/>
          <w:color w:val="1E1E1E"/>
        </w:rPr>
        <w:t>our dependence on third-party vendors to provide us with sufficient quantities of merchandise at acceptable prices;</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9"/>
        </w:numPr>
        <w:rPr>
          <w:rFonts w:ascii="Arial" w:cs="Arial" w:eastAsia="Arial" w:hAnsi="Arial"/>
          <w:sz w:val="16"/>
          <w:szCs w:val="16"/>
          <w:color w:val="1E1E1E"/>
        </w:rPr>
      </w:pPr>
      <w:r>
        <w:rPr>
          <w:rFonts w:ascii="Times New Roman" w:cs="Times New Roman" w:eastAsia="Times New Roman" w:hAnsi="Times New Roman"/>
          <w:sz w:val="20"/>
          <w:szCs w:val="20"/>
          <w:color w:val="1E1E1E"/>
        </w:rPr>
        <w:t>the susceptibility of the price and availability of our merchandise to international trade conditions including tariffs;</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9"/>
        </w:numPr>
        <w:rPr>
          <w:rFonts w:ascii="Arial" w:cs="Arial" w:eastAsia="Arial" w:hAnsi="Arial"/>
          <w:sz w:val="16"/>
          <w:szCs w:val="16"/>
          <w:color w:val="1E1E1E"/>
        </w:rPr>
      </w:pPr>
      <w:r>
        <w:rPr>
          <w:rFonts w:ascii="Times New Roman" w:cs="Times New Roman" w:eastAsia="Times New Roman" w:hAnsi="Times New Roman"/>
          <w:sz w:val="20"/>
          <w:szCs w:val="20"/>
          <w:color w:val="1E1E1E"/>
        </w:rPr>
        <w:t>failure of our vendors and their manufacturing sources to use acceptable labor or other practices;</w:t>
      </w:r>
    </w:p>
    <w:p>
      <w:pPr>
        <w:spacing w:after="0" w:line="120" w:lineRule="exact"/>
        <w:rPr>
          <w:rFonts w:ascii="Arial" w:cs="Arial" w:eastAsia="Arial" w:hAnsi="Arial"/>
          <w:sz w:val="16"/>
          <w:szCs w:val="16"/>
          <w:color w:val="1E1E1E"/>
        </w:rPr>
      </w:pPr>
    </w:p>
    <w:p>
      <w:pPr>
        <w:ind w:left="980" w:right="680" w:hanging="496"/>
        <w:spacing w:after="0" w:line="281" w:lineRule="auto"/>
        <w:tabs>
          <w:tab w:leader="none" w:pos="980" w:val="left"/>
        </w:tabs>
        <w:numPr>
          <w:ilvl w:val="0"/>
          <w:numId w:val="9"/>
        </w:numPr>
        <w:rPr>
          <w:rFonts w:ascii="Arial" w:cs="Arial" w:eastAsia="Arial" w:hAnsi="Arial"/>
          <w:sz w:val="16"/>
          <w:szCs w:val="16"/>
          <w:color w:val="1E1E1E"/>
        </w:rPr>
      </w:pPr>
      <w:r>
        <w:rPr>
          <w:rFonts w:ascii="Times New Roman" w:cs="Times New Roman" w:eastAsia="Times New Roman" w:hAnsi="Times New Roman"/>
          <w:sz w:val="20"/>
          <w:szCs w:val="20"/>
          <w:color w:val="1E1E1E"/>
        </w:rPr>
        <w:t>our dependence upon key executive management or our inability to hire or retain the talent required for our business;</w:t>
      </w:r>
    </w:p>
    <w:p>
      <w:pPr>
        <w:spacing w:after="0" w:line="37" w:lineRule="exact"/>
        <w:rPr>
          <w:rFonts w:ascii="Arial" w:cs="Arial" w:eastAsia="Arial" w:hAnsi="Arial"/>
          <w:sz w:val="16"/>
          <w:szCs w:val="16"/>
          <w:color w:val="1E1E1E"/>
        </w:rPr>
      </w:pPr>
    </w:p>
    <w:p>
      <w:pPr>
        <w:ind w:left="980" w:hanging="496"/>
        <w:spacing w:after="0"/>
        <w:tabs>
          <w:tab w:leader="none" w:pos="980" w:val="left"/>
        </w:tabs>
        <w:numPr>
          <w:ilvl w:val="0"/>
          <w:numId w:val="9"/>
        </w:numPr>
        <w:rPr>
          <w:rFonts w:ascii="Arial" w:cs="Arial" w:eastAsia="Arial" w:hAnsi="Arial"/>
          <w:sz w:val="16"/>
          <w:szCs w:val="16"/>
          <w:color w:val="1E1E1E"/>
        </w:rPr>
      </w:pPr>
      <w:r>
        <w:rPr>
          <w:rFonts w:ascii="Times New Roman" w:cs="Times New Roman" w:eastAsia="Times New Roman" w:hAnsi="Times New Roman"/>
          <w:sz w:val="20"/>
          <w:szCs w:val="20"/>
          <w:color w:val="1E1E1E"/>
        </w:rPr>
        <w:t>increases in costs of fuel or other energy, transportation or utility costs and in the costs of labor and employment;</w:t>
      </w:r>
    </w:p>
    <w:p>
      <w:pPr>
        <w:spacing w:after="0" w:line="120" w:lineRule="exact"/>
        <w:rPr>
          <w:rFonts w:ascii="Arial" w:cs="Arial" w:eastAsia="Arial" w:hAnsi="Arial"/>
          <w:sz w:val="16"/>
          <w:szCs w:val="16"/>
          <w:color w:val="1E1E1E"/>
        </w:rPr>
      </w:pPr>
    </w:p>
    <w:p>
      <w:pPr>
        <w:ind w:left="980" w:right="340" w:hanging="496"/>
        <w:spacing w:after="0" w:line="281" w:lineRule="auto"/>
        <w:tabs>
          <w:tab w:leader="none" w:pos="980" w:val="left"/>
        </w:tabs>
        <w:numPr>
          <w:ilvl w:val="0"/>
          <w:numId w:val="9"/>
        </w:numPr>
        <w:rPr>
          <w:rFonts w:ascii="Arial" w:cs="Arial" w:eastAsia="Arial" w:hAnsi="Arial"/>
          <w:sz w:val="16"/>
          <w:szCs w:val="16"/>
          <w:color w:val="1E1E1E"/>
        </w:rPr>
      </w:pPr>
      <w:r>
        <w:rPr>
          <w:rFonts w:ascii="Times New Roman" w:cs="Times New Roman" w:eastAsia="Times New Roman" w:hAnsi="Times New Roman"/>
          <w:sz w:val="20"/>
          <w:szCs w:val="20"/>
          <w:color w:val="1E1E1E"/>
        </w:rPr>
        <w:t>failure of our information technology systems to support our current and growing business, before and after our planned upgrades;</w:t>
      </w:r>
    </w:p>
    <w:p>
      <w:pPr>
        <w:spacing w:after="0" w:line="42" w:lineRule="exact"/>
        <w:rPr>
          <w:rFonts w:ascii="Arial" w:cs="Arial" w:eastAsia="Arial" w:hAnsi="Arial"/>
          <w:sz w:val="16"/>
          <w:szCs w:val="16"/>
          <w:color w:val="1E1E1E"/>
        </w:rPr>
      </w:pPr>
    </w:p>
    <w:p>
      <w:pPr>
        <w:ind w:left="980" w:hanging="496"/>
        <w:spacing w:after="0"/>
        <w:tabs>
          <w:tab w:leader="none" w:pos="980" w:val="left"/>
        </w:tabs>
        <w:numPr>
          <w:ilvl w:val="0"/>
          <w:numId w:val="9"/>
        </w:numPr>
        <w:rPr>
          <w:rFonts w:ascii="Arial" w:cs="Arial" w:eastAsia="Arial" w:hAnsi="Arial"/>
          <w:sz w:val="16"/>
          <w:szCs w:val="16"/>
          <w:color w:val="1E1E1E"/>
        </w:rPr>
      </w:pPr>
      <w:r>
        <w:rPr>
          <w:rFonts w:ascii="Times New Roman" w:cs="Times New Roman" w:eastAsia="Times New Roman" w:hAnsi="Times New Roman"/>
          <w:sz w:val="20"/>
          <w:szCs w:val="20"/>
          <w:color w:val="1E1E1E"/>
        </w:rPr>
        <w:t>disruptions in our supply chain and fulfillment centers;</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9"/>
        </w:numPr>
        <w:rPr>
          <w:rFonts w:ascii="Arial" w:cs="Arial" w:eastAsia="Arial" w:hAnsi="Arial"/>
          <w:sz w:val="16"/>
          <w:szCs w:val="16"/>
          <w:color w:val="1E1E1E"/>
        </w:rPr>
      </w:pPr>
      <w:r>
        <w:rPr>
          <w:rFonts w:ascii="Times New Roman" w:cs="Times New Roman" w:eastAsia="Times New Roman" w:hAnsi="Times New Roman"/>
          <w:sz w:val="20"/>
          <w:szCs w:val="20"/>
          <w:color w:val="1E1E1E"/>
        </w:rPr>
        <w:t>our inability to protect our trademarks or other intellectual property rights;</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9"/>
        </w:numPr>
        <w:rPr>
          <w:rFonts w:ascii="Arial" w:cs="Arial" w:eastAsia="Arial" w:hAnsi="Arial"/>
          <w:sz w:val="16"/>
          <w:szCs w:val="16"/>
          <w:color w:val="1E1E1E"/>
        </w:rPr>
      </w:pPr>
      <w:r>
        <w:rPr>
          <w:rFonts w:ascii="Times New Roman" w:cs="Times New Roman" w:eastAsia="Times New Roman" w:hAnsi="Times New Roman"/>
          <w:sz w:val="20"/>
          <w:szCs w:val="20"/>
          <w:color w:val="1E1E1E"/>
        </w:rPr>
        <w:t>infringement on the intellectual property of third parties;</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9"/>
        </w:numPr>
        <w:rPr>
          <w:rFonts w:ascii="Arial" w:cs="Arial" w:eastAsia="Arial" w:hAnsi="Arial"/>
          <w:sz w:val="16"/>
          <w:szCs w:val="16"/>
          <w:color w:val="1E1E1E"/>
        </w:rPr>
      </w:pPr>
      <w:r>
        <w:rPr>
          <w:rFonts w:ascii="Times New Roman" w:cs="Times New Roman" w:eastAsia="Times New Roman" w:hAnsi="Times New Roman"/>
          <w:sz w:val="20"/>
          <w:szCs w:val="20"/>
          <w:color w:val="1E1E1E"/>
        </w:rPr>
        <w:t>acts of war, terrorism or civil unrest;</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9"/>
        </w:numPr>
        <w:rPr>
          <w:rFonts w:ascii="Arial" w:cs="Arial" w:eastAsia="Arial" w:hAnsi="Arial"/>
          <w:sz w:val="16"/>
          <w:szCs w:val="16"/>
          <w:color w:val="1E1E1E"/>
        </w:rPr>
      </w:pPr>
      <w:r>
        <w:rPr>
          <w:rFonts w:ascii="Times New Roman" w:cs="Times New Roman" w:eastAsia="Times New Roman" w:hAnsi="Times New Roman"/>
          <w:sz w:val="20"/>
          <w:szCs w:val="20"/>
          <w:color w:val="1E1E1E"/>
        </w:rPr>
        <w:t>the impact of governmental laws and regulations and the outcomes of legal proceedings;</w:t>
      </w:r>
    </w:p>
    <w:p>
      <w:pPr>
        <w:spacing w:after="0" w:line="120" w:lineRule="exact"/>
        <w:rPr>
          <w:rFonts w:ascii="Arial" w:cs="Arial" w:eastAsia="Arial" w:hAnsi="Arial"/>
          <w:sz w:val="16"/>
          <w:szCs w:val="16"/>
          <w:color w:val="1E1E1E"/>
        </w:rPr>
      </w:pPr>
    </w:p>
    <w:p>
      <w:pPr>
        <w:ind w:left="980" w:right="680" w:hanging="496"/>
        <w:spacing w:after="0" w:line="281" w:lineRule="auto"/>
        <w:tabs>
          <w:tab w:leader="none" w:pos="980" w:val="left"/>
        </w:tabs>
        <w:numPr>
          <w:ilvl w:val="0"/>
          <w:numId w:val="9"/>
        </w:numPr>
        <w:rPr>
          <w:rFonts w:ascii="Arial" w:cs="Arial" w:eastAsia="Arial" w:hAnsi="Arial"/>
          <w:sz w:val="16"/>
          <w:szCs w:val="16"/>
          <w:color w:val="1E1E1E"/>
        </w:rPr>
      </w:pPr>
      <w:r>
        <w:rPr>
          <w:rFonts w:ascii="Times New Roman" w:cs="Times New Roman" w:eastAsia="Times New Roman" w:hAnsi="Times New Roman"/>
          <w:sz w:val="20"/>
          <w:szCs w:val="20"/>
          <w:color w:val="1E1E1E"/>
        </w:rPr>
        <w:t>changes in U.S. and non-U.S. laws affecting the importation and taxation of goods, including imposition of unilateral tariffs on imported goods;</w:t>
      </w:r>
    </w:p>
    <w:p>
      <w:pPr>
        <w:spacing w:after="0" w:line="42" w:lineRule="exact"/>
        <w:rPr>
          <w:rFonts w:ascii="Arial" w:cs="Arial" w:eastAsia="Arial" w:hAnsi="Arial"/>
          <w:sz w:val="16"/>
          <w:szCs w:val="16"/>
          <w:color w:val="1E1E1E"/>
        </w:rPr>
      </w:pPr>
    </w:p>
    <w:p>
      <w:pPr>
        <w:ind w:left="980" w:hanging="496"/>
        <w:spacing w:after="0"/>
        <w:tabs>
          <w:tab w:leader="none" w:pos="980" w:val="left"/>
        </w:tabs>
        <w:numPr>
          <w:ilvl w:val="0"/>
          <w:numId w:val="9"/>
        </w:numPr>
        <w:rPr>
          <w:rFonts w:ascii="Arial" w:cs="Arial" w:eastAsia="Arial" w:hAnsi="Arial"/>
          <w:sz w:val="16"/>
          <w:szCs w:val="16"/>
          <w:color w:val="1E1E1E"/>
        </w:rPr>
      </w:pPr>
      <w:r>
        <w:rPr>
          <w:rFonts w:ascii="Times New Roman" w:cs="Times New Roman" w:eastAsia="Times New Roman" w:hAnsi="Times New Roman"/>
          <w:sz w:val="20"/>
          <w:szCs w:val="20"/>
          <w:color w:val="1E1E1E"/>
        </w:rPr>
        <w:t>our ability to secure the personal and/or financial information of our customers and employees;</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9"/>
        </w:numPr>
        <w:rPr>
          <w:rFonts w:ascii="Arial" w:cs="Arial" w:eastAsia="Arial" w:hAnsi="Arial"/>
          <w:sz w:val="16"/>
          <w:szCs w:val="16"/>
          <w:color w:val="1E1E1E"/>
        </w:rPr>
      </w:pPr>
      <w:r>
        <w:rPr>
          <w:rFonts w:ascii="Times New Roman" w:cs="Times New Roman" w:eastAsia="Times New Roman" w:hAnsi="Times New Roman"/>
          <w:sz w:val="20"/>
          <w:szCs w:val="20"/>
          <w:color w:val="1E1E1E"/>
        </w:rPr>
        <w:t>failure to comply with data privacy regulations;</w:t>
      </w:r>
    </w:p>
    <w:p>
      <w:pPr>
        <w:spacing w:after="0" w:line="115" w:lineRule="exact"/>
        <w:rPr>
          <w:rFonts w:ascii="Arial" w:cs="Arial" w:eastAsia="Arial" w:hAnsi="Arial"/>
          <w:sz w:val="16"/>
          <w:szCs w:val="16"/>
          <w:color w:val="1E1E1E"/>
        </w:rPr>
      </w:pPr>
    </w:p>
    <w:p>
      <w:pPr>
        <w:ind w:left="980" w:hanging="496"/>
        <w:spacing w:after="0"/>
        <w:tabs>
          <w:tab w:leader="none" w:pos="980" w:val="left"/>
        </w:tabs>
        <w:numPr>
          <w:ilvl w:val="0"/>
          <w:numId w:val="9"/>
        </w:numPr>
        <w:rPr>
          <w:rFonts w:ascii="Arial" w:cs="Arial" w:eastAsia="Arial" w:hAnsi="Arial"/>
          <w:sz w:val="16"/>
          <w:szCs w:val="16"/>
          <w:color w:val="1E1E1E"/>
        </w:rPr>
      </w:pPr>
      <w:r>
        <w:rPr>
          <w:rFonts w:ascii="Times New Roman" w:cs="Times New Roman" w:eastAsia="Times New Roman" w:hAnsi="Times New Roman"/>
          <w:sz w:val="20"/>
          <w:szCs w:val="20"/>
          <w:color w:val="1E1E1E"/>
        </w:rPr>
        <w:t>our ability to comply with the security standards for the credit card industry;</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9"/>
        </w:numPr>
        <w:rPr>
          <w:rFonts w:ascii="Arial" w:cs="Arial" w:eastAsia="Arial" w:hAnsi="Arial"/>
          <w:sz w:val="16"/>
          <w:szCs w:val="16"/>
          <w:color w:val="1E1E1E"/>
        </w:rPr>
      </w:pPr>
      <w:r>
        <w:rPr>
          <w:rFonts w:ascii="Times New Roman" w:cs="Times New Roman" w:eastAsia="Times New Roman" w:hAnsi="Times New Roman"/>
          <w:sz w:val="20"/>
          <w:szCs w:val="20"/>
          <w:color w:val="1E1E1E"/>
        </w:rPr>
        <w:t>our failure to maintain adequate internal controls over our financial and management systems; and</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9"/>
        </w:numPr>
        <w:rPr>
          <w:rFonts w:ascii="Arial" w:cs="Arial" w:eastAsia="Arial" w:hAnsi="Arial"/>
          <w:sz w:val="16"/>
          <w:szCs w:val="16"/>
          <w:color w:val="1E1E1E"/>
        </w:rPr>
      </w:pPr>
      <w:r>
        <w:rPr>
          <w:rFonts w:ascii="Times New Roman" w:cs="Times New Roman" w:eastAsia="Times New Roman" w:hAnsi="Times New Roman"/>
          <w:sz w:val="20"/>
          <w:szCs w:val="20"/>
          <w:color w:val="1E1E1E"/>
        </w:rPr>
        <w:t>acquisition, disposition, and development risks.</w:t>
      </w:r>
    </w:p>
    <w:p>
      <w:pPr>
        <w:spacing w:after="0" w:line="202" w:lineRule="exact"/>
        <w:rPr>
          <w:sz w:val="20"/>
          <w:szCs w:val="20"/>
          <w:color w:val="auto"/>
        </w:rPr>
      </w:pPr>
    </w:p>
    <w:p>
      <w:pPr>
        <w:jc w:val="both"/>
        <w:ind w:right="220" w:firstLine="490"/>
        <w:spacing w:after="0" w:line="261" w:lineRule="auto"/>
        <w:rPr>
          <w:sz w:val="20"/>
          <w:szCs w:val="20"/>
          <w:color w:val="auto"/>
        </w:rPr>
      </w:pPr>
      <w:r>
        <w:rPr>
          <w:rFonts w:ascii="Times New Roman" w:cs="Times New Roman" w:eastAsia="Times New Roman" w:hAnsi="Times New Roman"/>
          <w:sz w:val="20"/>
          <w:szCs w:val="20"/>
          <w:color w:val="1E1E1E"/>
        </w:rPr>
        <w:t>We make many of our forward-looking statements based on our operating budgets and forecasts, which are based upon detailed assumptions. While we believe that our assumptions are reasonable, we caution that it is very difficult to predict the impact of known factors, and it is impossible for us to anticipate all factors that could affect our actual results.</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See the “Risk Factors” section of this Annual Report on Form 10-K for a more complete discussion of the risks and</w:t>
      </w:r>
    </w:p>
    <w:p>
      <w:pPr>
        <w:spacing w:after="0" w:line="254" w:lineRule="auto"/>
        <w:rPr>
          <w:sz w:val="20"/>
          <w:szCs w:val="20"/>
          <w:color w:val="auto"/>
        </w:rPr>
      </w:pPr>
      <w:r>
        <w:rPr>
          <w:rFonts w:ascii="Times New Roman" w:cs="Times New Roman" w:eastAsia="Times New Roman" w:hAnsi="Times New Roman"/>
          <w:sz w:val="20"/>
          <w:szCs w:val="20"/>
          <w:color w:val="1E1E1E"/>
        </w:rPr>
        <w:t>uncertainties mentioned above and for discussion of other risks and uncertainties. All forward-looking statements attributable to us are expressly qualified in their entirety by these cautionary statements as well as others made in this annual report and hereafter in our other SEC filings and public communications. You should evaluate all forward-looking statements made by us in the context of these risks and uncertainties.</w:t>
      </w:r>
    </w:p>
    <w:p>
      <w:pPr>
        <w:spacing w:after="0" w:line="145" w:lineRule="exact"/>
        <w:rPr>
          <w:sz w:val="20"/>
          <w:szCs w:val="20"/>
          <w:color w:val="auto"/>
        </w:rPr>
      </w:pPr>
    </w:p>
    <w:p>
      <w:pPr>
        <w:ind w:right="40" w:firstLine="490"/>
        <w:spacing w:after="0" w:line="254" w:lineRule="auto"/>
        <w:rPr>
          <w:sz w:val="20"/>
          <w:szCs w:val="20"/>
          <w:color w:val="auto"/>
        </w:rPr>
      </w:pPr>
      <w:r>
        <w:rPr>
          <w:rFonts w:ascii="Times New Roman" w:cs="Times New Roman" w:eastAsia="Times New Roman" w:hAnsi="Times New Roman"/>
          <w:sz w:val="20"/>
          <w:szCs w:val="20"/>
          <w:color w:val="1E1E1E"/>
        </w:rPr>
        <w:t>We caution you that the risks and uncertainties identified by us may not be all of the factors that are important to you. Furthermore, the forward-looking statements included in this Annual Report on Form 10-K are made only as of the date hereof. We undertake no obligation to publicly update or revise any forward-looking statement as a result of new information, future events or otherwise, except as otherwise required by law.</w:t>
      </w:r>
    </w:p>
    <w:p>
      <w:pPr>
        <w:sectPr>
          <w:pgSz w:w="11880" w:h="15480" w:orient="portrait"/>
          <w:cols w:equalWidth="0" w:num="1">
            <w:col w:w="10240"/>
          </w:cols>
          <w:pgMar w:left="820" w:top="877"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3</w:t>
      </w:r>
    </w:p>
    <w:p>
      <w:pPr>
        <w:sectPr>
          <w:pgSz w:w="11880" w:h="15480" w:orient="portrait"/>
          <w:cols w:equalWidth="0" w:num="1">
            <w:col w:w="10240"/>
          </w:cols>
          <w:pgMar w:left="820" w:top="877" w:right="820" w:bottom="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1E1E1E"/>
        </w:rPr>
        <w:t>PART I</w:t>
      </w:r>
    </w:p>
    <w:p>
      <w:pPr>
        <w:spacing w:after="0" w:line="253"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20"/>
          <w:szCs w:val="20"/>
          <w:color w:val="1E1E1E"/>
        </w:rPr>
        <w:t>ITEM 1.</w:t>
      </w:r>
      <w:r>
        <w:rPr>
          <w:sz w:val="20"/>
          <w:szCs w:val="20"/>
          <w:color w:val="auto"/>
        </w:rPr>
        <w:tab/>
      </w:r>
      <w:r>
        <w:rPr>
          <w:rFonts w:ascii="Times New Roman" w:cs="Times New Roman" w:eastAsia="Times New Roman" w:hAnsi="Times New Roman"/>
          <w:sz w:val="20"/>
          <w:szCs w:val="20"/>
          <w:color w:val="1E1E1E"/>
        </w:rPr>
        <w:t>BUSINESS</w:t>
      </w:r>
    </w:p>
    <w:p>
      <w:pPr>
        <w:spacing w:after="0" w:line="253" w:lineRule="exact"/>
        <w:rPr>
          <w:sz w:val="20"/>
          <w:szCs w:val="20"/>
          <w:color w:val="auto"/>
        </w:rPr>
      </w:pPr>
    </w:p>
    <w:p>
      <w:pPr>
        <w:ind w:right="360" w:firstLine="490"/>
        <w:spacing w:after="0" w:line="305" w:lineRule="auto"/>
        <w:rPr>
          <w:sz w:val="20"/>
          <w:szCs w:val="20"/>
          <w:color w:val="auto"/>
        </w:rPr>
      </w:pPr>
      <w:r>
        <w:rPr>
          <w:rFonts w:ascii="Times New Roman" w:cs="Times New Roman" w:eastAsia="Times New Roman" w:hAnsi="Times New Roman"/>
          <w:sz w:val="19"/>
          <w:szCs w:val="19"/>
          <w:i w:val="1"/>
          <w:iCs w:val="1"/>
          <w:color w:val="1E1E1E"/>
        </w:rPr>
        <w:t>Unless the context indicates otherwise, the terms the “Company,” “Duluth,” “Duluth Trading,” “Duluth Holdings,” “Duluth Trading Company,” “Duluth Trading Co.,” “we,” “our” or “us” are used to refer to Duluth Holdings Inc.</w:t>
      </w:r>
    </w:p>
    <w:p>
      <w:pPr>
        <w:spacing w:after="0" w:line="102" w:lineRule="exact"/>
        <w:rPr>
          <w:sz w:val="20"/>
          <w:szCs w:val="20"/>
          <w:color w:val="auto"/>
        </w:rPr>
      </w:pPr>
    </w:p>
    <w:p>
      <w:pPr>
        <w:ind w:right="80" w:firstLine="490"/>
        <w:spacing w:after="0" w:line="305" w:lineRule="auto"/>
        <w:rPr>
          <w:sz w:val="20"/>
          <w:szCs w:val="20"/>
          <w:color w:val="auto"/>
        </w:rPr>
      </w:pPr>
      <w:r>
        <w:rPr>
          <w:rFonts w:ascii="Times New Roman" w:cs="Times New Roman" w:eastAsia="Times New Roman" w:hAnsi="Times New Roman"/>
          <w:sz w:val="19"/>
          <w:szCs w:val="19"/>
          <w:i w:val="1"/>
          <w:iCs w:val="1"/>
          <w:color w:val="1E1E1E"/>
        </w:rPr>
        <w:t>The following discussion contains references to fiscal years 2024 and 2023, which refer to our fiscal years ended February 2, 2025 and January 28, 2024, respectively. Fiscal year 2024 was a 53-week period and 2023 was a 52-week period.</w:t>
      </w:r>
    </w:p>
    <w:p>
      <w:pPr>
        <w:spacing w:after="0" w:line="104" w:lineRule="exact"/>
        <w:rPr>
          <w:sz w:val="20"/>
          <w:szCs w:val="20"/>
          <w:color w:val="auto"/>
        </w:rPr>
      </w:pPr>
    </w:p>
    <w:p>
      <w:pPr>
        <w:ind w:right="20" w:firstLine="490"/>
        <w:spacing w:after="0" w:line="254" w:lineRule="auto"/>
        <w:rPr>
          <w:sz w:val="20"/>
          <w:szCs w:val="20"/>
          <w:color w:val="auto"/>
        </w:rPr>
      </w:pPr>
      <w:r>
        <w:rPr>
          <w:rFonts w:ascii="Times New Roman" w:cs="Times New Roman" w:eastAsia="Times New Roman" w:hAnsi="Times New Roman"/>
          <w:sz w:val="20"/>
          <w:szCs w:val="20"/>
          <w:color w:val="1E1E1E"/>
        </w:rPr>
        <w:t>Duluth Trading is a lifestyle brand of men’s and women’s workwear, casual wear, outdoor apparel and accessories primarily sold through our own omnichannel platform. We offer products nationwide through our website. In 2010, we initiated our omnichannel platform with the opening of our first store. Since then, we have expanded our retail presence, and as of February 2, 2025, we operated 62 retail stores and three outlet stores.</w:t>
      </w:r>
    </w:p>
    <w:p>
      <w:pPr>
        <w:spacing w:after="0" w:line="145"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1E1E1E"/>
        </w:rPr>
        <w:t>Duluth Trading was founded in 1989 when two brothers in the home construction industry were tired of dragging tools from job to job using discarded five-gallon drywall compound buckets. The two brothers were never satisfied with the status quo and believed “there’s gotta be a better way.” So, they invented the Bucket Boss® - a ruggedly durable canvas tool organizer that fits around a drywall bucket and transformed the way construction workers organized their tools. Capitalizing on their initial success, these brothers launched a catalog that later became known as Duluth Trading Company. Under the initial philosophy of “Job Tough, Job Smart,” this catalog was dedicated to improving and expanding on existing methods of tool storage, organization and transport. In December 2000, GEMPLER’S Inc., a Wisconsin corporation and an agricultural and horticultural supply catalog business founded and owned by Stephen L. Schlecht, acquired Duluth Trading and brought the two mail order companies together. Both catalogs had customers who worked outside and embraced the spirit of hands-on, self-reliant Americans. In February 2003, the GEMPLER’s catalog business was sold to W.W. Grainger (NYSE:GWW) and proceeds from that sale were used to fund the growth of Duluth Trading. With that transaction, GEMPLER’S changed its corporate name to Duluth Holdings Inc.</w:t>
      </w:r>
    </w:p>
    <w:p>
      <w:pPr>
        <w:spacing w:after="0" w:line="168"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1E1E1E"/>
        </w:rPr>
        <w:t xml:space="preserve">From what began as an idea aimed at those working in the building trades, Duluth Trading has become a widely recognized brand and proprietary line of innovative and functional apparel and gear. We have created strong brand awareness and built a loyal customer base. We believe the foundation of our success is our culture of “poking average in the eye” </w:t>
      </w:r>
      <w:r>
        <w:rPr>
          <w:rFonts w:ascii="Times New Roman" w:cs="Times New Roman" w:eastAsia="Times New Roman" w:hAnsi="Times New Roman"/>
          <w:sz w:val="20"/>
          <w:szCs w:val="20"/>
          <w:i w:val="1"/>
          <w:iCs w:val="1"/>
          <w:color w:val="1E1E1E"/>
        </w:rPr>
        <w:t>by</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seeing things for what they could be and should be and finding a way to make them exactly that, and we like to do it all with a big, toothy grin.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Our Growth Strategies</w:t>
      </w:r>
    </w:p>
    <w:p>
      <w:pPr>
        <w:spacing w:after="0" w:line="124" w:lineRule="exact"/>
        <w:rPr>
          <w:sz w:val="20"/>
          <w:szCs w:val="20"/>
          <w:color w:val="auto"/>
        </w:rPr>
      </w:pPr>
    </w:p>
    <w:p>
      <w:pPr>
        <w:ind w:right="580" w:firstLine="490"/>
        <w:spacing w:after="0" w:line="261" w:lineRule="auto"/>
        <w:rPr>
          <w:sz w:val="20"/>
          <w:szCs w:val="20"/>
          <w:color w:val="auto"/>
        </w:rPr>
      </w:pPr>
      <w:r>
        <w:rPr>
          <w:rFonts w:ascii="Times New Roman" w:cs="Times New Roman" w:eastAsia="Times New Roman" w:hAnsi="Times New Roman"/>
          <w:sz w:val="20"/>
          <w:szCs w:val="20"/>
          <w:color w:val="1E1E1E"/>
        </w:rPr>
        <w:t>In 2021, the Company completed a comprehensive review of current operations, logistics networks, marketing and technology capabilities, and unique brands and products. The Company formulated the “Big Dam Blueprint”, which management believes will unlock the Company’s full potential for long-term, sustainable growth.</w:t>
      </w:r>
    </w:p>
    <w:p>
      <w:pPr>
        <w:spacing w:after="0" w:line="57" w:lineRule="exact"/>
        <w:rPr>
          <w:sz w:val="20"/>
          <w:szCs w:val="20"/>
          <w:color w:val="auto"/>
        </w:rPr>
      </w:pPr>
    </w:p>
    <w:p>
      <w:pPr>
        <w:ind w:left="980" w:right="780" w:hanging="496"/>
        <w:spacing w:after="0" w:line="285" w:lineRule="auto"/>
        <w:tabs>
          <w:tab w:leader="none" w:pos="980" w:val="left"/>
        </w:tabs>
        <w:numPr>
          <w:ilvl w:val="0"/>
          <w:numId w:val="10"/>
        </w:numPr>
        <w:rPr>
          <w:rFonts w:ascii="Arial" w:cs="Arial" w:eastAsia="Arial" w:hAnsi="Arial"/>
          <w:sz w:val="16"/>
          <w:szCs w:val="16"/>
          <w:color w:val="1E1E1E"/>
        </w:rPr>
      </w:pPr>
      <w:r>
        <w:rPr>
          <w:rFonts w:ascii="Times New Roman" w:cs="Times New Roman" w:eastAsia="Times New Roman" w:hAnsi="Times New Roman"/>
          <w:sz w:val="20"/>
          <w:szCs w:val="20"/>
          <w:b w:val="1"/>
          <w:bCs w:val="1"/>
          <w:color w:val="1E1E1E"/>
        </w:rPr>
        <w:t xml:space="preserve">Begin with a digital-first mindset </w:t>
      </w:r>
      <w:r>
        <w:rPr>
          <w:rFonts w:ascii="Times New Roman" w:cs="Times New Roman" w:eastAsia="Times New Roman" w:hAnsi="Times New Roman"/>
          <w:sz w:val="20"/>
          <w:szCs w:val="20"/>
          <w:color w:val="1E1E1E"/>
        </w:rPr>
        <w:t>that integrates technology into all areas of the business, fundamentally</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changing how we operate and deliver value to customers.</w:t>
      </w:r>
    </w:p>
    <w:p>
      <w:pPr>
        <w:spacing w:after="0" w:line="34" w:lineRule="exact"/>
        <w:rPr>
          <w:rFonts w:ascii="Arial" w:cs="Arial" w:eastAsia="Arial" w:hAnsi="Arial"/>
          <w:sz w:val="16"/>
          <w:szCs w:val="16"/>
          <w:color w:val="1E1E1E"/>
        </w:rPr>
      </w:pPr>
    </w:p>
    <w:p>
      <w:pPr>
        <w:ind w:left="980" w:right="220" w:hanging="496"/>
        <w:spacing w:after="0" w:line="260" w:lineRule="auto"/>
        <w:tabs>
          <w:tab w:leader="none" w:pos="980" w:val="left"/>
        </w:tabs>
        <w:numPr>
          <w:ilvl w:val="0"/>
          <w:numId w:val="10"/>
        </w:numPr>
        <w:rPr>
          <w:rFonts w:ascii="Arial" w:cs="Arial" w:eastAsia="Arial" w:hAnsi="Arial"/>
          <w:sz w:val="16"/>
          <w:szCs w:val="16"/>
          <w:color w:val="1E1E1E"/>
        </w:rPr>
      </w:pPr>
      <w:r>
        <w:rPr>
          <w:rFonts w:ascii="Times New Roman" w:cs="Times New Roman" w:eastAsia="Times New Roman" w:hAnsi="Times New Roman"/>
          <w:sz w:val="20"/>
          <w:szCs w:val="20"/>
          <w:b w:val="1"/>
          <w:bCs w:val="1"/>
          <w:color w:val="1E1E1E"/>
        </w:rPr>
        <w:t xml:space="preserve">Intensify efforts to optimize Duluth Trading’s owned retail channels </w:t>
      </w:r>
      <w:r>
        <w:rPr>
          <w:rFonts w:ascii="Times New Roman" w:cs="Times New Roman" w:eastAsia="Times New Roman" w:hAnsi="Times New Roman"/>
          <w:sz w:val="20"/>
          <w:szCs w:val="20"/>
          <w:color w:val="1E1E1E"/>
        </w:rPr>
        <w:t>by increasing focus and investments in</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our direct channel as our primary growth vehicle. We are conducting strategic research that will inform decisions on future stores regarding new locations and market share potential, size, format, and assortment.</w:t>
      </w:r>
    </w:p>
    <w:p>
      <w:pPr>
        <w:spacing w:after="0" w:line="58" w:lineRule="exact"/>
        <w:rPr>
          <w:rFonts w:ascii="Arial" w:cs="Arial" w:eastAsia="Arial" w:hAnsi="Arial"/>
          <w:sz w:val="16"/>
          <w:szCs w:val="16"/>
          <w:color w:val="1E1E1E"/>
        </w:rPr>
      </w:pPr>
    </w:p>
    <w:p>
      <w:pPr>
        <w:jc w:val="both"/>
        <w:ind w:left="980" w:right="40" w:hanging="496"/>
        <w:spacing w:after="0" w:line="254" w:lineRule="auto"/>
        <w:tabs>
          <w:tab w:leader="none" w:pos="980" w:val="left"/>
        </w:tabs>
        <w:numPr>
          <w:ilvl w:val="0"/>
          <w:numId w:val="10"/>
        </w:numPr>
        <w:rPr>
          <w:rFonts w:ascii="Arial" w:cs="Arial" w:eastAsia="Arial" w:hAnsi="Arial"/>
          <w:sz w:val="15"/>
          <w:szCs w:val="15"/>
          <w:color w:val="1E1E1E"/>
        </w:rPr>
      </w:pPr>
      <w:r>
        <w:rPr>
          <w:rFonts w:ascii="Times New Roman" w:cs="Times New Roman" w:eastAsia="Times New Roman" w:hAnsi="Times New Roman"/>
          <w:sz w:val="19"/>
          <w:szCs w:val="19"/>
          <w:b w:val="1"/>
          <w:bCs w:val="1"/>
          <w:color w:val="1E1E1E"/>
        </w:rPr>
        <w:t xml:space="preserve">Evolve the Company’s platform to grow into a multi-brand and multi-channel business. </w:t>
      </w:r>
      <w:r>
        <w:rPr>
          <w:rFonts w:ascii="Times New Roman" w:cs="Times New Roman" w:eastAsia="Times New Roman" w:hAnsi="Times New Roman"/>
          <w:sz w:val="19"/>
          <w:szCs w:val="19"/>
          <w:color w:val="1E1E1E"/>
        </w:rPr>
        <w:t>Create unique brand</w:t>
      </w:r>
      <w:r>
        <w:rPr>
          <w:rFonts w:ascii="Times New Roman" w:cs="Times New Roman" w:eastAsia="Times New Roman" w:hAnsi="Times New Roman"/>
          <w:sz w:val="19"/>
          <w:szCs w:val="19"/>
          <w:b w:val="1"/>
          <w:bCs w:val="1"/>
          <w:color w:val="1E1E1E"/>
        </w:rPr>
        <w:t xml:space="preserve"> </w:t>
      </w:r>
      <w:r>
        <w:rPr>
          <w:rFonts w:ascii="Times New Roman" w:cs="Times New Roman" w:eastAsia="Times New Roman" w:hAnsi="Times New Roman"/>
          <w:sz w:val="19"/>
          <w:szCs w:val="19"/>
          <w:color w:val="1E1E1E"/>
        </w:rPr>
        <w:t>positions, across men’s and women’s, for Duluth and AKHG, as well as for our important Buck Naked franchise to address customer needs for various occasions including work, outdoor recreation, casual lifestyle, and first layer.</w:t>
      </w:r>
    </w:p>
    <w:p>
      <w:pPr>
        <w:ind w:left="980"/>
        <w:spacing w:after="0" w:line="281" w:lineRule="auto"/>
        <w:rPr>
          <w:rFonts w:ascii="Arial" w:cs="Arial" w:eastAsia="Arial" w:hAnsi="Arial"/>
          <w:sz w:val="15"/>
          <w:szCs w:val="15"/>
          <w:color w:val="1E1E1E"/>
        </w:rPr>
      </w:pPr>
      <w:r>
        <w:rPr>
          <w:rFonts w:ascii="Times New Roman" w:cs="Times New Roman" w:eastAsia="Times New Roman" w:hAnsi="Times New Roman"/>
          <w:sz w:val="20"/>
          <w:szCs w:val="20"/>
          <w:color w:val="1E1E1E"/>
        </w:rPr>
        <w:t>Invest in the evolution of the Duluth Trading platform to enable the integration of new brands and channels, expand our product offering and broaden our customer base.</w:t>
      </w:r>
    </w:p>
    <w:p>
      <w:pPr>
        <w:spacing w:after="0" w:line="38" w:lineRule="exact"/>
        <w:rPr>
          <w:rFonts w:ascii="Arial" w:cs="Arial" w:eastAsia="Arial" w:hAnsi="Arial"/>
          <w:sz w:val="15"/>
          <w:szCs w:val="15"/>
          <w:color w:val="1E1E1E"/>
        </w:rPr>
      </w:pPr>
    </w:p>
    <w:p>
      <w:pPr>
        <w:ind w:left="980" w:right="40" w:hanging="496"/>
        <w:spacing w:after="0" w:line="285" w:lineRule="auto"/>
        <w:tabs>
          <w:tab w:leader="none" w:pos="980" w:val="left"/>
        </w:tabs>
        <w:numPr>
          <w:ilvl w:val="0"/>
          <w:numId w:val="10"/>
        </w:numPr>
        <w:rPr>
          <w:rFonts w:ascii="Arial" w:cs="Arial" w:eastAsia="Arial" w:hAnsi="Arial"/>
          <w:sz w:val="16"/>
          <w:szCs w:val="16"/>
          <w:color w:val="1E1E1E"/>
        </w:rPr>
      </w:pPr>
      <w:r>
        <w:rPr>
          <w:rFonts w:ascii="Times New Roman" w:cs="Times New Roman" w:eastAsia="Times New Roman" w:hAnsi="Times New Roman"/>
          <w:sz w:val="20"/>
          <w:szCs w:val="20"/>
          <w:b w:val="1"/>
          <w:bCs w:val="1"/>
          <w:color w:val="1E1E1E"/>
        </w:rPr>
        <w:t xml:space="preserve">Prioritize test and learn to unlock long-term growth potential. </w:t>
      </w:r>
      <w:r>
        <w:rPr>
          <w:rFonts w:ascii="Times New Roman" w:cs="Times New Roman" w:eastAsia="Times New Roman" w:hAnsi="Times New Roman"/>
          <w:sz w:val="20"/>
          <w:szCs w:val="20"/>
          <w:color w:val="1E1E1E"/>
        </w:rPr>
        <w:t>Explore new opportunities to engage current and</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potential customers through products, services and touchpoints that they expect and value.</w:t>
      </w:r>
    </w:p>
    <w:p>
      <w:pPr>
        <w:spacing w:after="0" w:line="34" w:lineRule="exact"/>
        <w:rPr>
          <w:rFonts w:ascii="Arial" w:cs="Arial" w:eastAsia="Arial" w:hAnsi="Arial"/>
          <w:sz w:val="16"/>
          <w:szCs w:val="16"/>
          <w:color w:val="1E1E1E"/>
        </w:rPr>
      </w:pPr>
    </w:p>
    <w:p>
      <w:pPr>
        <w:ind w:left="980" w:right="180" w:hanging="496"/>
        <w:spacing w:after="0" w:line="260" w:lineRule="auto"/>
        <w:tabs>
          <w:tab w:leader="none" w:pos="980" w:val="left"/>
        </w:tabs>
        <w:numPr>
          <w:ilvl w:val="0"/>
          <w:numId w:val="10"/>
        </w:numPr>
        <w:rPr>
          <w:rFonts w:ascii="Arial" w:cs="Arial" w:eastAsia="Arial" w:hAnsi="Arial"/>
          <w:sz w:val="16"/>
          <w:szCs w:val="16"/>
          <w:color w:val="1E1E1E"/>
        </w:rPr>
      </w:pPr>
      <w:r>
        <w:rPr>
          <w:rFonts w:ascii="Times New Roman" w:cs="Times New Roman" w:eastAsia="Times New Roman" w:hAnsi="Times New Roman"/>
          <w:sz w:val="20"/>
          <w:szCs w:val="20"/>
          <w:b w:val="1"/>
          <w:bCs w:val="1"/>
          <w:color w:val="1E1E1E"/>
        </w:rPr>
        <w:t xml:space="preserve">Future proof the business through investments in capabilities and infrastructure. </w:t>
      </w:r>
      <w:r>
        <w:rPr>
          <w:rFonts w:ascii="Times New Roman" w:cs="Times New Roman" w:eastAsia="Times New Roman" w:hAnsi="Times New Roman"/>
          <w:sz w:val="20"/>
          <w:szCs w:val="20"/>
          <w:color w:val="1E1E1E"/>
        </w:rPr>
        <w:t>Including logistics,</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operations, and planning systems, processes, and talent needed to scale the business and enable a multi-brand and multi-channel strategy.</w:t>
      </w:r>
    </w:p>
    <w:p>
      <w:pPr>
        <w:sectPr>
          <w:pgSz w:w="11880" w:h="15480" w:orient="portrait"/>
          <w:cols w:equalWidth="0" w:num="1">
            <w:col w:w="10240"/>
          </w:cols>
          <w:pgMar w:left="820" w:top="87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4</w:t>
      </w:r>
    </w:p>
    <w:p>
      <w:pPr>
        <w:sectPr>
          <w:pgSz w:w="11880" w:h="15480" w:orient="portrait"/>
          <w:cols w:equalWidth="0" w:num="1">
            <w:col w:w="10240"/>
          </w:cols>
          <w:pgMar w:left="820" w:top="874" w:right="82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1E1E1E"/>
        </w:rPr>
        <w:t>Omnichannel</w:t>
      </w:r>
    </w:p>
    <w:p>
      <w:pPr>
        <w:spacing w:after="0" w:line="200" w:lineRule="exact"/>
        <w:rPr>
          <w:sz w:val="20"/>
          <w:szCs w:val="20"/>
          <w:color w:val="auto"/>
        </w:rPr>
      </w:pPr>
    </w:p>
    <w:p>
      <w:pPr>
        <w:ind w:right="80" w:firstLine="490"/>
        <w:spacing w:after="0" w:line="254" w:lineRule="auto"/>
        <w:rPr>
          <w:sz w:val="20"/>
          <w:szCs w:val="20"/>
          <w:color w:val="auto"/>
        </w:rPr>
      </w:pPr>
      <w:r>
        <w:rPr>
          <w:rFonts w:ascii="Times New Roman" w:cs="Times New Roman" w:eastAsia="Times New Roman" w:hAnsi="Times New Roman"/>
          <w:sz w:val="20"/>
          <w:szCs w:val="20"/>
          <w:color w:val="1E1E1E"/>
        </w:rPr>
        <w:t>Our omnichannel business strategy allows our sales channels to work in synergy to seamlessly deliver a consistent brand experience to the customer, including consistent marketing, pricing and product presentation. All sales channels are fully integrated, including stores, website, catalogs and customer contact centers. Our omnichannel services include order-in-store, buy-online-pickup-in-store, and ship-from-store as well as retail store and mobile shopping experiences.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Retail Store Environment</w:t>
      </w:r>
    </w:p>
    <w:p>
      <w:pPr>
        <w:spacing w:after="0" w:line="200" w:lineRule="exact"/>
        <w:rPr>
          <w:sz w:val="20"/>
          <w:szCs w:val="20"/>
          <w:color w:val="auto"/>
        </w:rPr>
      </w:pPr>
    </w:p>
    <w:p>
      <w:pPr>
        <w:ind w:right="120" w:firstLine="490"/>
        <w:spacing w:after="0" w:line="250" w:lineRule="auto"/>
        <w:rPr>
          <w:sz w:val="20"/>
          <w:szCs w:val="20"/>
          <w:color w:val="auto"/>
        </w:rPr>
      </w:pPr>
      <w:r>
        <w:rPr>
          <w:rFonts w:ascii="Times New Roman" w:cs="Times New Roman" w:eastAsia="Times New Roman" w:hAnsi="Times New Roman"/>
          <w:sz w:val="20"/>
          <w:szCs w:val="20"/>
          <w:color w:val="1E1E1E"/>
        </w:rPr>
        <w:t>Our retail stores are designed to bring our brand to life by creating a unique and entertaining experience, including engaging sales associates, a compelling and complete product assortment, and custom-made fixtures to fit our brand. We also showcase unique attractions at each retail store that celebrate the heritage of the local area, such as the tool museum in our Mt. Horeb, Wisconsin store and the “Exploded Tractor” exhibit in our Ankeny, Iowa store. We believe these local community elements help promote customer loyalty and drive repeat purchases.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Our Products</w:t>
      </w:r>
    </w:p>
    <w:p>
      <w:pPr>
        <w:spacing w:after="0" w:line="200" w:lineRule="exact"/>
        <w:rPr>
          <w:sz w:val="20"/>
          <w:szCs w:val="20"/>
          <w:color w:val="auto"/>
        </w:rPr>
      </w:pPr>
    </w:p>
    <w:p>
      <w:pPr>
        <w:ind w:right="120" w:firstLine="490"/>
        <w:spacing w:after="0" w:line="254" w:lineRule="auto"/>
        <w:rPr>
          <w:sz w:val="20"/>
          <w:szCs w:val="20"/>
          <w:color w:val="auto"/>
        </w:rPr>
      </w:pPr>
      <w:r>
        <w:rPr>
          <w:rFonts w:ascii="Times New Roman" w:cs="Times New Roman" w:eastAsia="Times New Roman" w:hAnsi="Times New Roman"/>
          <w:sz w:val="20"/>
          <w:szCs w:val="20"/>
          <w:color w:val="1E1E1E"/>
        </w:rPr>
        <w:t>We offer a comprehensive line of innovative, durable and functional workwear, casual wear, outdoor apparel and accessories for both men and women. Our product assortment includes shirts, pants, shorts, underwear, outerwear, footwear, accessories and hard goods. Our products feature proprietary designs and distinct names, such as our Longtail T® shirts, Buck Naked® underwear, Fire Hose® work pants and No-Yank® Tank.</w:t>
      </w:r>
    </w:p>
    <w:p>
      <w:pPr>
        <w:spacing w:after="0" w:line="15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1E1E1E"/>
        </w:rPr>
        <w:t>Our product assortment appeals to our customers for their everyday and on-the-job use. The majority of our products represent enduring styles that go beyond short-lived fashion trends. We believe many of our customers’ purchases are driven by our thoughtful design and high-quality craftsmanship, and our best-selling styles tend to be items that carry over year to year with only minor updates.</w:t>
      </w:r>
    </w:p>
    <w:p>
      <w:pPr>
        <w:spacing w:after="0" w:line="153" w:lineRule="exact"/>
        <w:rPr>
          <w:sz w:val="20"/>
          <w:szCs w:val="20"/>
          <w:color w:val="auto"/>
        </w:rPr>
      </w:pPr>
    </w:p>
    <w:p>
      <w:pPr>
        <w:ind w:firstLine="490"/>
        <w:spacing w:after="0" w:line="263" w:lineRule="auto"/>
        <w:rPr>
          <w:sz w:val="20"/>
          <w:szCs w:val="20"/>
          <w:color w:val="auto"/>
        </w:rPr>
      </w:pPr>
      <w:r>
        <w:rPr>
          <w:rFonts w:ascii="Times New Roman" w:cs="Times New Roman" w:eastAsia="Times New Roman" w:hAnsi="Times New Roman"/>
          <w:sz w:val="19"/>
          <w:szCs w:val="19"/>
          <w:color w:val="1E1E1E"/>
        </w:rPr>
        <w:t>We believe the authenticity of our products is driven by a number of factors, including our solution-based design process, use of technical materials, sophisticated manufacturing methods and innovative product features. Our products are sold at competitive prices and are designed to offer superior performance with added features such as underarm panels for more freedom of movement, triple-stitched seams for durability and mid-leg utility pockets for functionality. We also collaborate with our suppliers to develop advanced fabrics that we sell under our trademarks. For example, we incorporate our DuluthFlex</w:t>
      </w:r>
      <w:r>
        <w:rPr>
          <w:rFonts w:ascii="Times New Roman" w:cs="Times New Roman" w:eastAsia="Times New Roman" w:hAnsi="Times New Roman"/>
          <w:sz w:val="11"/>
          <w:szCs w:val="11"/>
          <w:color w:val="1E1E1E"/>
        </w:rPr>
        <w:t>®</w:t>
      </w:r>
      <w:r>
        <w:rPr>
          <w:rFonts w:ascii="Times New Roman" w:cs="Times New Roman" w:eastAsia="Times New Roman" w:hAnsi="Times New Roman"/>
          <w:sz w:val="19"/>
          <w:szCs w:val="19"/>
          <w:color w:val="1E1E1E"/>
        </w:rPr>
        <w:t xml:space="preserve"> Fire Hose</w:t>
      </w:r>
      <w:r>
        <w:rPr>
          <w:rFonts w:ascii="Times New Roman" w:cs="Times New Roman" w:eastAsia="Times New Roman" w:hAnsi="Times New Roman"/>
          <w:sz w:val="11"/>
          <w:szCs w:val="11"/>
          <w:color w:val="1E1E1E"/>
        </w:rPr>
        <w:t>®</w:t>
      </w:r>
      <w:r>
        <w:rPr>
          <w:rFonts w:ascii="Times New Roman" w:cs="Times New Roman" w:eastAsia="Times New Roman" w:hAnsi="Times New Roman"/>
          <w:sz w:val="19"/>
          <w:szCs w:val="19"/>
          <w:color w:val="1E1E1E"/>
        </w:rPr>
        <w:t xml:space="preserve"> cotton canvas into products to provide strength and abrasion resistance with stretch for freedom of movement.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Product Development</w:t>
      </w:r>
    </w:p>
    <w:p>
      <w:pPr>
        <w:spacing w:after="0" w:line="205"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We are focused on developing apparel and gear that builds upon the Duluth Trading brand’s product heritage of “there’s gotta be a better way,” resulting in distinctive products with enhanced features. Members of our product development team also regularly read online customer product reviews, attend tradeshows and collaborate with our vendors, which facilitates new product innovation. Our product development team incorporates all of this input to develop new product solutions and features, ensure consistent fit, style and color and design functional and durable fabrics.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Marketing</w:t>
      </w:r>
    </w:p>
    <w:p>
      <w:pPr>
        <w:spacing w:after="0" w:line="20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Our marketing strategy is designed to build brand awareness, acquire new customers, enhance customer loyalty and drive sales transactions. We are nationally known for our creative, irreverent and quirky advertising that features our Giant Angry Beaver, Buck Naked Guy and Grab-Happy Grizzly characters to showcase our brand philosophy, humor and innovation. We also feature testimonials in our marketing campaigns, which put our products in context, tying them to the individuals who represent our core customer, who leads a hands-on lifestyle, values a job well-done and is often outdoors for work and hobbies. We believe our customers identify with the inspiring stories of real men and women, recognize our products’ versatility and appreciate the extreme and demanding conditions our products can withstand.</w:t>
      </w:r>
    </w:p>
    <w:p>
      <w:pPr>
        <w:spacing w:after="0" w:line="153" w:lineRule="exact"/>
        <w:rPr>
          <w:sz w:val="20"/>
          <w:szCs w:val="20"/>
          <w:color w:val="auto"/>
        </w:rPr>
      </w:pPr>
    </w:p>
    <w:p>
      <w:pPr>
        <w:ind w:right="220" w:firstLine="490"/>
        <w:spacing w:after="0" w:line="281" w:lineRule="auto"/>
        <w:rPr>
          <w:sz w:val="20"/>
          <w:szCs w:val="20"/>
          <w:color w:val="auto"/>
        </w:rPr>
      </w:pPr>
      <w:r>
        <w:rPr>
          <w:rFonts w:ascii="Times New Roman" w:cs="Times New Roman" w:eastAsia="Times New Roman" w:hAnsi="Times New Roman"/>
          <w:sz w:val="20"/>
          <w:szCs w:val="20"/>
          <w:color w:val="1E1E1E"/>
        </w:rPr>
        <w:t>We pursue our marketing strategy through multiple forms of media, which gives our products an identity and enhances our brand:</w:t>
      </w:r>
    </w:p>
    <w:p>
      <w:pPr>
        <w:spacing w:after="0" w:line="42" w:lineRule="exact"/>
        <w:rPr>
          <w:sz w:val="20"/>
          <w:szCs w:val="20"/>
          <w:color w:val="auto"/>
        </w:rPr>
      </w:pPr>
    </w:p>
    <w:p>
      <w:pPr>
        <w:ind w:left="980" w:right="20" w:hanging="496"/>
        <w:spacing w:after="0" w:line="261" w:lineRule="auto"/>
        <w:tabs>
          <w:tab w:leader="none" w:pos="980" w:val="left"/>
        </w:tabs>
        <w:numPr>
          <w:ilvl w:val="0"/>
          <w:numId w:val="11"/>
        </w:numPr>
        <w:rPr>
          <w:rFonts w:ascii="Arial" w:cs="Arial" w:eastAsia="Arial" w:hAnsi="Arial"/>
          <w:sz w:val="16"/>
          <w:szCs w:val="16"/>
          <w:color w:val="1E1E1E"/>
        </w:rPr>
      </w:pPr>
      <w:r>
        <w:rPr>
          <w:rFonts w:ascii="Times New Roman" w:cs="Times New Roman" w:eastAsia="Times New Roman" w:hAnsi="Times New Roman"/>
          <w:sz w:val="20"/>
          <w:szCs w:val="20"/>
          <w:i w:val="1"/>
          <w:iCs w:val="1"/>
          <w:color w:val="1E1E1E"/>
        </w:rPr>
        <w:t>Digital and Email Marketing</w:t>
      </w:r>
      <w:r>
        <w:rPr>
          <w:rFonts w:ascii="Times New Roman" w:cs="Times New Roman" w:eastAsia="Times New Roman" w:hAnsi="Times New Roman"/>
          <w:sz w:val="20"/>
          <w:szCs w:val="20"/>
          <w:color w:val="1E1E1E"/>
        </w:rPr>
        <w:t>. We employ a variety of digital and online advertising strategies. These efforts</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include display advertising, digital video advertising, search engine marketing and optimization and targeted email, which we send to customers to introduce new products and offer promotions on select merchandise.</w:t>
      </w:r>
    </w:p>
    <w:p>
      <w:pPr>
        <w:spacing w:after="0" w:line="60" w:lineRule="exact"/>
        <w:rPr>
          <w:rFonts w:ascii="Arial" w:cs="Arial" w:eastAsia="Arial" w:hAnsi="Arial"/>
          <w:sz w:val="16"/>
          <w:szCs w:val="16"/>
          <w:color w:val="1E1E1E"/>
        </w:rPr>
      </w:pPr>
    </w:p>
    <w:p>
      <w:pPr>
        <w:ind w:left="980" w:right="40" w:hanging="496"/>
        <w:spacing w:after="0" w:line="261" w:lineRule="auto"/>
        <w:tabs>
          <w:tab w:leader="none" w:pos="980" w:val="left"/>
        </w:tabs>
        <w:numPr>
          <w:ilvl w:val="0"/>
          <w:numId w:val="11"/>
        </w:numPr>
        <w:rPr>
          <w:rFonts w:ascii="Arial" w:cs="Arial" w:eastAsia="Arial" w:hAnsi="Arial"/>
          <w:sz w:val="16"/>
          <w:szCs w:val="16"/>
          <w:color w:val="1E1E1E"/>
        </w:rPr>
      </w:pPr>
      <w:r>
        <w:rPr>
          <w:rFonts w:ascii="Times New Roman" w:cs="Times New Roman" w:eastAsia="Times New Roman" w:hAnsi="Times New Roman"/>
          <w:sz w:val="20"/>
          <w:szCs w:val="20"/>
          <w:i w:val="1"/>
          <w:iCs w:val="1"/>
          <w:color w:val="1E1E1E"/>
        </w:rPr>
        <w:t>Television and Radio</w:t>
      </w:r>
      <w:r>
        <w:rPr>
          <w:rFonts w:ascii="Times New Roman" w:cs="Times New Roman" w:eastAsia="Times New Roman" w:hAnsi="Times New Roman"/>
          <w:sz w:val="20"/>
          <w:szCs w:val="20"/>
          <w:color w:val="1E1E1E"/>
        </w:rPr>
        <w:t>. We advertise in online video channels, streaming television, on cable and broadcast</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television networks, as well as through streaming and on-demand audio channels to build brand awareness for both men’s and women’s products and to reach a large, national audience. These advertisements feature both our</w:t>
      </w:r>
    </w:p>
    <w:p>
      <w:pPr>
        <w:sectPr>
          <w:pgSz w:w="11880" w:h="15480" w:orient="portrait"/>
          <w:cols w:equalWidth="0" w:num="1">
            <w:col w:w="10220"/>
          </w:cols>
          <w:pgMar w:left="820" w:top="874" w:right="840" w:bottom="0" w:gutter="0" w:footer="0" w:header="0"/>
        </w:sectPr>
      </w:pP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1E1E1E"/>
        </w:rPr>
        <w:t>5</w:t>
      </w:r>
    </w:p>
    <w:p>
      <w:pPr>
        <w:sectPr>
          <w:pgSz w:w="11880" w:h="15480" w:orient="portrait"/>
          <w:cols w:equalWidth="0" w:num="1">
            <w:col w:w="10220"/>
          </w:cols>
          <w:pgMar w:left="820" w:top="874" w:right="840" w:bottom="0" w:gutter="0" w:footer="0" w:header="0"/>
          <w:type w:val="continuous"/>
        </w:sectPr>
      </w:pPr>
    </w:p>
    <w:bookmarkStart w:id="11" w:name="page12"/>
    <w:bookmarkEnd w:id="11"/>
    <w:p>
      <w:pPr>
        <w:ind w:left="980" w:right="20"/>
        <w:spacing w:after="0" w:line="261" w:lineRule="auto"/>
        <w:rPr>
          <w:sz w:val="20"/>
          <w:szCs w:val="20"/>
          <w:color w:val="auto"/>
        </w:rPr>
      </w:pPr>
      <w:r>
        <w:rPr>
          <w:rFonts w:ascii="Times New Roman" w:cs="Times New Roman" w:eastAsia="Times New Roman" w:hAnsi="Times New Roman"/>
          <w:sz w:val="20"/>
          <w:szCs w:val="20"/>
          <w:color w:val="1E1E1E"/>
        </w:rPr>
        <w:t>animated characters and female models, and are intended to be humorous, irreverent and quirky in order to grab the viewer’s attention, while highlighting the particularly innovative, solution-based features of our core products and the Duluth Trading name.</w:t>
      </w:r>
    </w:p>
    <w:p>
      <w:pPr>
        <w:spacing w:after="0" w:line="61" w:lineRule="exact"/>
        <w:rPr>
          <w:sz w:val="20"/>
          <w:szCs w:val="20"/>
          <w:color w:val="auto"/>
        </w:rPr>
      </w:pPr>
    </w:p>
    <w:p>
      <w:pPr>
        <w:ind w:left="980" w:right="560" w:hanging="496"/>
        <w:spacing w:after="0" w:line="258" w:lineRule="auto"/>
        <w:tabs>
          <w:tab w:leader="none" w:pos="980" w:val="left"/>
        </w:tabs>
        <w:numPr>
          <w:ilvl w:val="0"/>
          <w:numId w:val="12"/>
        </w:numPr>
        <w:rPr>
          <w:rFonts w:ascii="Arial" w:cs="Arial" w:eastAsia="Arial" w:hAnsi="Arial"/>
          <w:sz w:val="16"/>
          <w:szCs w:val="16"/>
          <w:color w:val="1E1E1E"/>
        </w:rPr>
      </w:pPr>
      <w:r>
        <w:rPr>
          <w:rFonts w:ascii="Times New Roman" w:cs="Times New Roman" w:eastAsia="Times New Roman" w:hAnsi="Times New Roman"/>
          <w:sz w:val="20"/>
          <w:szCs w:val="20"/>
          <w:i w:val="1"/>
          <w:iCs w:val="1"/>
          <w:color w:val="1E1E1E"/>
        </w:rPr>
        <w:t>Social Media</w:t>
      </w:r>
      <w:r>
        <w:rPr>
          <w:rFonts w:ascii="Times New Roman" w:cs="Times New Roman" w:eastAsia="Times New Roman" w:hAnsi="Times New Roman"/>
          <w:sz w:val="20"/>
          <w:szCs w:val="20"/>
          <w:color w:val="1E1E1E"/>
        </w:rPr>
        <w:t>. We have an engaged social media community, which allows us to personally connect with our</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customers online, and we believe further raises brand awareness. We maintain a social media presence on Facebook, Instagram, Pinterest, YouTube and X (formerly known as Twitter).</w:t>
      </w:r>
    </w:p>
    <w:p>
      <w:pPr>
        <w:spacing w:after="0" w:line="64" w:lineRule="exact"/>
        <w:rPr>
          <w:rFonts w:ascii="Arial" w:cs="Arial" w:eastAsia="Arial" w:hAnsi="Arial"/>
          <w:sz w:val="16"/>
          <w:szCs w:val="16"/>
          <w:color w:val="1E1E1E"/>
        </w:rPr>
      </w:pPr>
    </w:p>
    <w:p>
      <w:pPr>
        <w:ind w:left="980" w:right="180" w:hanging="496"/>
        <w:spacing w:after="0" w:line="281" w:lineRule="auto"/>
        <w:tabs>
          <w:tab w:leader="none" w:pos="980" w:val="left"/>
        </w:tabs>
        <w:numPr>
          <w:ilvl w:val="0"/>
          <w:numId w:val="12"/>
        </w:numPr>
        <w:rPr>
          <w:rFonts w:ascii="Arial" w:cs="Arial" w:eastAsia="Arial" w:hAnsi="Arial"/>
          <w:sz w:val="16"/>
          <w:szCs w:val="16"/>
          <w:color w:val="1E1E1E"/>
        </w:rPr>
      </w:pPr>
      <w:r>
        <w:rPr>
          <w:rFonts w:ascii="Times New Roman" w:cs="Times New Roman" w:eastAsia="Times New Roman" w:hAnsi="Times New Roman"/>
          <w:sz w:val="20"/>
          <w:szCs w:val="20"/>
          <w:i w:val="1"/>
          <w:iCs w:val="1"/>
          <w:color w:val="1E1E1E"/>
        </w:rPr>
        <w:t>Catalogs</w:t>
      </w:r>
      <w:r>
        <w:rPr>
          <w:rFonts w:ascii="Times New Roman" w:cs="Times New Roman" w:eastAsia="Times New Roman" w:hAnsi="Times New Roman"/>
          <w:sz w:val="20"/>
          <w:szCs w:val="20"/>
          <w:color w:val="1E1E1E"/>
        </w:rPr>
        <w:t>. Our catalogs are an important part of our heritage and represent a tangible vehicle for our authentic and</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humorous storytelling.</w:t>
      </w:r>
    </w:p>
    <w:p>
      <w:pPr>
        <w:spacing w:after="0" w:line="42" w:lineRule="exact"/>
        <w:rPr>
          <w:rFonts w:ascii="Arial" w:cs="Arial" w:eastAsia="Arial" w:hAnsi="Arial"/>
          <w:sz w:val="16"/>
          <w:szCs w:val="16"/>
          <w:color w:val="1E1E1E"/>
        </w:rPr>
      </w:pPr>
    </w:p>
    <w:p>
      <w:pPr>
        <w:ind w:left="980" w:right="780" w:hanging="496"/>
        <w:spacing w:after="0" w:line="281" w:lineRule="auto"/>
        <w:tabs>
          <w:tab w:leader="none" w:pos="980" w:val="left"/>
        </w:tabs>
        <w:numPr>
          <w:ilvl w:val="0"/>
          <w:numId w:val="12"/>
        </w:numPr>
        <w:rPr>
          <w:rFonts w:ascii="Arial" w:cs="Arial" w:eastAsia="Arial" w:hAnsi="Arial"/>
          <w:sz w:val="16"/>
          <w:szCs w:val="16"/>
          <w:color w:val="1E1E1E"/>
        </w:rPr>
      </w:pPr>
      <w:r>
        <w:rPr>
          <w:rFonts w:ascii="Times New Roman" w:cs="Times New Roman" w:eastAsia="Times New Roman" w:hAnsi="Times New Roman"/>
          <w:sz w:val="20"/>
          <w:szCs w:val="20"/>
          <w:i w:val="1"/>
          <w:iCs w:val="1"/>
          <w:color w:val="1E1E1E"/>
        </w:rPr>
        <w:t>E-Commerce</w:t>
      </w:r>
      <w:r>
        <w:rPr>
          <w:rFonts w:ascii="Times New Roman" w:cs="Times New Roman" w:eastAsia="Times New Roman" w:hAnsi="Times New Roman"/>
          <w:sz w:val="20"/>
          <w:szCs w:val="20"/>
          <w:color w:val="1E1E1E"/>
        </w:rPr>
        <w:t>. Our website is an integral part of our marketing strategy where we use humor and authentic</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storytelling to engage our customers.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Customer Service</w:t>
      </w:r>
    </w:p>
    <w:p>
      <w:pPr>
        <w:spacing w:after="0" w:line="200" w:lineRule="exact"/>
        <w:rPr>
          <w:sz w:val="20"/>
          <w:szCs w:val="20"/>
          <w:color w:val="auto"/>
        </w:rPr>
      </w:pPr>
    </w:p>
    <w:p>
      <w:pPr>
        <w:ind w:right="180" w:firstLine="490"/>
        <w:spacing w:after="0" w:line="261" w:lineRule="auto"/>
        <w:rPr>
          <w:sz w:val="20"/>
          <w:szCs w:val="20"/>
          <w:color w:val="auto"/>
        </w:rPr>
      </w:pPr>
      <w:r>
        <w:rPr>
          <w:rFonts w:ascii="Times New Roman" w:cs="Times New Roman" w:eastAsia="Times New Roman" w:hAnsi="Times New Roman"/>
          <w:sz w:val="20"/>
          <w:szCs w:val="20"/>
          <w:color w:val="1E1E1E"/>
        </w:rPr>
        <w:t>We are committed to providing outstanding customer service and believe in treating our customers like next-door neighbors. Our retail stores are stocked with a comprehensive assortment of our products and staffed with knowledgeable and well-trained sales associates. We stand behind all purchases with our “No Bull Guarantee.”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Manufacturing</w:t>
      </w:r>
    </w:p>
    <w:p>
      <w:pPr>
        <w:spacing w:after="0" w:line="200" w:lineRule="exact"/>
        <w:rPr>
          <w:sz w:val="20"/>
          <w:szCs w:val="20"/>
          <w:color w:val="auto"/>
        </w:rPr>
      </w:pPr>
    </w:p>
    <w:p>
      <w:pPr>
        <w:ind w:right="140" w:firstLine="490"/>
        <w:spacing w:after="0" w:line="250" w:lineRule="auto"/>
        <w:rPr>
          <w:sz w:val="20"/>
          <w:szCs w:val="20"/>
          <w:color w:val="auto"/>
        </w:rPr>
      </w:pPr>
      <w:r>
        <w:rPr>
          <w:rFonts w:ascii="Times New Roman" w:cs="Times New Roman" w:eastAsia="Times New Roman" w:hAnsi="Times New Roman"/>
          <w:sz w:val="20"/>
          <w:szCs w:val="20"/>
          <w:color w:val="1E1E1E"/>
        </w:rPr>
        <w:t>We do not own or operate any manufacturing facilities. Instead, we arrange with third-party vendors for the manufacturing of our merchandise. We have built strong, long-term relationships with our vendors. In fiscal 2024, 43% of our purchases came from our largest supplier, an agent partner in Hong Kong. Goods manufactured on our behalf, ("non-market buy") are sourced from multiple factories across the globe, including concentrations in Vietnam, Indonesia, Pakistan, Bangladesh, and Cambodia.</w:t>
      </w:r>
    </w:p>
    <w:p>
      <w:pPr>
        <w:spacing w:after="0" w:line="151" w:lineRule="exact"/>
        <w:rPr>
          <w:sz w:val="20"/>
          <w:szCs w:val="20"/>
          <w:color w:val="auto"/>
        </w:rPr>
      </w:pPr>
    </w:p>
    <w:p>
      <w:pPr>
        <w:ind w:firstLine="491"/>
        <w:spacing w:after="0" w:line="247" w:lineRule="auto"/>
        <w:rPr>
          <w:sz w:val="20"/>
          <w:szCs w:val="20"/>
          <w:color w:val="auto"/>
        </w:rPr>
      </w:pPr>
      <w:r>
        <w:rPr>
          <w:rFonts w:ascii="Times New Roman" w:cs="Times New Roman" w:eastAsia="Times New Roman" w:hAnsi="Times New Roman"/>
          <w:sz w:val="20"/>
          <w:szCs w:val="20"/>
          <w:color w:val="1E1E1E"/>
        </w:rPr>
        <w:t>Our sourcing strategy focuses on identifying and employing vendors that provide quality materials and fine craftsmanship that our customers expect of our brand. To ensure that our high standards of quality and timely delivery of merchandise are met, we work closely with our third-party partners. All of our products are produced according to our specifications, and we require all of our manufacturers to adhere to strict regulatory compliance and standards of conduct. We seek to ensure the consistent product quality by training Duluth Trading-certified factory auditors to selectively examine pre-production samples, conduct periodic site visits to certain of our vendors’ production facilities and inspect inbound shipments at our fulfillment centers.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Fulfillment Centers</w:t>
      </w:r>
    </w:p>
    <w:p>
      <w:pPr>
        <w:spacing w:after="0" w:line="200" w:lineRule="exact"/>
        <w:rPr>
          <w:sz w:val="20"/>
          <w:szCs w:val="20"/>
          <w:color w:val="auto"/>
        </w:rPr>
      </w:pPr>
    </w:p>
    <w:p>
      <w:pPr>
        <w:ind w:right="540" w:firstLine="490"/>
        <w:spacing w:after="0" w:line="281" w:lineRule="auto"/>
        <w:rPr>
          <w:sz w:val="20"/>
          <w:szCs w:val="20"/>
          <w:color w:val="auto"/>
        </w:rPr>
      </w:pPr>
      <w:r>
        <w:rPr>
          <w:rFonts w:ascii="Times New Roman" w:cs="Times New Roman" w:eastAsia="Times New Roman" w:hAnsi="Times New Roman"/>
          <w:sz w:val="20"/>
          <w:szCs w:val="20"/>
          <w:color w:val="1E1E1E"/>
        </w:rPr>
        <w:t>We operate fulfillment centers located in Belleville, Wisconsin, Salt Lake City, Utah and Adairsville, Georgia. The approximate square footage of each facility is included in Item 2 of Part I of this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Information Technology</w:t>
      </w:r>
    </w:p>
    <w:p>
      <w:pPr>
        <w:spacing w:after="0" w:line="200" w:lineRule="exact"/>
        <w:rPr>
          <w:sz w:val="20"/>
          <w:szCs w:val="20"/>
          <w:color w:val="auto"/>
        </w:rPr>
      </w:pPr>
    </w:p>
    <w:p>
      <w:pPr>
        <w:ind w:right="320" w:firstLine="490"/>
        <w:spacing w:after="0" w:line="254" w:lineRule="auto"/>
        <w:rPr>
          <w:sz w:val="20"/>
          <w:szCs w:val="20"/>
          <w:color w:val="auto"/>
        </w:rPr>
      </w:pPr>
      <w:r>
        <w:rPr>
          <w:rFonts w:ascii="Times New Roman" w:cs="Times New Roman" w:eastAsia="Times New Roman" w:hAnsi="Times New Roman"/>
          <w:sz w:val="20"/>
          <w:szCs w:val="20"/>
          <w:color w:val="1E1E1E"/>
        </w:rPr>
        <w:t>We use technology to provide customer service, business process support and business intelligence across our sales channels. We continually aim to have more efficient supply chain and distribution systems operations. Our distributed order management systems provide us with omnichannel capabilities that have a global view of available-to-promise inventory management.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Competition</w:t>
      </w:r>
    </w:p>
    <w:p>
      <w:pPr>
        <w:spacing w:after="0" w:line="200" w:lineRule="exact"/>
        <w:rPr>
          <w:sz w:val="20"/>
          <w:szCs w:val="20"/>
          <w:color w:val="auto"/>
        </w:rPr>
      </w:pPr>
    </w:p>
    <w:p>
      <w:pPr>
        <w:ind w:right="20" w:firstLine="490"/>
        <w:spacing w:after="0" w:line="248" w:lineRule="auto"/>
        <w:rPr>
          <w:sz w:val="20"/>
          <w:szCs w:val="20"/>
          <w:color w:val="auto"/>
        </w:rPr>
      </w:pPr>
      <w:r>
        <w:rPr>
          <w:rFonts w:ascii="Times New Roman" w:cs="Times New Roman" w:eastAsia="Times New Roman" w:hAnsi="Times New Roman"/>
          <w:sz w:val="20"/>
          <w:szCs w:val="20"/>
          <w:color w:val="1E1E1E"/>
        </w:rPr>
        <w:t>We operate primarily in the apparel, footwear and accessories industry, which is highly competitive. We compete with a diverse group of direct-to-consumer companies and retailers, including men’s and women’s specialty apparel chains, department stores, outdoor specialty stores, apparel catalog businesses and online apparel businesses. We compete principally on the basis of brand recognition, innovation, product quality, customer service and price. To stay ahead of our competition, we continue to develop innovative solution-based products for which we create unique selling propositions that incorporate humor and storytelling.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Intellectual Property</w:t>
      </w:r>
    </w:p>
    <w:p>
      <w:pPr>
        <w:spacing w:after="0" w:line="205" w:lineRule="exact"/>
        <w:rPr>
          <w:sz w:val="20"/>
          <w:szCs w:val="20"/>
          <w:color w:val="auto"/>
        </w:rPr>
      </w:pPr>
    </w:p>
    <w:p>
      <w:pPr>
        <w:ind w:right="120" w:firstLine="490"/>
        <w:spacing w:after="0" w:line="271" w:lineRule="auto"/>
        <w:rPr>
          <w:sz w:val="20"/>
          <w:szCs w:val="20"/>
          <w:color w:val="auto"/>
        </w:rPr>
      </w:pPr>
      <w:r>
        <w:rPr>
          <w:rFonts w:ascii="Times New Roman" w:cs="Times New Roman" w:eastAsia="Times New Roman" w:hAnsi="Times New Roman"/>
          <w:sz w:val="19"/>
          <w:szCs w:val="19"/>
          <w:color w:val="1E1E1E"/>
        </w:rPr>
        <w:t>Our trademarks are important to our marketing efforts. We own or have the rights to use certain trademarks, service marks and trade names that are registered with the U.S. Patent and Trademark Office, trademark offices in other jurisdictions, or exist under common law in the United States and other jurisdictions. The “Duluth Trading Co” trade name and trademark is used both in the United States and internationally and is material to our business. Trademarks that are important in identifying</w:t>
      </w:r>
    </w:p>
    <w:p>
      <w:pPr>
        <w:sectPr>
          <w:pgSz w:w="11880" w:h="15480" w:orient="portrait"/>
          <w:cols w:equalWidth="0" w:num="1">
            <w:col w:w="10240"/>
          </w:cols>
          <w:pgMar w:left="820" w:top="877" w:right="820" w:bottom="0" w:gutter="0" w:footer="0" w:header="0"/>
        </w:sectPr>
      </w:pP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6</w:t>
      </w:r>
    </w:p>
    <w:p>
      <w:pPr>
        <w:sectPr>
          <w:pgSz w:w="11880" w:h="15480" w:orient="portrait"/>
          <w:cols w:equalWidth="0" w:num="1">
            <w:col w:w="10240"/>
          </w:cols>
          <w:pgMar w:left="820" w:top="877" w:right="820" w:bottom="0" w:gutter="0" w:footer="0" w:header="0"/>
          <w:type w:val="continuous"/>
        </w:sectPr>
      </w:pPr>
    </w:p>
    <w:bookmarkStart w:id="12" w:name="page13"/>
    <w:bookmarkEnd w:id="12"/>
    <w:p>
      <w:pPr>
        <w:ind w:right="20"/>
        <w:spacing w:after="0" w:line="254" w:lineRule="auto"/>
        <w:rPr>
          <w:sz w:val="20"/>
          <w:szCs w:val="20"/>
          <w:color w:val="auto"/>
        </w:rPr>
      </w:pPr>
      <w:r>
        <w:rPr>
          <w:rFonts w:ascii="Times New Roman" w:cs="Times New Roman" w:eastAsia="Times New Roman" w:hAnsi="Times New Roman"/>
          <w:sz w:val="20"/>
          <w:szCs w:val="20"/>
          <w:color w:val="1E1E1E"/>
        </w:rPr>
        <w:t>and distinguishing our products and services are AKHG</w:t>
      </w:r>
      <w:r>
        <w:rPr>
          <w:rFonts w:ascii="Times New Roman" w:cs="Times New Roman" w:eastAsia="Times New Roman" w:hAnsi="Times New Roman"/>
          <w:sz w:val="11"/>
          <w:szCs w:val="11"/>
          <w:color w:val="1E1E1E"/>
        </w:rPr>
        <w:t>®</w:t>
      </w:r>
      <w:r>
        <w:rPr>
          <w:rFonts w:ascii="Times New Roman" w:cs="Times New Roman" w:eastAsia="Times New Roman" w:hAnsi="Times New Roman"/>
          <w:sz w:val="20"/>
          <w:szCs w:val="20"/>
          <w:color w:val="1E1E1E"/>
        </w:rPr>
        <w:t>, Alaskan Hardgear</w:t>
      </w:r>
      <w:r>
        <w:rPr>
          <w:rFonts w:ascii="Times New Roman" w:cs="Times New Roman" w:eastAsia="Times New Roman" w:hAnsi="Times New Roman"/>
          <w:sz w:val="11"/>
          <w:szCs w:val="11"/>
          <w:color w:val="1E1E1E"/>
        </w:rPr>
        <w:t>®</w:t>
      </w:r>
      <w:r>
        <w:rPr>
          <w:rFonts w:ascii="Times New Roman" w:cs="Times New Roman" w:eastAsia="Times New Roman" w:hAnsi="Times New Roman"/>
          <w:sz w:val="20"/>
          <w:szCs w:val="20"/>
          <w:color w:val="1E1E1E"/>
        </w:rPr>
        <w:t xml:space="preserve"> Armachillo</w:t>
      </w:r>
      <w:r>
        <w:rPr>
          <w:rFonts w:ascii="Times New Roman" w:cs="Times New Roman" w:eastAsia="Times New Roman" w:hAnsi="Times New Roman"/>
          <w:sz w:val="11"/>
          <w:szCs w:val="11"/>
          <w:color w:val="1E1E1E"/>
        </w:rPr>
        <w:t>®</w:t>
      </w:r>
      <w:r>
        <w:rPr>
          <w:rFonts w:ascii="Times New Roman" w:cs="Times New Roman" w:eastAsia="Times New Roman" w:hAnsi="Times New Roman"/>
          <w:sz w:val="20"/>
          <w:szCs w:val="20"/>
          <w:color w:val="1E1E1E"/>
        </w:rPr>
        <w:t>, Ballroom</w:t>
      </w:r>
      <w:r>
        <w:rPr>
          <w:rFonts w:ascii="Times New Roman" w:cs="Times New Roman" w:eastAsia="Times New Roman" w:hAnsi="Times New Roman"/>
          <w:sz w:val="11"/>
          <w:szCs w:val="11"/>
          <w:color w:val="1E1E1E"/>
        </w:rPr>
        <w:t>®</w:t>
      </w:r>
      <w:r>
        <w:rPr>
          <w:rFonts w:ascii="Times New Roman" w:cs="Times New Roman" w:eastAsia="Times New Roman" w:hAnsi="Times New Roman"/>
          <w:sz w:val="20"/>
          <w:szCs w:val="20"/>
          <w:color w:val="1E1E1E"/>
        </w:rPr>
        <w:t>, Buck Naked</w:t>
      </w:r>
      <w:r>
        <w:rPr>
          <w:rFonts w:ascii="Times New Roman" w:cs="Times New Roman" w:eastAsia="Times New Roman" w:hAnsi="Times New Roman"/>
          <w:sz w:val="11"/>
          <w:szCs w:val="11"/>
          <w:color w:val="1E1E1E"/>
        </w:rPr>
        <w:t>®</w:t>
      </w:r>
      <w:r>
        <w:rPr>
          <w:rFonts w:ascii="Times New Roman" w:cs="Times New Roman" w:eastAsia="Times New Roman" w:hAnsi="Times New Roman"/>
          <w:sz w:val="20"/>
          <w:szCs w:val="20"/>
          <w:color w:val="1E1E1E"/>
        </w:rPr>
        <w:t>, Bullpen</w:t>
      </w:r>
      <w:r>
        <w:rPr>
          <w:rFonts w:ascii="Times New Roman" w:cs="Times New Roman" w:eastAsia="Times New Roman" w:hAnsi="Times New Roman"/>
          <w:sz w:val="11"/>
          <w:szCs w:val="11"/>
          <w:color w:val="1E1E1E"/>
        </w:rPr>
        <w:t>®</w:t>
      </w:r>
      <w:r>
        <w:rPr>
          <w:rFonts w:ascii="Times New Roman" w:cs="Times New Roman" w:eastAsia="Times New Roman" w:hAnsi="Times New Roman"/>
          <w:sz w:val="20"/>
          <w:szCs w:val="20"/>
          <w:color w:val="1E1E1E"/>
        </w:rPr>
        <w:t>, Cab Commander</w:t>
      </w:r>
      <w:r>
        <w:rPr>
          <w:rFonts w:ascii="Times New Roman" w:cs="Times New Roman" w:eastAsia="Times New Roman" w:hAnsi="Times New Roman"/>
          <w:sz w:val="11"/>
          <w:szCs w:val="11"/>
          <w:color w:val="1E1E1E"/>
        </w:rPr>
        <w:t>®</w:t>
      </w:r>
      <w:r>
        <w:rPr>
          <w:rFonts w:ascii="Times New Roman" w:cs="Times New Roman" w:eastAsia="Times New Roman" w:hAnsi="Times New Roman"/>
          <w:sz w:val="20"/>
          <w:szCs w:val="20"/>
          <w:color w:val="1E1E1E"/>
        </w:rPr>
        <w:t>, Crouch Gusset</w:t>
      </w:r>
      <w:r>
        <w:rPr>
          <w:rFonts w:ascii="Times New Roman" w:cs="Times New Roman" w:eastAsia="Times New Roman" w:hAnsi="Times New Roman"/>
          <w:sz w:val="11"/>
          <w:szCs w:val="11"/>
          <w:color w:val="1E1E1E"/>
        </w:rPr>
        <w:t>®</w:t>
      </w:r>
      <w:r>
        <w:rPr>
          <w:rFonts w:ascii="Times New Roman" w:cs="Times New Roman" w:eastAsia="Times New Roman" w:hAnsi="Times New Roman"/>
          <w:sz w:val="20"/>
          <w:szCs w:val="20"/>
          <w:color w:val="1E1E1E"/>
        </w:rPr>
        <w:t>, Dang Soft</w:t>
      </w:r>
      <w:r>
        <w:rPr>
          <w:rFonts w:ascii="Times New Roman" w:cs="Times New Roman" w:eastAsia="Times New Roman" w:hAnsi="Times New Roman"/>
          <w:sz w:val="11"/>
          <w:szCs w:val="11"/>
          <w:color w:val="1E1E1E"/>
        </w:rPr>
        <w:t>®</w:t>
      </w:r>
      <w:r>
        <w:rPr>
          <w:rFonts w:ascii="Times New Roman" w:cs="Times New Roman" w:eastAsia="Times New Roman" w:hAnsi="Times New Roman"/>
          <w:sz w:val="20"/>
          <w:szCs w:val="20"/>
          <w:color w:val="1E1E1E"/>
        </w:rPr>
        <w:t>, Dry on the Fly</w:t>
      </w:r>
      <w:r>
        <w:rPr>
          <w:rFonts w:ascii="Times New Roman" w:cs="Times New Roman" w:eastAsia="Times New Roman" w:hAnsi="Times New Roman"/>
          <w:sz w:val="11"/>
          <w:szCs w:val="11"/>
          <w:color w:val="1E1E1E"/>
        </w:rPr>
        <w:t>®</w:t>
      </w:r>
      <w:r>
        <w:rPr>
          <w:rFonts w:ascii="Times New Roman" w:cs="Times New Roman" w:eastAsia="Times New Roman" w:hAnsi="Times New Roman"/>
          <w:sz w:val="20"/>
          <w:szCs w:val="20"/>
          <w:color w:val="1E1E1E"/>
        </w:rPr>
        <w:t>, Duluth Trading Co</w:t>
      </w:r>
      <w:r>
        <w:rPr>
          <w:rFonts w:ascii="Times New Roman" w:cs="Times New Roman" w:eastAsia="Times New Roman" w:hAnsi="Times New Roman"/>
          <w:sz w:val="11"/>
          <w:szCs w:val="11"/>
          <w:color w:val="1E1E1E"/>
        </w:rPr>
        <w:t>®</w:t>
      </w:r>
      <w:r>
        <w:rPr>
          <w:rFonts w:ascii="Times New Roman" w:cs="Times New Roman" w:eastAsia="Times New Roman" w:hAnsi="Times New Roman"/>
          <w:sz w:val="20"/>
          <w:szCs w:val="20"/>
          <w:color w:val="1E1E1E"/>
        </w:rPr>
        <w:t>, DuluthFlex</w:t>
      </w:r>
      <w:r>
        <w:rPr>
          <w:rFonts w:ascii="Times New Roman" w:cs="Times New Roman" w:eastAsia="Times New Roman" w:hAnsi="Times New Roman"/>
          <w:sz w:val="11"/>
          <w:szCs w:val="11"/>
          <w:color w:val="1E1E1E"/>
        </w:rPr>
        <w:t>®</w:t>
      </w:r>
      <w:r>
        <w:rPr>
          <w:rFonts w:ascii="Times New Roman" w:cs="Times New Roman" w:eastAsia="Times New Roman" w:hAnsi="Times New Roman"/>
          <w:sz w:val="20"/>
          <w:szCs w:val="20"/>
          <w:color w:val="1E1E1E"/>
        </w:rPr>
        <w:t>, Fire Hose</w:t>
      </w:r>
      <w:r>
        <w:rPr>
          <w:rFonts w:ascii="Times New Roman" w:cs="Times New Roman" w:eastAsia="Times New Roman" w:hAnsi="Times New Roman"/>
          <w:sz w:val="11"/>
          <w:szCs w:val="11"/>
          <w:color w:val="1E1E1E"/>
        </w:rPr>
        <w:t>®</w:t>
      </w:r>
      <w:r>
        <w:rPr>
          <w:rFonts w:ascii="Times New Roman" w:cs="Times New Roman" w:eastAsia="Times New Roman" w:hAnsi="Times New Roman"/>
          <w:sz w:val="20"/>
          <w:szCs w:val="20"/>
          <w:color w:val="1E1E1E"/>
        </w:rPr>
        <w:t>, Flexpedition</w:t>
      </w:r>
      <w:r>
        <w:rPr>
          <w:rFonts w:ascii="Times New Roman" w:cs="Times New Roman" w:eastAsia="Times New Roman" w:hAnsi="Times New Roman"/>
          <w:sz w:val="11"/>
          <w:szCs w:val="11"/>
          <w:color w:val="1E1E1E"/>
        </w:rPr>
        <w:t>®</w:t>
      </w:r>
      <w:r>
        <w:rPr>
          <w:rFonts w:ascii="Times New Roman" w:cs="Times New Roman" w:eastAsia="Times New Roman" w:hAnsi="Times New Roman"/>
          <w:sz w:val="20"/>
          <w:szCs w:val="20"/>
          <w:color w:val="1E1E1E"/>
        </w:rPr>
        <w:t>, Longtail T</w:t>
      </w:r>
      <w:r>
        <w:rPr>
          <w:rFonts w:ascii="Times New Roman" w:cs="Times New Roman" w:eastAsia="Times New Roman" w:hAnsi="Times New Roman"/>
          <w:sz w:val="11"/>
          <w:szCs w:val="11"/>
          <w:color w:val="1E1E1E"/>
        </w:rPr>
        <w:t>®</w:t>
      </w:r>
      <w:r>
        <w:rPr>
          <w:rFonts w:ascii="Times New Roman" w:cs="Times New Roman" w:eastAsia="Times New Roman" w:hAnsi="Times New Roman"/>
          <w:sz w:val="20"/>
          <w:szCs w:val="20"/>
          <w:color w:val="1E1E1E"/>
        </w:rPr>
        <w:t>, NoGA</w:t>
      </w:r>
      <w:r>
        <w:rPr>
          <w:rFonts w:ascii="Times New Roman" w:cs="Times New Roman" w:eastAsia="Times New Roman" w:hAnsi="Times New Roman"/>
          <w:sz w:val="11"/>
          <w:szCs w:val="11"/>
          <w:color w:val="1E1E1E"/>
        </w:rPr>
        <w:t>®</w:t>
      </w:r>
      <w:r>
        <w:rPr>
          <w:rFonts w:ascii="Times New Roman" w:cs="Times New Roman" w:eastAsia="Times New Roman" w:hAnsi="Times New Roman"/>
          <w:sz w:val="20"/>
          <w:szCs w:val="20"/>
          <w:color w:val="1E1E1E"/>
        </w:rPr>
        <w:t>, No Polo Shirt</w:t>
      </w:r>
      <w:r>
        <w:rPr>
          <w:rFonts w:ascii="Times New Roman" w:cs="Times New Roman" w:eastAsia="Times New Roman" w:hAnsi="Times New Roman"/>
          <w:sz w:val="11"/>
          <w:szCs w:val="11"/>
          <w:color w:val="1E1E1E"/>
        </w:rPr>
        <w:t>®</w:t>
      </w:r>
      <w:r>
        <w:rPr>
          <w:rFonts w:ascii="Times New Roman" w:cs="Times New Roman" w:eastAsia="Times New Roman" w:hAnsi="Times New Roman"/>
          <w:sz w:val="20"/>
          <w:szCs w:val="20"/>
          <w:color w:val="1E1E1E"/>
        </w:rPr>
        <w:t>, No Yank</w:t>
      </w:r>
      <w:r>
        <w:rPr>
          <w:rFonts w:ascii="Times New Roman" w:cs="Times New Roman" w:eastAsia="Times New Roman" w:hAnsi="Times New Roman"/>
          <w:sz w:val="11"/>
          <w:szCs w:val="11"/>
          <w:color w:val="1E1E1E"/>
        </w:rPr>
        <w:t>®</w:t>
      </w:r>
      <w:r>
        <w:rPr>
          <w:rFonts w:ascii="Times New Roman" w:cs="Times New Roman" w:eastAsia="Times New Roman" w:hAnsi="Times New Roman"/>
          <w:sz w:val="20"/>
          <w:szCs w:val="20"/>
          <w:color w:val="1E1E1E"/>
        </w:rPr>
        <w:t>, Spit &amp; Polish</w:t>
      </w:r>
      <w:r>
        <w:rPr>
          <w:rFonts w:ascii="Times New Roman" w:cs="Times New Roman" w:eastAsia="Times New Roman" w:hAnsi="Times New Roman"/>
          <w:sz w:val="11"/>
          <w:szCs w:val="11"/>
          <w:color w:val="1E1E1E"/>
        </w:rPr>
        <w:t>®</w:t>
      </w:r>
      <w:r>
        <w:rPr>
          <w:rFonts w:ascii="Times New Roman" w:cs="Times New Roman" w:eastAsia="Times New Roman" w:hAnsi="Times New Roman"/>
          <w:sz w:val="20"/>
          <w:szCs w:val="20"/>
          <w:color w:val="1E1E1E"/>
        </w:rPr>
        <w:t>, and Wild Boar</w:t>
      </w:r>
      <w:r>
        <w:rPr>
          <w:rFonts w:ascii="Times New Roman" w:cs="Times New Roman" w:eastAsia="Times New Roman" w:hAnsi="Times New Roman"/>
          <w:sz w:val="11"/>
          <w:szCs w:val="11"/>
          <w:color w:val="1E1E1E"/>
        </w:rPr>
        <w:t>®</w:t>
      </w:r>
      <w:r>
        <w:rPr>
          <w:rFonts w:ascii="Times New Roman" w:cs="Times New Roman" w:eastAsia="Times New Roman" w:hAnsi="Times New Roman"/>
          <w:sz w:val="20"/>
          <w:szCs w:val="20"/>
          <w:color w:val="1E1E1E"/>
        </w:rPr>
        <w:t>. Our rights to some of these trademarks may be limited to select markets. We also own domain names, including “duluthtrading.com.”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Employees</w:t>
      </w:r>
    </w:p>
    <w:p>
      <w:pPr>
        <w:spacing w:after="0" w:line="205"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1E1E1E"/>
        </w:rPr>
        <w:t>As of February 2, 2025, we employed 807 full-time and 1,441 part-time and flexible part-time employees, 1,085 of which were employed at our retail stores. The number of employees, particularly part-time employees, fluctuates depending upon seasonal needs. Our employees are not represented by a labor union and are not party to a collective bargaining agreement. We consider our relations with our employees to be good.</w:t>
      </w:r>
    </w:p>
    <w:p>
      <w:pPr>
        <w:sectPr>
          <w:pgSz w:w="11880" w:h="15480" w:orient="portrait"/>
          <w:cols w:equalWidth="0" w:num="1">
            <w:col w:w="10240"/>
          </w:cols>
          <w:pgMar w:left="820" w:top="877"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7</w:t>
      </w:r>
    </w:p>
    <w:p>
      <w:pPr>
        <w:sectPr>
          <w:pgSz w:w="11880" w:h="15480" w:orient="portrait"/>
          <w:cols w:equalWidth="0" w:num="1">
            <w:col w:w="10240"/>
          </w:cols>
          <w:pgMar w:left="820" w:top="877" w:right="82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1E1E1E"/>
        </w:rPr>
        <w:t>Seasonality</w:t>
      </w:r>
    </w:p>
    <w:p>
      <w:pPr>
        <w:spacing w:after="0" w:line="200" w:lineRule="exact"/>
        <w:rPr>
          <w:sz w:val="20"/>
          <w:szCs w:val="20"/>
          <w:color w:val="auto"/>
        </w:rPr>
      </w:pPr>
    </w:p>
    <w:p>
      <w:pPr>
        <w:ind w:right="220" w:firstLine="490"/>
        <w:spacing w:after="0" w:line="254" w:lineRule="auto"/>
        <w:rPr>
          <w:sz w:val="20"/>
          <w:szCs w:val="20"/>
          <w:color w:val="auto"/>
        </w:rPr>
      </w:pPr>
      <w:r>
        <w:rPr>
          <w:rFonts w:ascii="Times New Roman" w:cs="Times New Roman" w:eastAsia="Times New Roman" w:hAnsi="Times New Roman"/>
          <w:sz w:val="20"/>
          <w:szCs w:val="20"/>
          <w:color w:val="1E1E1E"/>
        </w:rPr>
        <w:t>Our business experiences seasonal fluctuations. Our net sales and net income are generally highest in the fourth fiscal quarter, which includes the holiday sales period. As a result, our quarterly operating results and working capital requirements fluctuate significantly from quarter to quarter. Further, the impact of certain unusual or non-recurring items, economic conditions, weather or other factors affecting our operations may vary from one year to the next.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Regulation and Legislation</w:t>
      </w:r>
    </w:p>
    <w:p>
      <w:pPr>
        <w:spacing w:after="0" w:line="200"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1E1E1E"/>
        </w:rPr>
        <w:t>We are subject to labor and employment laws, truth-in-advertising laws, privacy laws, safety regulations, consumer protection regulations and other laws that regulate retailers and govern the promotion and sale of merchandise and the operation of stores and warehouse facilities. We monitor changes in these laws and believe that we are in material compliance with applicable laws.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Available Information</w:t>
      </w:r>
    </w:p>
    <w:p>
      <w:pPr>
        <w:spacing w:after="0" w:line="205" w:lineRule="exact"/>
        <w:rPr>
          <w:sz w:val="20"/>
          <w:szCs w:val="20"/>
          <w:color w:val="auto"/>
        </w:rPr>
      </w:pPr>
    </w:p>
    <w:p>
      <w:pPr>
        <w:ind w:right="120" w:firstLine="490"/>
        <w:spacing w:after="0" w:line="254" w:lineRule="auto"/>
        <w:rPr>
          <w:sz w:val="20"/>
          <w:szCs w:val="20"/>
          <w:color w:val="auto"/>
        </w:rPr>
      </w:pPr>
      <w:r>
        <w:rPr>
          <w:rFonts w:ascii="Times New Roman" w:cs="Times New Roman" w:eastAsia="Times New Roman" w:hAnsi="Times New Roman"/>
          <w:sz w:val="20"/>
          <w:szCs w:val="20"/>
          <w:color w:val="1E1E1E"/>
        </w:rPr>
        <w:t>Our Annual Reports on Form 10-K, Quarterly Reports on Form 10-Q, Current Reports on Form 8-K and amendments to reports filed pursuant to Sections 13(a) and 15(d) of the Securities Exchange Act of 1934, as amended (the “Exchange Act”), are made available free of charge on or through our website at www.duluthtrading.com under the “Investors” tab as soon as reasonably practicable after such reports are filed with, or furnished to the SEC.</w:t>
      </w:r>
    </w:p>
    <w:p>
      <w:pPr>
        <w:sectPr>
          <w:pgSz w:w="11880" w:h="15480" w:orient="portrait"/>
          <w:cols w:equalWidth="0" w:num="1">
            <w:col w:w="10240"/>
          </w:cols>
          <w:pgMar w:left="820" w:top="87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8</w:t>
      </w:r>
    </w:p>
    <w:p>
      <w:pPr>
        <w:sectPr>
          <w:pgSz w:w="11880" w:h="15480" w:orient="portrait"/>
          <w:cols w:equalWidth="0" w:num="1">
            <w:col w:w="10240"/>
          </w:cols>
          <w:pgMar w:left="820" w:top="874" w:right="820" w:bottom="0" w:gutter="0" w:footer="0" w:header="0"/>
          <w:type w:val="continuous"/>
        </w:sectPr>
      </w:pPr>
    </w:p>
    <w:bookmarkStart w:id="14" w:name="page15"/>
    <w:bookmarkEnd w:id="14"/>
    <w:p>
      <w:pPr>
        <w:spacing w:after="0"/>
        <w:tabs>
          <w:tab w:leader="none" w:pos="1140" w:val="left"/>
        </w:tabs>
        <w:rPr>
          <w:sz w:val="20"/>
          <w:szCs w:val="20"/>
          <w:color w:val="auto"/>
        </w:rPr>
      </w:pPr>
      <w:r>
        <w:rPr>
          <w:rFonts w:ascii="Times New Roman" w:cs="Times New Roman" w:eastAsia="Times New Roman" w:hAnsi="Times New Roman"/>
          <w:sz w:val="20"/>
          <w:szCs w:val="20"/>
          <w:color w:val="1E1E1E"/>
        </w:rPr>
        <w:t>ITEM 1A.</w:t>
      </w:r>
      <w:r>
        <w:rPr>
          <w:sz w:val="20"/>
          <w:szCs w:val="20"/>
          <w:color w:val="auto"/>
        </w:rPr>
        <w:tab/>
      </w:r>
      <w:r>
        <w:rPr>
          <w:rFonts w:ascii="Times New Roman" w:cs="Times New Roman" w:eastAsia="Times New Roman" w:hAnsi="Times New Roman"/>
          <w:sz w:val="20"/>
          <w:szCs w:val="20"/>
          <w:color w:val="1E1E1E"/>
        </w:rPr>
        <w:t>RISK FACTORS</w:t>
      </w:r>
    </w:p>
    <w:p>
      <w:pPr>
        <w:spacing w:after="0" w:line="200" w:lineRule="exact"/>
        <w:rPr>
          <w:sz w:val="20"/>
          <w:szCs w:val="20"/>
          <w:color w:val="auto"/>
        </w:rPr>
      </w:pPr>
    </w:p>
    <w:p>
      <w:pPr>
        <w:spacing w:after="0" w:line="284" w:lineRule="exact"/>
        <w:rPr>
          <w:sz w:val="20"/>
          <w:szCs w:val="20"/>
          <w:color w:val="auto"/>
        </w:rPr>
      </w:pPr>
    </w:p>
    <w:p>
      <w:pPr>
        <w:ind w:right="20" w:firstLine="490"/>
        <w:spacing w:after="0" w:line="260" w:lineRule="auto"/>
        <w:rPr>
          <w:sz w:val="20"/>
          <w:szCs w:val="20"/>
          <w:color w:val="auto"/>
        </w:rPr>
      </w:pPr>
      <w:r>
        <w:rPr>
          <w:rFonts w:ascii="Times New Roman" w:cs="Times New Roman" w:eastAsia="Times New Roman" w:hAnsi="Times New Roman"/>
          <w:sz w:val="19"/>
          <w:szCs w:val="19"/>
          <w:i w:val="1"/>
          <w:iCs w:val="1"/>
          <w:color w:val="1E1E1E"/>
        </w:rPr>
        <w:t>Certain factors may have a material adverse effect on our business, financial condition and results of operations. You should consider carefully the risks and uncertainties described below, in addition to other information contained in this Annual Report on Form 10-K, including our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Class B common stock could decline, and you could lose part or all of your investment.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Strategic Risks</w:t>
      </w:r>
    </w:p>
    <w:p>
      <w:pPr>
        <w:spacing w:after="0" w:line="207" w:lineRule="exact"/>
        <w:rPr>
          <w:sz w:val="20"/>
          <w:szCs w:val="20"/>
          <w:color w:val="auto"/>
        </w:rPr>
      </w:pPr>
    </w:p>
    <w:p>
      <w:pPr>
        <w:ind w:right="260" w:firstLine="288"/>
        <w:spacing w:after="0" w:line="275" w:lineRule="auto"/>
        <w:rPr>
          <w:sz w:val="20"/>
          <w:szCs w:val="20"/>
          <w:color w:val="auto"/>
        </w:rPr>
      </w:pPr>
      <w:r>
        <w:rPr>
          <w:rFonts w:ascii="Times New Roman" w:cs="Times New Roman" w:eastAsia="Times New Roman" w:hAnsi="Times New Roman"/>
          <w:sz w:val="20"/>
          <w:szCs w:val="20"/>
          <w:b w:val="1"/>
          <w:bCs w:val="1"/>
          <w:i w:val="1"/>
          <w:iCs w:val="1"/>
          <w:color w:val="1E1E1E"/>
        </w:rPr>
        <w:t>If we fail to offer products that customers want to purchase, our business and results of operations could be adversely affected.</w:t>
      </w:r>
    </w:p>
    <w:p>
      <w:pPr>
        <w:spacing w:after="0" w:line="129" w:lineRule="exact"/>
        <w:rPr>
          <w:sz w:val="20"/>
          <w:szCs w:val="20"/>
          <w:color w:val="auto"/>
        </w:rPr>
      </w:pPr>
    </w:p>
    <w:p>
      <w:pPr>
        <w:ind w:right="280" w:firstLine="490"/>
        <w:spacing w:after="0" w:line="254" w:lineRule="auto"/>
        <w:rPr>
          <w:sz w:val="20"/>
          <w:szCs w:val="20"/>
          <w:color w:val="auto"/>
        </w:rPr>
      </w:pPr>
      <w:r>
        <w:rPr>
          <w:rFonts w:ascii="Times New Roman" w:cs="Times New Roman" w:eastAsia="Times New Roman" w:hAnsi="Times New Roman"/>
          <w:sz w:val="20"/>
          <w:szCs w:val="20"/>
          <w:color w:val="1E1E1E"/>
        </w:rPr>
        <w:t>Our products must satisfy the desires of customers, whose preferences change over time. In order to be successful, we must design, obtain and offer to customers innovative and high-quality products on a continuous and timely basis. Failure to effectively respond to customer needs and preferences, or convey a compelling brand image or price-to-value equation to customers may result in lower net sales and gross profit margins.</w:t>
      </w:r>
    </w:p>
    <w:p>
      <w:pPr>
        <w:spacing w:after="0" w:line="145" w:lineRule="exact"/>
        <w:rPr>
          <w:sz w:val="20"/>
          <w:szCs w:val="20"/>
          <w:color w:val="auto"/>
        </w:rPr>
      </w:pPr>
    </w:p>
    <w:p>
      <w:pPr>
        <w:ind w:right="60" w:firstLine="490"/>
        <w:spacing w:after="0" w:line="254" w:lineRule="auto"/>
        <w:rPr>
          <w:sz w:val="20"/>
          <w:szCs w:val="20"/>
          <w:color w:val="auto"/>
        </w:rPr>
      </w:pPr>
      <w:r>
        <w:rPr>
          <w:rFonts w:ascii="Times New Roman" w:cs="Times New Roman" w:eastAsia="Times New Roman" w:hAnsi="Times New Roman"/>
          <w:sz w:val="20"/>
          <w:szCs w:val="20"/>
          <w:color w:val="1E1E1E"/>
        </w:rPr>
        <w:t>Our success depends in part on management’s ability to effectively anticipate or identify customer needs and preferences and respond quickly with marketable product offerings in advance of the actual time of sale to the customer. Even if we are successful in anticipating or identifying our customers’ needs and preferences, we must continue to develop and introduce innovative, high-quality products and product features in response to changing consumer demand.</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E1E1E"/>
        </w:rPr>
        <w:t>Factors that could affect our ability to accurately forecast consumer demand for our products include:</w:t>
      </w:r>
    </w:p>
    <w:p>
      <w:pPr>
        <w:spacing w:after="0" w:line="120" w:lineRule="exact"/>
        <w:rPr>
          <w:sz w:val="20"/>
          <w:szCs w:val="20"/>
          <w:color w:val="auto"/>
        </w:rPr>
      </w:pPr>
    </w:p>
    <w:p>
      <w:pPr>
        <w:ind w:left="980" w:hanging="496"/>
        <w:spacing w:after="0" w:line="258" w:lineRule="auto"/>
        <w:tabs>
          <w:tab w:leader="none" w:pos="980" w:val="left"/>
        </w:tabs>
        <w:numPr>
          <w:ilvl w:val="0"/>
          <w:numId w:val="13"/>
        </w:numPr>
        <w:rPr>
          <w:rFonts w:ascii="Arial" w:cs="Arial" w:eastAsia="Arial" w:hAnsi="Arial"/>
          <w:sz w:val="16"/>
          <w:szCs w:val="16"/>
          <w:color w:val="1E1E1E"/>
        </w:rPr>
      </w:pPr>
      <w:r>
        <w:rPr>
          <w:rFonts w:ascii="Times New Roman" w:cs="Times New Roman" w:eastAsia="Times New Roman" w:hAnsi="Times New Roman"/>
          <w:sz w:val="20"/>
          <w:szCs w:val="20"/>
          <w:color w:val="1E1E1E"/>
        </w:rPr>
        <w:t>a failure in our solution-based design process to accurately identify the problems our customers are experiencing with commonly available apparel and gear or a lack of customer acceptance of new products or product features we design;</w:t>
      </w:r>
    </w:p>
    <w:p>
      <w:pPr>
        <w:spacing w:after="0" w:line="64" w:lineRule="exact"/>
        <w:rPr>
          <w:rFonts w:ascii="Arial" w:cs="Arial" w:eastAsia="Arial" w:hAnsi="Arial"/>
          <w:sz w:val="16"/>
          <w:szCs w:val="16"/>
          <w:color w:val="1E1E1E"/>
        </w:rPr>
      </w:pPr>
    </w:p>
    <w:p>
      <w:pPr>
        <w:ind w:left="980" w:right="260" w:hanging="496"/>
        <w:spacing w:after="0" w:line="281" w:lineRule="auto"/>
        <w:tabs>
          <w:tab w:leader="none" w:pos="980" w:val="left"/>
        </w:tabs>
        <w:numPr>
          <w:ilvl w:val="0"/>
          <w:numId w:val="13"/>
        </w:numPr>
        <w:rPr>
          <w:rFonts w:ascii="Arial" w:cs="Arial" w:eastAsia="Arial" w:hAnsi="Arial"/>
          <w:sz w:val="16"/>
          <w:szCs w:val="16"/>
          <w:color w:val="1E1E1E"/>
        </w:rPr>
      </w:pPr>
      <w:r>
        <w:rPr>
          <w:rFonts w:ascii="Times New Roman" w:cs="Times New Roman" w:eastAsia="Times New Roman" w:hAnsi="Times New Roman"/>
          <w:sz w:val="20"/>
          <w:szCs w:val="20"/>
          <w:color w:val="1E1E1E"/>
        </w:rPr>
        <w:t>customer unwillingness to attribute premium value to our new products or product features we design relative to the commonly available apparel and gear they were intended to replace;</w:t>
      </w:r>
    </w:p>
    <w:p>
      <w:pPr>
        <w:spacing w:after="0" w:line="42" w:lineRule="exact"/>
        <w:rPr>
          <w:rFonts w:ascii="Arial" w:cs="Arial" w:eastAsia="Arial" w:hAnsi="Arial"/>
          <w:sz w:val="16"/>
          <w:szCs w:val="16"/>
          <w:color w:val="1E1E1E"/>
        </w:rPr>
      </w:pPr>
    </w:p>
    <w:p>
      <w:pPr>
        <w:ind w:left="980" w:hanging="496"/>
        <w:spacing w:after="0"/>
        <w:tabs>
          <w:tab w:leader="none" w:pos="980" w:val="left"/>
        </w:tabs>
        <w:numPr>
          <w:ilvl w:val="0"/>
          <w:numId w:val="13"/>
        </w:numPr>
        <w:rPr>
          <w:rFonts w:ascii="Arial" w:cs="Arial" w:eastAsia="Arial" w:hAnsi="Arial"/>
          <w:sz w:val="16"/>
          <w:szCs w:val="16"/>
          <w:color w:val="1E1E1E"/>
        </w:rPr>
      </w:pPr>
      <w:r>
        <w:rPr>
          <w:rFonts w:ascii="Times New Roman" w:cs="Times New Roman" w:eastAsia="Times New Roman" w:hAnsi="Times New Roman"/>
          <w:sz w:val="20"/>
          <w:szCs w:val="20"/>
          <w:color w:val="1E1E1E"/>
        </w:rPr>
        <w:t>new, well-received product introductions by competitors;</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13"/>
        </w:numPr>
        <w:rPr>
          <w:rFonts w:ascii="Arial" w:cs="Arial" w:eastAsia="Arial" w:hAnsi="Arial"/>
          <w:sz w:val="16"/>
          <w:szCs w:val="16"/>
          <w:color w:val="1E1E1E"/>
        </w:rPr>
      </w:pPr>
      <w:r>
        <w:rPr>
          <w:rFonts w:ascii="Times New Roman" w:cs="Times New Roman" w:eastAsia="Times New Roman" w:hAnsi="Times New Roman"/>
          <w:sz w:val="20"/>
          <w:szCs w:val="20"/>
          <w:color w:val="1E1E1E"/>
        </w:rPr>
        <w:t>weak economic conditions or consumer confidence, which reduce demand for our products; and</w:t>
      </w:r>
    </w:p>
    <w:p>
      <w:pPr>
        <w:spacing w:after="0" w:line="120" w:lineRule="exact"/>
        <w:rPr>
          <w:rFonts w:ascii="Arial" w:cs="Arial" w:eastAsia="Arial" w:hAnsi="Arial"/>
          <w:sz w:val="16"/>
          <w:szCs w:val="16"/>
          <w:color w:val="1E1E1E"/>
        </w:rPr>
      </w:pPr>
    </w:p>
    <w:p>
      <w:pPr>
        <w:ind w:left="980" w:right="680" w:hanging="496"/>
        <w:spacing w:after="0" w:line="281" w:lineRule="auto"/>
        <w:tabs>
          <w:tab w:leader="none" w:pos="980" w:val="left"/>
        </w:tabs>
        <w:numPr>
          <w:ilvl w:val="0"/>
          <w:numId w:val="13"/>
        </w:numPr>
        <w:rPr>
          <w:rFonts w:ascii="Arial" w:cs="Arial" w:eastAsia="Arial" w:hAnsi="Arial"/>
          <w:sz w:val="16"/>
          <w:szCs w:val="16"/>
          <w:color w:val="1E1E1E"/>
        </w:rPr>
      </w:pPr>
      <w:r>
        <w:rPr>
          <w:rFonts w:ascii="Times New Roman" w:cs="Times New Roman" w:eastAsia="Times New Roman" w:hAnsi="Times New Roman"/>
          <w:sz w:val="20"/>
          <w:szCs w:val="20"/>
          <w:color w:val="1E1E1E"/>
        </w:rPr>
        <w:t>terrorism, civil unrest or acts of war, or the threat thereof, which adversely affect consumer confidence and spending and/or interrupt production and distribution of products and raw materials.</w:t>
      </w:r>
    </w:p>
    <w:p>
      <w:pPr>
        <w:spacing w:after="0" w:line="119" w:lineRule="exact"/>
        <w:rPr>
          <w:sz w:val="20"/>
          <w:szCs w:val="20"/>
          <w:color w:val="auto"/>
        </w:rPr>
      </w:pPr>
    </w:p>
    <w:p>
      <w:pPr>
        <w:ind w:firstLine="490"/>
        <w:spacing w:after="0" w:line="261" w:lineRule="auto"/>
        <w:rPr>
          <w:sz w:val="20"/>
          <w:szCs w:val="20"/>
          <w:color w:val="auto"/>
        </w:rPr>
      </w:pPr>
      <w:r>
        <w:rPr>
          <w:rFonts w:ascii="Times New Roman" w:cs="Times New Roman" w:eastAsia="Times New Roman" w:hAnsi="Times New Roman"/>
          <w:sz w:val="20"/>
          <w:szCs w:val="20"/>
          <w:color w:val="1E1E1E"/>
        </w:rPr>
        <w:t>There can be no assurance that we will be able to successfully anticipate or identify our customers’ needs and preferences and design products and product features in response. These risks could have a material adverse effect on our brand as well as our results of operations and financial condition.</w:t>
      </w:r>
    </w:p>
    <w:p>
      <w:pPr>
        <w:spacing w:after="0" w:line="144" w:lineRule="exact"/>
        <w:rPr>
          <w:sz w:val="20"/>
          <w:szCs w:val="20"/>
          <w:color w:val="auto"/>
        </w:rPr>
      </w:pPr>
    </w:p>
    <w:p>
      <w:pPr>
        <w:ind w:right="160" w:firstLine="288"/>
        <w:spacing w:after="0" w:line="280" w:lineRule="auto"/>
        <w:rPr>
          <w:sz w:val="20"/>
          <w:szCs w:val="20"/>
          <w:color w:val="auto"/>
        </w:rPr>
      </w:pPr>
      <w:r>
        <w:rPr>
          <w:rFonts w:ascii="Times New Roman" w:cs="Times New Roman" w:eastAsia="Times New Roman" w:hAnsi="Times New Roman"/>
          <w:sz w:val="19"/>
          <w:szCs w:val="19"/>
          <w:b w:val="1"/>
          <w:bCs w:val="1"/>
          <w:i w:val="1"/>
          <w:iCs w:val="1"/>
          <w:color w:val="1E1E1E"/>
        </w:rPr>
        <w:t>Our business depends on our ability to maintain strong brands and sub brands. We may not be able to maintain and enhance the Duluth Trading brands if we receive unfavorable complaints, negative publicity or otherwise fail to live up to consumers’ expectations, which could materially adversely affect our business, results of operations and growth prospects.</w:t>
      </w:r>
    </w:p>
    <w:p>
      <w:pPr>
        <w:spacing w:after="0" w:line="122"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1E1E1E"/>
        </w:rPr>
        <w:t>We currently offer a differentiated brand to our customers defined by solution-based products manufactured with high quality craftsmanship, humorous and distinctive marketing, and an outstanding customer experience. Maintaining and enhancing the Duluth Trading brand is critical to expanding our base of customers. If we fail to maintain our brand, or if we incur excessive expenses in this effort, our business, operating results and financial condition may be materially adversely affected. We anticipate that, as we raise our profile nationally and attract an increasing amount of competition, maintaining and enhancing our brand may become increasingly difficult and expensive and may require us to make substantial additional investments in areas such as marketing, store operations, merchandising, technology and personnel.</w:t>
      </w:r>
    </w:p>
    <w:p>
      <w:pPr>
        <w:spacing w:after="0" w:line="153" w:lineRule="exact"/>
        <w:rPr>
          <w:sz w:val="20"/>
          <w:szCs w:val="20"/>
          <w:color w:val="auto"/>
        </w:rPr>
      </w:pPr>
    </w:p>
    <w:p>
      <w:pPr>
        <w:ind w:right="20" w:firstLine="490"/>
        <w:spacing w:after="0" w:line="254" w:lineRule="auto"/>
        <w:rPr>
          <w:sz w:val="20"/>
          <w:szCs w:val="20"/>
          <w:color w:val="auto"/>
        </w:rPr>
      </w:pPr>
      <w:r>
        <w:rPr>
          <w:rFonts w:ascii="Times New Roman" w:cs="Times New Roman" w:eastAsia="Times New Roman" w:hAnsi="Times New Roman"/>
          <w:sz w:val="20"/>
          <w:szCs w:val="20"/>
          <w:color w:val="1E1E1E"/>
        </w:rPr>
        <w:t>Customer complaints or negative reactions to, or unfavorable publicity about, our product quality or product features, our storytelling or irreverent advertising, the shopping experience on our website or in our retail stores, product delivery times, customer data privacy and security practices or customer support, especially on blogs, social media, other third-party websites and our website, could rapidly and severely diminish consumer use of our website and catalogs, visits to our retail stores and</w:t>
      </w:r>
    </w:p>
    <w:p>
      <w:pPr>
        <w:sectPr>
          <w:pgSz w:w="11880" w:h="15480" w:orient="portrait"/>
          <w:cols w:equalWidth="0" w:num="1">
            <w:col w:w="10220"/>
          </w:cols>
          <w:pgMar w:left="820" w:top="1175" w:right="840" w:bottom="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1E1E1E"/>
        </w:rPr>
        <w:t>9</w:t>
      </w:r>
    </w:p>
    <w:p>
      <w:pPr>
        <w:sectPr>
          <w:pgSz w:w="11880" w:h="15480" w:orient="portrait"/>
          <w:cols w:equalWidth="0" w:num="1">
            <w:col w:w="10220"/>
          </w:cols>
          <w:pgMar w:left="820" w:top="1175" w:right="840" w:bottom="0" w:gutter="0" w:footer="0" w:header="0"/>
          <w:type w:val="continuous"/>
        </w:sectPr>
      </w:pPr>
    </w:p>
    <w:bookmarkStart w:id="15" w:name="page16"/>
    <w:bookmarkEnd w:id="15"/>
    <w:p>
      <w:pPr>
        <w:jc w:val="both"/>
        <w:ind w:right="120"/>
        <w:spacing w:after="0" w:line="261" w:lineRule="auto"/>
        <w:rPr>
          <w:sz w:val="20"/>
          <w:szCs w:val="20"/>
          <w:color w:val="auto"/>
        </w:rPr>
      </w:pPr>
      <w:r>
        <w:rPr>
          <w:rFonts w:ascii="Times New Roman" w:cs="Times New Roman" w:eastAsia="Times New Roman" w:hAnsi="Times New Roman"/>
          <w:sz w:val="20"/>
          <w:szCs w:val="20"/>
          <w:color w:val="1E1E1E"/>
        </w:rPr>
        <w:t>consumer confidence in us and result in harm to our brand. Furthermore, these factors could cause our customers to no longer feel a personal connection with the Duluth Trading brand, which could result in the loss of customers and materially adversely affect our business, results of operations and growth prospects.</w:t>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i w:val="1"/>
          <w:iCs w:val="1"/>
          <w:color w:val="1E1E1E"/>
        </w:rPr>
        <w:t>We may face risks and challenges if we pursue further geographic expansion.</w:t>
      </w:r>
    </w:p>
    <w:p>
      <w:pPr>
        <w:spacing w:after="0" w:line="20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1E1E1E"/>
        </w:rPr>
        <w:t>Our expansion into new geographic markets could result in increased competition and merchandising, distribution and other challenges. We may encounter difficulties in attracting customers in our new retail store locations due to a lack of customer familiarity with our brand, our lack of familiarity with local customer preferences, competition with new competitors or with existing competitors with a large, established market presence and seasonal differences in the market. Our ability to expand successfully into other geographic markets will depend on acceptance of our retail store experience by customers in those markets, including our ability to design our stores in a manner that resonates locally and to offer the correct product assortment to appeal to consumers in such markets. There can be no assurance that any newly opened stores will be received as well as, or achieve net sales or profitability levels consistent with, our projected targets or be comparable to those of our existing stores in the time periods estimated by us, or at all. If our stores fail to achieve, or are unable to sustain, acceptable net sales and profitability levels, our business, results of operations and growth prospects may be materially adversely affected.</w:t>
      </w:r>
    </w:p>
    <w:p>
      <w:pPr>
        <w:spacing w:after="0" w:line="163"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1E1E1E"/>
        </w:rPr>
        <w:t>Furthermore, our retail stores may be located in regions that will be far from our Mount Horeb, Wisconsin headquarters and will require additional management time and attention. Failure to properly supervise the operation and maintain the consistency of the customer experience in those retail stores could result in loss of customers and potentially harm future net sales prospects.</w:t>
      </w:r>
    </w:p>
    <w:p>
      <w:pPr>
        <w:spacing w:after="0" w:line="154" w:lineRule="exact"/>
        <w:rPr>
          <w:sz w:val="20"/>
          <w:szCs w:val="20"/>
          <w:color w:val="auto"/>
        </w:rPr>
      </w:pPr>
    </w:p>
    <w:p>
      <w:pPr>
        <w:ind w:right="20" w:firstLine="288"/>
        <w:spacing w:after="0" w:line="253" w:lineRule="auto"/>
        <w:rPr>
          <w:sz w:val="20"/>
          <w:szCs w:val="20"/>
          <w:color w:val="auto"/>
        </w:rPr>
      </w:pPr>
      <w:r>
        <w:rPr>
          <w:rFonts w:ascii="Times New Roman" w:cs="Times New Roman" w:eastAsia="Times New Roman" w:hAnsi="Times New Roman"/>
          <w:sz w:val="20"/>
          <w:szCs w:val="20"/>
          <w:b w:val="1"/>
          <w:bCs w:val="1"/>
          <w:i w:val="1"/>
          <w:iCs w:val="1"/>
          <w:color w:val="1E1E1E"/>
        </w:rPr>
        <w:t>The success of our direct-to-consumer channel depends on customers’ use of our digital platform, including our website, and response to digital marketing; if our overall marketing strategies are not successful, including our maintenance of a robust customer list and ability to effectively customize our marketing efforts based on understanding customers preferences, our business and results of operations could be materially adversely affected.</w:t>
      </w:r>
    </w:p>
    <w:p>
      <w:pPr>
        <w:spacing w:after="0" w:line="147" w:lineRule="exact"/>
        <w:rPr>
          <w:sz w:val="20"/>
          <w:szCs w:val="20"/>
          <w:color w:val="auto"/>
        </w:rPr>
      </w:pPr>
    </w:p>
    <w:p>
      <w:pPr>
        <w:ind w:right="100" w:firstLine="490"/>
        <w:spacing w:after="0" w:line="271" w:lineRule="auto"/>
        <w:rPr>
          <w:sz w:val="20"/>
          <w:szCs w:val="20"/>
          <w:color w:val="auto"/>
        </w:rPr>
      </w:pPr>
      <w:r>
        <w:rPr>
          <w:rFonts w:ascii="Times New Roman" w:cs="Times New Roman" w:eastAsia="Times New Roman" w:hAnsi="Times New Roman"/>
          <w:sz w:val="19"/>
          <w:szCs w:val="19"/>
          <w:color w:val="1E1E1E"/>
        </w:rPr>
        <w:t>The level of customer traffic and volume of customer purchases through our direct-to-consumer channel is substantially dependent on our ability to provide a content-rich and user-friendly website, a fun, easy and hassle-free customer experience and reliable delivery of our products. If we are unable to maintain and increase customers’ use of our e-commerce platform, including our website, and the volume of purchases decline, our business and results of operations could be adversely affected.</w:t>
      </w:r>
    </w:p>
    <w:p>
      <w:pPr>
        <w:spacing w:after="0" w:line="137"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color w:val="1E1E1E"/>
        </w:rPr>
        <w:t>Customer response to our digital marketing is substantially dependent on merchandise assortment, merchandise availability and creative presentation, as well as the selection of customers to whom our digital marketing is directed and our catalogs are sent. Our maintenance of a robust customer list, which we believe includes desirable demographic characteristics for the products we offer, has also been a key component of our overall strategy. If the performance of our website and email declines, or if our overall marketing strategy is not successful, our business, results of operations and stock price could be adversely affected.</w:t>
      </w:r>
    </w:p>
    <w:p>
      <w:pPr>
        <w:spacing w:after="0" w:line="161" w:lineRule="exact"/>
        <w:rPr>
          <w:sz w:val="20"/>
          <w:szCs w:val="20"/>
          <w:color w:val="auto"/>
        </w:rPr>
      </w:pPr>
    </w:p>
    <w:p>
      <w:pPr>
        <w:ind w:right="680" w:firstLine="288"/>
        <w:spacing w:after="0" w:line="280" w:lineRule="auto"/>
        <w:rPr>
          <w:sz w:val="20"/>
          <w:szCs w:val="20"/>
          <w:color w:val="auto"/>
        </w:rPr>
      </w:pPr>
      <w:r>
        <w:rPr>
          <w:rFonts w:ascii="Times New Roman" w:cs="Times New Roman" w:eastAsia="Times New Roman" w:hAnsi="Times New Roman"/>
          <w:sz w:val="20"/>
          <w:szCs w:val="20"/>
          <w:b w:val="1"/>
          <w:bCs w:val="1"/>
          <w:i w:val="1"/>
          <w:iCs w:val="1"/>
          <w:color w:val="1E1E1E"/>
        </w:rPr>
        <w:t>If we fail to acquire new customers, or fail to do so in a cost-effective manner, we may not be able to increase net revenue or profit per active customer.</w:t>
      </w:r>
    </w:p>
    <w:p>
      <w:pPr>
        <w:spacing w:after="0" w:line="119" w:lineRule="exact"/>
        <w:rPr>
          <w:sz w:val="20"/>
          <w:szCs w:val="20"/>
          <w:color w:val="auto"/>
        </w:rPr>
      </w:pPr>
    </w:p>
    <w:p>
      <w:pPr>
        <w:ind w:firstLine="490"/>
        <w:spacing w:after="0" w:line="248" w:lineRule="auto"/>
        <w:rPr>
          <w:sz w:val="20"/>
          <w:szCs w:val="20"/>
          <w:color w:val="auto"/>
        </w:rPr>
      </w:pPr>
      <w:r>
        <w:rPr>
          <w:rFonts w:ascii="Times New Roman" w:cs="Times New Roman" w:eastAsia="Times New Roman" w:hAnsi="Times New Roman"/>
          <w:sz w:val="20"/>
          <w:szCs w:val="20"/>
          <w:color w:val="1E1E1E"/>
        </w:rPr>
        <w:t>Our success depends on our ability to acquire customers in a cost-effective manner. In order to expand our customer base, we must appeal to and acquire customers who identify with the Duluth Trading brand. We have made significant investments related to customer acquisition and expect to continue to spend significant amounts to acquire additional customers. For example, our national television advertising campaigns are expensive and may not result in the cost-effective acquisition of customers. Furthermore, as our brand has become more widely known in the market, our marketing campaigns have not resulted in acquisition of new customers at the same rate as past campaigns, and this trend may continue in the future.</w:t>
      </w:r>
    </w:p>
    <w:p>
      <w:pPr>
        <w:spacing w:after="0" w:line="153" w:lineRule="exact"/>
        <w:rPr>
          <w:sz w:val="20"/>
          <w:szCs w:val="20"/>
          <w:color w:val="auto"/>
        </w:rPr>
      </w:pPr>
    </w:p>
    <w:p>
      <w:pPr>
        <w:ind w:right="140" w:firstLine="490"/>
        <w:spacing w:after="0" w:line="257" w:lineRule="auto"/>
        <w:rPr>
          <w:sz w:val="20"/>
          <w:szCs w:val="20"/>
          <w:color w:val="auto"/>
        </w:rPr>
      </w:pPr>
      <w:r>
        <w:rPr>
          <w:rFonts w:ascii="Times New Roman" w:cs="Times New Roman" w:eastAsia="Times New Roman" w:hAnsi="Times New Roman"/>
          <w:sz w:val="19"/>
          <w:szCs w:val="19"/>
          <w:color w:val="1E1E1E"/>
        </w:rPr>
        <w:t>We also use other paid and non-paid advertising. Our paid advertising includes search engine marketing, display advertising and paid social media. Our non-paid advertising efforts include search engine optimization, non-paid social media and email. We obtain a significant amount of traffic via search engines and, therefore, rely on search engines such as Google. Search engines frequently update and change the logic that determines the placement and display of results of a user’s search, such that the purchased or algorithmic placement of links to our sites can be negatively affected. Moreover, a search engine could, for competitive or other purposes, alter its search algorithms or results, causing our sites to place lower in search query results. A major search engine could change its algorithms in a manner that negatively affects our paid or non-paid search ranking, and competitive dynamics could impact the effectiveness of search engine marketing or search engine optimization. We also obtain a significant amount of traffic via social networking websites or other channels used by our current and prospective customers. As e-commerce and social networking continue to rapidly evolve, we must continue to establish relationships with these channels and may be unable to develop or maintain these relationships on acceptable terms. Additionally, digital advertising costs may continue to rise and as our usage of these channels expands, such costs may impact</w:t>
      </w:r>
    </w:p>
    <w:p>
      <w:pPr>
        <w:sectPr>
          <w:pgSz w:w="11880" w:h="15480" w:orient="portrait"/>
          <w:cols w:equalWidth="0" w:num="1">
            <w:col w:w="10240"/>
          </w:cols>
          <w:pgMar w:left="820" w:top="877" w:right="820" w:bottom="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10</w:t>
      </w:r>
    </w:p>
    <w:p>
      <w:pPr>
        <w:sectPr>
          <w:pgSz w:w="11880" w:h="15480" w:orient="portrait"/>
          <w:cols w:equalWidth="0" w:num="1">
            <w:col w:w="10240"/>
          </w:cols>
          <w:pgMar w:left="820" w:top="877" w:right="820" w:bottom="0" w:gutter="0" w:footer="0" w:header="0"/>
          <w:type w:val="continuous"/>
        </w:sectPr>
      </w:pPr>
    </w:p>
    <w:bookmarkStart w:id="16" w:name="page17"/>
    <w:bookmarkEnd w:id="16"/>
    <w:p>
      <w:pPr>
        <w:spacing w:after="0" w:line="261" w:lineRule="auto"/>
        <w:rPr>
          <w:sz w:val="20"/>
          <w:szCs w:val="20"/>
          <w:color w:val="auto"/>
        </w:rPr>
      </w:pPr>
      <w:r>
        <w:rPr>
          <w:rFonts w:ascii="Times New Roman" w:cs="Times New Roman" w:eastAsia="Times New Roman" w:hAnsi="Times New Roman"/>
          <w:sz w:val="20"/>
          <w:szCs w:val="20"/>
          <w:color w:val="1E1E1E"/>
        </w:rPr>
        <w:t>our ability to acquire new customers in a cost-effective manner. As usage of these channels by our customer base has not grown as expected, we have suffered a decline in customer growth and net sales. A continued decrease in the level of usage or customer growth may have a material adverse effect on our business, financial condition and operating results.</w:t>
      </w:r>
    </w:p>
    <w:p>
      <w:pPr>
        <w:spacing w:after="0" w:line="138" w:lineRule="exact"/>
        <w:rPr>
          <w:sz w:val="20"/>
          <w:szCs w:val="20"/>
          <w:color w:val="auto"/>
        </w:rPr>
      </w:pPr>
    </w:p>
    <w:p>
      <w:pPr>
        <w:ind w:right="20" w:firstLine="490"/>
        <w:spacing w:after="0" w:line="254" w:lineRule="auto"/>
        <w:rPr>
          <w:sz w:val="20"/>
          <w:szCs w:val="20"/>
          <w:color w:val="auto"/>
        </w:rPr>
      </w:pPr>
      <w:r>
        <w:rPr>
          <w:rFonts w:ascii="Times New Roman" w:cs="Times New Roman" w:eastAsia="Times New Roman" w:hAnsi="Times New Roman"/>
          <w:sz w:val="20"/>
          <w:szCs w:val="20"/>
          <w:color w:val="1E1E1E"/>
        </w:rPr>
        <w:t>We cannot assure you that the net profit from new customers we acquire will ultimately exceed the cost of acquiring those customers. If we fail to deliver an outstanding customer experience, or if consumers do not perceive the products we offer to be manufactured with high quality craftsmanship, we may not be able to acquire new customers. If we are unable to acquire new customers, our growth prospects may be materially adversely affected.</w:t>
      </w:r>
    </w:p>
    <w:p>
      <w:pPr>
        <w:spacing w:after="0" w:line="151" w:lineRule="exact"/>
        <w:rPr>
          <w:sz w:val="20"/>
          <w:szCs w:val="20"/>
          <w:color w:val="auto"/>
        </w:rPr>
      </w:pPr>
    </w:p>
    <w:p>
      <w:pPr>
        <w:ind w:firstLine="288"/>
        <w:spacing w:after="0" w:line="280" w:lineRule="auto"/>
        <w:rPr>
          <w:sz w:val="20"/>
          <w:szCs w:val="20"/>
          <w:color w:val="auto"/>
        </w:rPr>
      </w:pPr>
      <w:r>
        <w:rPr>
          <w:rFonts w:ascii="Times New Roman" w:cs="Times New Roman" w:eastAsia="Times New Roman" w:hAnsi="Times New Roman"/>
          <w:sz w:val="20"/>
          <w:szCs w:val="20"/>
          <w:b w:val="1"/>
          <w:bCs w:val="1"/>
          <w:i w:val="1"/>
          <w:iCs w:val="1"/>
          <w:color w:val="1E1E1E"/>
        </w:rPr>
        <w:t>If we cannot compete effectively in the apparel, footwear and accessories industry, our business and results of operations may be adversely affected.</w:t>
      </w:r>
    </w:p>
    <w:p>
      <w:pPr>
        <w:spacing w:after="0" w:line="119"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The apparel, footwear and accessories industry is highly competitive. We compete with a diverse group of direct-to-consumer companies and retailers, including men’s and women’s specialty apparel chains, outdoor specialty stores, apparel catalog businesses and online apparel businesses that sell competing lines of merchandise. Our competitors may be able to adopt more aggressive pricing policies, adapt to changes in customers’ needs and preferences more quickly, devote greater resources to the design, sourcing, distribution, marketing and sale of their products or generate greater national brand recognition than us. In addition, as our business continues to expand, our competitors may seek to increase efforts to imitate our product designs, which could adversely affect our business and results of operations. An inability to overcome these potential competitive disadvantages or effectively market our products relative to our competitors could have an adverse effect on our business and results of operations.</w:t>
      </w:r>
    </w:p>
    <w:p>
      <w:pPr>
        <w:spacing w:after="0" w:line="159" w:lineRule="exact"/>
        <w:rPr>
          <w:sz w:val="20"/>
          <w:szCs w:val="20"/>
          <w:color w:val="auto"/>
        </w:rPr>
      </w:pPr>
    </w:p>
    <w:p>
      <w:pPr>
        <w:ind w:right="280" w:firstLine="288"/>
        <w:spacing w:after="0" w:line="280" w:lineRule="auto"/>
        <w:rPr>
          <w:sz w:val="20"/>
          <w:szCs w:val="20"/>
          <w:color w:val="auto"/>
        </w:rPr>
      </w:pPr>
      <w:r>
        <w:rPr>
          <w:rFonts w:ascii="Times New Roman" w:cs="Times New Roman" w:eastAsia="Times New Roman" w:hAnsi="Times New Roman"/>
          <w:sz w:val="20"/>
          <w:szCs w:val="20"/>
          <w:b w:val="1"/>
          <w:bCs w:val="1"/>
          <w:i w:val="1"/>
          <w:iCs w:val="1"/>
          <w:color w:val="1E1E1E"/>
        </w:rPr>
        <w:t>We may engage in strategic transactions that could negatively impact our liquidity, increase our expenses and present significant distractions to management.</w:t>
      </w:r>
    </w:p>
    <w:p>
      <w:pPr>
        <w:spacing w:after="0" w:line="119"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1E1E1E"/>
        </w:rPr>
        <w:t>We may consider strategic transactions and business arrangements, including, but not limited to, acquisitions, asset purchases, partnerships, joint ventures, restructurings and investments. Any such transaction may require us to incur non-recurring or other charges, may increase our near and long-term expenditures and may pose significant integration challenges or disrupt our management or business, which could harm our operations and financial results.</w:t>
      </w:r>
    </w:p>
    <w:p>
      <w:pPr>
        <w:spacing w:after="0" w:line="1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i w:val="1"/>
          <w:iCs w:val="1"/>
          <w:color w:val="1E1E1E"/>
        </w:rPr>
        <w:t>If we fail to achieve our growth strategy, our business, financial condition and operating results could be harmed.</w:t>
      </w:r>
    </w:p>
    <w:p>
      <w:pPr>
        <w:spacing w:after="0" w:line="196" w:lineRule="exact"/>
        <w:rPr>
          <w:sz w:val="20"/>
          <w:szCs w:val="20"/>
          <w:color w:val="auto"/>
        </w:rPr>
      </w:pPr>
    </w:p>
    <w:p>
      <w:pPr>
        <w:ind w:right="20" w:firstLine="490"/>
        <w:spacing w:after="0" w:line="271" w:lineRule="auto"/>
        <w:rPr>
          <w:sz w:val="20"/>
          <w:szCs w:val="20"/>
          <w:color w:val="auto"/>
        </w:rPr>
      </w:pPr>
      <w:r>
        <w:rPr>
          <w:rFonts w:ascii="Times New Roman" w:cs="Times New Roman" w:eastAsia="Times New Roman" w:hAnsi="Times New Roman"/>
          <w:sz w:val="19"/>
          <w:szCs w:val="19"/>
          <w:color w:val="1E1E1E"/>
        </w:rPr>
        <w:t>To achieve our growth strategy, we must continue to implement our operational plans and strategies, improve and expand our infrastructure of people, information systems and facilities and expand, train and manage our employee base. To support growth, we must effectively integrate, develop and motivate a large number of employees. Failure to improve and expand our infrastructure of employees may have a material adverse effect on our business, financial condition and operating results.</w:t>
      </w:r>
    </w:p>
    <w:p>
      <w:pPr>
        <w:spacing w:after="0" w:line="137"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1E1E1E"/>
        </w:rPr>
        <w:t>Additionally, the growth strategy of our business places significant demands on our management and other employees. The growth of our business may require significant additional resources to meet these daily demands, which may not scale in a cost-effective manner or may negatively affect the quality of our website, retail stores, fulfillment centers, call center and other aspects of the customer experience. We are also required to manage relationships with a growing number of suppliers, customers and other third parties. Our information technology systems and our internal controls and procedures may not be adequate to support future growth of these relationships. If we are unable to achieve the growth strategy of our organization, our business, financial condition and operating results may be materially adversely affected.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Operational Risks</w:t>
      </w:r>
    </w:p>
    <w:p>
      <w:pPr>
        <w:spacing w:after="0" w:line="235" w:lineRule="exact"/>
        <w:rPr>
          <w:sz w:val="20"/>
          <w:szCs w:val="20"/>
          <w:color w:val="auto"/>
        </w:rPr>
      </w:pPr>
    </w:p>
    <w:p>
      <w:pPr>
        <w:ind w:firstLine="288"/>
        <w:spacing w:after="0" w:line="280" w:lineRule="auto"/>
        <w:rPr>
          <w:sz w:val="20"/>
          <w:szCs w:val="20"/>
          <w:color w:val="auto"/>
        </w:rPr>
      </w:pPr>
      <w:r>
        <w:rPr>
          <w:rFonts w:ascii="Times New Roman" w:cs="Times New Roman" w:eastAsia="Times New Roman" w:hAnsi="Times New Roman"/>
          <w:sz w:val="20"/>
          <w:szCs w:val="20"/>
          <w:b w:val="1"/>
          <w:bCs w:val="1"/>
          <w:i w:val="1"/>
          <w:iCs w:val="1"/>
          <w:color w:val="1E1E1E"/>
        </w:rPr>
        <w:t>Economic uncertainties may continue to adversely affect our business operations, store and website traffic, employee availability, financial condition, liquidity, and cash flow for an extended period of time.</w:t>
      </w:r>
    </w:p>
    <w:p>
      <w:pPr>
        <w:spacing w:after="0" w:line="148" w:lineRule="exact"/>
        <w:rPr>
          <w:sz w:val="20"/>
          <w:szCs w:val="20"/>
          <w:color w:val="auto"/>
        </w:rPr>
      </w:pPr>
    </w:p>
    <w:p>
      <w:pPr>
        <w:ind w:firstLine="490"/>
        <w:spacing w:after="0" w:line="281" w:lineRule="auto"/>
        <w:rPr>
          <w:sz w:val="20"/>
          <w:szCs w:val="20"/>
          <w:color w:val="auto"/>
        </w:rPr>
      </w:pPr>
      <w:r>
        <w:rPr>
          <w:rFonts w:ascii="Times New Roman" w:cs="Times New Roman" w:eastAsia="Times New Roman" w:hAnsi="Times New Roman"/>
          <w:sz w:val="20"/>
          <w:szCs w:val="20"/>
          <w:color w:val="1E1E1E"/>
        </w:rPr>
        <w:t>The ongoing economic uncertainty continues to affect our business operations and it is impossible to predict the effect and ultimate impact of ongoing economic uncertainties.</w:t>
      </w:r>
    </w:p>
    <w:p>
      <w:pPr>
        <w:spacing w:after="0" w:line="153" w:lineRule="exact"/>
        <w:rPr>
          <w:sz w:val="20"/>
          <w:szCs w:val="20"/>
          <w:color w:val="auto"/>
        </w:rPr>
      </w:pPr>
    </w:p>
    <w:p>
      <w:pPr>
        <w:ind w:right="240" w:firstLine="490"/>
        <w:spacing w:after="0" w:line="261" w:lineRule="auto"/>
        <w:rPr>
          <w:sz w:val="20"/>
          <w:szCs w:val="20"/>
          <w:color w:val="auto"/>
        </w:rPr>
      </w:pPr>
      <w:r>
        <w:rPr>
          <w:rFonts w:ascii="Times New Roman" w:cs="Times New Roman" w:eastAsia="Times New Roman" w:hAnsi="Times New Roman"/>
          <w:sz w:val="20"/>
          <w:szCs w:val="20"/>
          <w:color w:val="1E1E1E"/>
        </w:rPr>
        <w:t>Business activities continue to face economic uncertainties, including but not limited to increased inflation and interest rates, tariffs and global supply chain constraints. The economic uncertainties may continue for an extended period and have adversely impacted, and may continue to impact, our business.</w:t>
      </w:r>
    </w:p>
    <w:p>
      <w:pPr>
        <w:spacing w:after="0" w:line="171" w:lineRule="exact"/>
        <w:rPr>
          <w:sz w:val="20"/>
          <w:szCs w:val="20"/>
          <w:color w:val="auto"/>
        </w:rPr>
      </w:pPr>
    </w:p>
    <w:p>
      <w:pPr>
        <w:jc w:val="both"/>
        <w:ind w:right="260" w:firstLine="490"/>
        <w:spacing w:after="0" w:line="270" w:lineRule="auto"/>
        <w:rPr>
          <w:sz w:val="20"/>
          <w:szCs w:val="20"/>
          <w:color w:val="auto"/>
        </w:rPr>
      </w:pPr>
      <w:r>
        <w:rPr>
          <w:rFonts w:ascii="Times New Roman" w:cs="Times New Roman" w:eastAsia="Times New Roman" w:hAnsi="Times New Roman"/>
          <w:sz w:val="19"/>
          <w:szCs w:val="19"/>
          <w:color w:val="1E1E1E"/>
        </w:rPr>
        <w:t>As inflationary periods continue, consumer fear may adversely affect traffic to our stores and website. Reductions in customer visits to, and spending at, our stores and website caused by economic uncertainties have resulted in a loss of retail store sales and profits and other material adverse effects. The extent of the impact on our business, financial results, liquidity and cash flows will depend largely on future developments, all of which are highly uncertain and cannot be predicted.</w:t>
      </w:r>
    </w:p>
    <w:p>
      <w:pPr>
        <w:sectPr>
          <w:pgSz w:w="11880" w:h="15480" w:orient="portrait"/>
          <w:cols w:equalWidth="0" w:num="1">
            <w:col w:w="10240"/>
          </w:cols>
          <w:pgMar w:left="820" w:top="877" w:right="820" w:bottom="0" w:gutter="0" w:footer="0" w:header="0"/>
        </w:sectPr>
      </w:pP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11</w:t>
      </w:r>
    </w:p>
    <w:p>
      <w:pPr>
        <w:sectPr>
          <w:pgSz w:w="11880" w:h="15480" w:orient="portrait"/>
          <w:cols w:equalWidth="0" w:num="1">
            <w:col w:w="10240"/>
          </w:cols>
          <w:pgMar w:left="820" w:top="877" w:right="820" w:bottom="0" w:gutter="0" w:footer="0" w:header="0"/>
          <w:type w:val="continuous"/>
        </w:sectPr>
      </w:pPr>
    </w:p>
    <w:bookmarkStart w:id="17" w:name="page18"/>
    <w:bookmarkEnd w:id="17"/>
    <w:p>
      <w:pPr>
        <w:ind w:right="40" w:firstLine="490"/>
        <w:spacing w:after="0" w:line="281" w:lineRule="auto"/>
        <w:rPr>
          <w:sz w:val="20"/>
          <w:szCs w:val="20"/>
          <w:color w:val="auto"/>
        </w:rPr>
      </w:pPr>
      <w:r>
        <w:rPr>
          <w:rFonts w:ascii="Times New Roman" w:cs="Times New Roman" w:eastAsia="Times New Roman" w:hAnsi="Times New Roman"/>
          <w:sz w:val="20"/>
          <w:szCs w:val="20"/>
          <w:color w:val="1E1E1E"/>
        </w:rPr>
        <w:t>These and other potential impacts of economic uncertainties could therefore materially and adversely affect our business, financial condition and results of operations.</w:t>
      </w:r>
    </w:p>
    <w:p>
      <w:pPr>
        <w:spacing w:after="0" w:line="121" w:lineRule="exact"/>
        <w:rPr>
          <w:sz w:val="20"/>
          <w:szCs w:val="20"/>
          <w:color w:val="auto"/>
        </w:rPr>
      </w:pPr>
    </w:p>
    <w:p>
      <w:pPr>
        <w:ind w:right="60" w:firstLine="288"/>
        <w:spacing w:after="0" w:line="280" w:lineRule="auto"/>
        <w:rPr>
          <w:sz w:val="20"/>
          <w:szCs w:val="20"/>
          <w:color w:val="auto"/>
        </w:rPr>
      </w:pPr>
      <w:r>
        <w:rPr>
          <w:rFonts w:ascii="Times New Roman" w:cs="Times New Roman" w:eastAsia="Times New Roman" w:hAnsi="Times New Roman"/>
          <w:sz w:val="20"/>
          <w:szCs w:val="20"/>
          <w:b w:val="1"/>
          <w:bCs w:val="1"/>
          <w:i w:val="1"/>
          <w:iCs w:val="1"/>
          <w:color w:val="1E1E1E"/>
        </w:rPr>
        <w:t>We rely on sources for merchandise located in foreign markets, and our business may therefore be adversely affected by legal, regulatory, economic and political risks associated with international trade and those markets.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E1E1E"/>
        </w:rPr>
        <w:t>Our reliance on suppliers in foreign markets creates risks inherent in doing business in foreign jurisdictions, including:</w:t>
      </w:r>
    </w:p>
    <w:p>
      <w:pPr>
        <w:spacing w:after="0" w:line="101" w:lineRule="exact"/>
        <w:rPr>
          <w:sz w:val="20"/>
          <w:szCs w:val="20"/>
          <w:color w:val="auto"/>
        </w:rPr>
      </w:pPr>
    </w:p>
    <w:p>
      <w:pPr>
        <w:ind w:left="980" w:right="100" w:hanging="496"/>
        <w:spacing w:after="0" w:line="276" w:lineRule="auto"/>
        <w:tabs>
          <w:tab w:leader="none" w:pos="980" w:val="left"/>
        </w:tabs>
        <w:numPr>
          <w:ilvl w:val="0"/>
          <w:numId w:val="14"/>
        </w:numPr>
        <w:rPr>
          <w:rFonts w:ascii="Arial" w:cs="Arial" w:eastAsia="Arial" w:hAnsi="Arial"/>
          <w:sz w:val="16"/>
          <w:szCs w:val="16"/>
          <w:color w:val="1E1E1E"/>
        </w:rPr>
      </w:pPr>
      <w:r>
        <w:rPr>
          <w:rFonts w:ascii="Times New Roman" w:cs="Times New Roman" w:eastAsia="Times New Roman" w:hAnsi="Times New Roman"/>
          <w:sz w:val="20"/>
          <w:szCs w:val="20"/>
          <w:color w:val="1E1E1E"/>
        </w:rPr>
        <w:t>transportation delays and interruptions, including due to port congestion and the failure of suppliers or distributors to comply with import regulations;</w:t>
      </w:r>
    </w:p>
    <w:p>
      <w:pPr>
        <w:spacing w:after="0" w:line="27" w:lineRule="exact"/>
        <w:rPr>
          <w:rFonts w:ascii="Arial" w:cs="Arial" w:eastAsia="Arial" w:hAnsi="Arial"/>
          <w:sz w:val="16"/>
          <w:szCs w:val="16"/>
          <w:color w:val="1E1E1E"/>
        </w:rPr>
      </w:pPr>
    </w:p>
    <w:p>
      <w:pPr>
        <w:ind w:left="980" w:right="420" w:hanging="496"/>
        <w:spacing w:after="0" w:line="308" w:lineRule="auto"/>
        <w:tabs>
          <w:tab w:leader="none" w:pos="980" w:val="left"/>
        </w:tabs>
        <w:numPr>
          <w:ilvl w:val="0"/>
          <w:numId w:val="14"/>
        </w:numPr>
        <w:rPr>
          <w:rFonts w:ascii="Arial" w:cs="Arial" w:eastAsia="Arial" w:hAnsi="Arial"/>
          <w:sz w:val="15"/>
          <w:szCs w:val="15"/>
          <w:color w:val="1E1E1E"/>
        </w:rPr>
      </w:pPr>
      <w:r>
        <w:rPr>
          <w:rFonts w:ascii="Times New Roman" w:cs="Times New Roman" w:eastAsia="Times New Roman" w:hAnsi="Times New Roman"/>
          <w:sz w:val="19"/>
          <w:szCs w:val="19"/>
          <w:color w:val="1E1E1E"/>
        </w:rPr>
        <w:t>the burdens of complying with a variety of foreign laws and regulations, including trade and labor restrictions, import/export laws and regulations, and local intellectual property laws and rights owned by third parties;</w:t>
      </w:r>
    </w:p>
    <w:p>
      <w:pPr>
        <w:ind w:left="980" w:right="40" w:hanging="496"/>
        <w:spacing w:after="0" w:line="254" w:lineRule="auto"/>
        <w:tabs>
          <w:tab w:leader="none" w:pos="980" w:val="left"/>
        </w:tabs>
        <w:numPr>
          <w:ilvl w:val="0"/>
          <w:numId w:val="14"/>
        </w:numPr>
        <w:rPr>
          <w:rFonts w:ascii="Arial" w:cs="Arial" w:eastAsia="Arial" w:hAnsi="Arial"/>
          <w:sz w:val="16"/>
          <w:szCs w:val="16"/>
          <w:color w:val="1E1E1E"/>
        </w:rPr>
      </w:pPr>
      <w:r>
        <w:rPr>
          <w:rFonts w:ascii="Times New Roman" w:cs="Times New Roman" w:eastAsia="Times New Roman" w:hAnsi="Times New Roman"/>
          <w:sz w:val="20"/>
          <w:szCs w:val="20"/>
          <w:color w:val="1E1E1E"/>
        </w:rPr>
        <w:t>changes in U.S. and non-U.S. laws (or changes in the enforcement of those laws) affecting the importation and taxation of goods, including disallowance of tax deductions for imported merchandise, imposition of unilateral tariffs on imported goods, duties, quotas, enhanced security measures at U.S. ports or imposition of new legislation relating to import quotas;</w:t>
      </w:r>
    </w:p>
    <w:p>
      <w:pPr>
        <w:spacing w:after="0" w:line="44" w:lineRule="exact"/>
        <w:rPr>
          <w:rFonts w:ascii="Arial" w:cs="Arial" w:eastAsia="Arial" w:hAnsi="Arial"/>
          <w:sz w:val="16"/>
          <w:szCs w:val="16"/>
          <w:color w:val="1E1E1E"/>
        </w:rPr>
      </w:pPr>
    </w:p>
    <w:p>
      <w:pPr>
        <w:ind w:left="980" w:hanging="496"/>
        <w:spacing w:after="0"/>
        <w:tabs>
          <w:tab w:leader="none" w:pos="980" w:val="left"/>
        </w:tabs>
        <w:numPr>
          <w:ilvl w:val="0"/>
          <w:numId w:val="14"/>
        </w:numPr>
        <w:rPr>
          <w:rFonts w:ascii="Arial" w:cs="Arial" w:eastAsia="Arial" w:hAnsi="Arial"/>
          <w:sz w:val="16"/>
          <w:szCs w:val="16"/>
          <w:color w:val="1E1E1E"/>
        </w:rPr>
      </w:pPr>
      <w:r>
        <w:rPr>
          <w:rFonts w:ascii="Times New Roman" w:cs="Times New Roman" w:eastAsia="Times New Roman" w:hAnsi="Times New Roman"/>
          <w:sz w:val="20"/>
          <w:szCs w:val="20"/>
          <w:color w:val="1E1E1E"/>
        </w:rPr>
        <w:t>economic and political instability in the countries and regions where our suppliers are located;</w:t>
      </w:r>
    </w:p>
    <w:p>
      <w:pPr>
        <w:spacing w:after="0" w:line="101" w:lineRule="exact"/>
        <w:rPr>
          <w:rFonts w:ascii="Arial" w:cs="Arial" w:eastAsia="Arial" w:hAnsi="Arial"/>
          <w:sz w:val="16"/>
          <w:szCs w:val="16"/>
          <w:color w:val="1E1E1E"/>
        </w:rPr>
      </w:pPr>
    </w:p>
    <w:p>
      <w:pPr>
        <w:ind w:left="980" w:hanging="496"/>
        <w:spacing w:after="0" w:line="261" w:lineRule="auto"/>
        <w:tabs>
          <w:tab w:leader="none" w:pos="980" w:val="left"/>
        </w:tabs>
        <w:numPr>
          <w:ilvl w:val="0"/>
          <w:numId w:val="14"/>
        </w:numPr>
        <w:rPr>
          <w:rFonts w:ascii="Arial" w:cs="Arial" w:eastAsia="Arial" w:hAnsi="Arial"/>
          <w:sz w:val="16"/>
          <w:szCs w:val="16"/>
          <w:color w:val="1E1E1E"/>
        </w:rPr>
      </w:pPr>
      <w:r>
        <w:rPr>
          <w:rFonts w:ascii="Times New Roman" w:cs="Times New Roman" w:eastAsia="Times New Roman" w:hAnsi="Times New Roman"/>
          <w:sz w:val="20"/>
          <w:szCs w:val="20"/>
          <w:color w:val="1E1E1E"/>
        </w:rPr>
        <w:t>compliance with U.S. and other country laws relating to foreign operations, including the Foreign Corrupt Practices Act, which prohibits U.S. companies from making improper payments to foreign officials for the purpose of obtaining or retaining business;</w:t>
      </w:r>
    </w:p>
    <w:p>
      <w:pPr>
        <w:spacing w:after="0" w:line="41" w:lineRule="exact"/>
        <w:rPr>
          <w:rFonts w:ascii="Arial" w:cs="Arial" w:eastAsia="Arial" w:hAnsi="Arial"/>
          <w:sz w:val="16"/>
          <w:szCs w:val="16"/>
          <w:color w:val="1E1E1E"/>
        </w:rPr>
      </w:pPr>
    </w:p>
    <w:p>
      <w:pPr>
        <w:ind w:left="980" w:hanging="496"/>
        <w:spacing w:after="0"/>
        <w:tabs>
          <w:tab w:leader="none" w:pos="980" w:val="left"/>
        </w:tabs>
        <w:numPr>
          <w:ilvl w:val="0"/>
          <w:numId w:val="14"/>
        </w:numPr>
        <w:rPr>
          <w:rFonts w:ascii="Arial" w:cs="Arial" w:eastAsia="Arial" w:hAnsi="Arial"/>
          <w:sz w:val="16"/>
          <w:szCs w:val="16"/>
          <w:color w:val="1E1E1E"/>
        </w:rPr>
      </w:pPr>
      <w:r>
        <w:rPr>
          <w:rFonts w:ascii="Times New Roman" w:cs="Times New Roman" w:eastAsia="Times New Roman" w:hAnsi="Times New Roman"/>
          <w:sz w:val="20"/>
          <w:szCs w:val="20"/>
          <w:color w:val="1E1E1E"/>
        </w:rPr>
        <w:t>increases in shipping, labor, fuel, travel and other transportation costs;</w:t>
      </w:r>
    </w:p>
    <w:p>
      <w:pPr>
        <w:spacing w:after="0" w:line="96" w:lineRule="exact"/>
        <w:rPr>
          <w:rFonts w:ascii="Arial" w:cs="Arial" w:eastAsia="Arial" w:hAnsi="Arial"/>
          <w:sz w:val="16"/>
          <w:szCs w:val="16"/>
          <w:color w:val="1E1E1E"/>
        </w:rPr>
      </w:pPr>
    </w:p>
    <w:p>
      <w:pPr>
        <w:ind w:left="980" w:right="140" w:hanging="496"/>
        <w:spacing w:after="0" w:line="281" w:lineRule="auto"/>
        <w:tabs>
          <w:tab w:leader="none" w:pos="980" w:val="left"/>
        </w:tabs>
        <w:numPr>
          <w:ilvl w:val="0"/>
          <w:numId w:val="14"/>
        </w:numPr>
        <w:rPr>
          <w:rFonts w:ascii="Arial" w:cs="Arial" w:eastAsia="Arial" w:hAnsi="Arial"/>
          <w:sz w:val="16"/>
          <w:szCs w:val="16"/>
          <w:color w:val="1E1E1E"/>
        </w:rPr>
      </w:pPr>
      <w:r>
        <w:rPr>
          <w:rFonts w:ascii="Times New Roman" w:cs="Times New Roman" w:eastAsia="Times New Roman" w:hAnsi="Times New Roman"/>
          <w:sz w:val="20"/>
          <w:szCs w:val="20"/>
          <w:color w:val="1E1E1E"/>
        </w:rPr>
        <w:t>the imposition of anti-dumping or countervailing duty proceedings resulting in the potential assessment of special anti-dumping or countervailing duties;</w:t>
      </w:r>
    </w:p>
    <w:p>
      <w:pPr>
        <w:spacing w:after="0" w:line="23" w:lineRule="exact"/>
        <w:rPr>
          <w:rFonts w:ascii="Arial" w:cs="Arial" w:eastAsia="Arial" w:hAnsi="Arial"/>
          <w:sz w:val="16"/>
          <w:szCs w:val="16"/>
          <w:color w:val="1E1E1E"/>
        </w:rPr>
      </w:pPr>
    </w:p>
    <w:p>
      <w:pPr>
        <w:ind w:left="980" w:hanging="496"/>
        <w:spacing w:after="0"/>
        <w:tabs>
          <w:tab w:leader="none" w:pos="980" w:val="left"/>
        </w:tabs>
        <w:numPr>
          <w:ilvl w:val="0"/>
          <w:numId w:val="14"/>
        </w:numPr>
        <w:rPr>
          <w:rFonts w:ascii="Arial" w:cs="Arial" w:eastAsia="Arial" w:hAnsi="Arial"/>
          <w:sz w:val="16"/>
          <w:szCs w:val="16"/>
          <w:color w:val="1E1E1E"/>
        </w:rPr>
      </w:pPr>
      <w:r>
        <w:rPr>
          <w:rFonts w:ascii="Times New Roman" w:cs="Times New Roman" w:eastAsia="Times New Roman" w:hAnsi="Times New Roman"/>
          <w:sz w:val="20"/>
          <w:szCs w:val="20"/>
          <w:color w:val="1E1E1E"/>
        </w:rPr>
        <w:t>political instability, war and acts of terrorism; and</w:t>
      </w:r>
    </w:p>
    <w:p>
      <w:pPr>
        <w:spacing w:after="0" w:line="101" w:lineRule="exact"/>
        <w:rPr>
          <w:rFonts w:ascii="Arial" w:cs="Arial" w:eastAsia="Arial" w:hAnsi="Arial"/>
          <w:sz w:val="16"/>
          <w:szCs w:val="16"/>
          <w:color w:val="1E1E1E"/>
        </w:rPr>
      </w:pPr>
    </w:p>
    <w:p>
      <w:pPr>
        <w:ind w:left="980" w:right="320" w:hanging="496"/>
        <w:spacing w:after="0" w:line="281" w:lineRule="auto"/>
        <w:tabs>
          <w:tab w:leader="none" w:pos="980" w:val="left"/>
        </w:tabs>
        <w:numPr>
          <w:ilvl w:val="0"/>
          <w:numId w:val="14"/>
        </w:numPr>
        <w:rPr>
          <w:rFonts w:ascii="Arial" w:cs="Arial" w:eastAsia="Arial" w:hAnsi="Arial"/>
          <w:sz w:val="16"/>
          <w:szCs w:val="16"/>
          <w:color w:val="1E1E1E"/>
        </w:rPr>
      </w:pPr>
      <w:r>
        <w:rPr>
          <w:rFonts w:ascii="Times New Roman" w:cs="Times New Roman" w:eastAsia="Times New Roman" w:hAnsi="Times New Roman"/>
          <w:sz w:val="20"/>
          <w:szCs w:val="20"/>
          <w:color w:val="1E1E1E"/>
        </w:rPr>
        <w:t>the occurrence of a natural disaster, unusual weather conditions, or prolonged public health crises, epidemics or pandemics in foreign countries from which we source our products.</w:t>
      </w:r>
    </w:p>
    <w:p>
      <w:pPr>
        <w:spacing w:after="0" w:line="119" w:lineRule="exact"/>
        <w:rPr>
          <w:sz w:val="20"/>
          <w:szCs w:val="20"/>
          <w:color w:val="auto"/>
        </w:rPr>
      </w:pPr>
    </w:p>
    <w:p>
      <w:pPr>
        <w:ind w:right="120" w:firstLine="490"/>
        <w:spacing w:after="0" w:line="281" w:lineRule="auto"/>
        <w:rPr>
          <w:sz w:val="20"/>
          <w:szCs w:val="20"/>
          <w:color w:val="auto"/>
        </w:rPr>
      </w:pPr>
      <w:r>
        <w:rPr>
          <w:rFonts w:ascii="Times New Roman" w:cs="Times New Roman" w:eastAsia="Times New Roman" w:hAnsi="Times New Roman"/>
          <w:sz w:val="20"/>
          <w:szCs w:val="20"/>
          <w:color w:val="1E1E1E"/>
        </w:rPr>
        <w:t>The occurrence of one or more of these events could result in disruptions to our operations, which in turn could increase our cost of goods sold, decrease our gross profit, or impact our ability to deliver to our customers.</w:t>
      </w:r>
    </w:p>
    <w:p>
      <w:pPr>
        <w:spacing w:after="0" w:line="124"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1E1E1E"/>
        </w:rPr>
        <w:t>New initiatives have been and may be proposed in the United States that may have an impact on the trading status of certain countries and may include retaliatory duties or other trade sanctions that, if enacted, would increase the cost of products purchased from suppliers in such countries with which we do business. Any inability on our part to rely on our foreign sources of production due to any of the factors listed above could have an adverse effect on our business, results of operations and financial condition.</w:t>
      </w:r>
    </w:p>
    <w:p>
      <w:pPr>
        <w:spacing w:after="0" w:line="158" w:lineRule="exact"/>
        <w:rPr>
          <w:sz w:val="20"/>
          <w:szCs w:val="20"/>
          <w:color w:val="auto"/>
        </w:rPr>
      </w:pPr>
    </w:p>
    <w:p>
      <w:pPr>
        <w:ind w:right="560" w:firstLine="288"/>
        <w:spacing w:after="0" w:line="280" w:lineRule="auto"/>
        <w:rPr>
          <w:sz w:val="20"/>
          <w:szCs w:val="20"/>
          <w:color w:val="auto"/>
        </w:rPr>
      </w:pPr>
      <w:r>
        <w:rPr>
          <w:rFonts w:ascii="Times New Roman" w:cs="Times New Roman" w:eastAsia="Times New Roman" w:hAnsi="Times New Roman"/>
          <w:sz w:val="20"/>
          <w:szCs w:val="20"/>
          <w:b w:val="1"/>
          <w:bCs w:val="1"/>
          <w:i w:val="1"/>
          <w:iCs w:val="1"/>
          <w:color w:val="1E1E1E"/>
        </w:rPr>
        <w:t>If we fail to timely and effectively obtain shipments of products from our suppliers and deliver merchandise to our customers, our business and operating results could be adversely affected.</w:t>
      </w:r>
    </w:p>
    <w:p>
      <w:pPr>
        <w:spacing w:after="0" w:line="124" w:lineRule="exact"/>
        <w:rPr>
          <w:sz w:val="20"/>
          <w:szCs w:val="20"/>
          <w:color w:val="auto"/>
        </w:rPr>
      </w:pPr>
    </w:p>
    <w:p>
      <w:pPr>
        <w:ind w:firstLine="491"/>
        <w:spacing w:after="0" w:line="242" w:lineRule="auto"/>
        <w:rPr>
          <w:sz w:val="20"/>
          <w:szCs w:val="20"/>
          <w:color w:val="auto"/>
        </w:rPr>
      </w:pPr>
      <w:r>
        <w:rPr>
          <w:rFonts w:ascii="Times New Roman" w:cs="Times New Roman" w:eastAsia="Times New Roman" w:hAnsi="Times New Roman"/>
          <w:sz w:val="20"/>
          <w:szCs w:val="20"/>
          <w:color w:val="1E1E1E"/>
        </w:rPr>
        <w:t>We do not own or operate any manufacturing facilities and therefore depend upon independent third-party suppliers for the manufacture of our merchandise. We cannot control all of the various factors that might affect timely and effective procurement of supplies of product from our third-party suppliers and delivery of merchandise to our customers. A majority of the products that we purchase must be shipped to our fulfillment centers in Wisconsin, Georgia and Utah. While our reliance on a limited number of fulfillment centers provides certain efficiencies, it also makes us more vulnerable to natural disasters, weather-related disruptions, accidents, system failures, public health pandemics, or other unforeseen causes that could delay or impair our ability to fulfill customer orders and/or ship merchandise to our stores, which could adversely affect sales. Our ability to mitigate the adverse impacts of these events depends in part upon the effectiveness of our disaster preparedness and response planning, as well as our business continuity planning. Our use of imports also makes us vulnerable to risks associated with products manufactured abroad, including, among other things, risks of damage, destruction or confiscation of products while in transit to a fulfillment center or at points of export or import, organized labor strikes and work stoppages, transportation and other delays in shipments, including as a result of heightened security screening and inspection processes or other port-of-entry limitations or restrictions in the United States, unexpected or significant port congestion, lack of freight availability and freight cost increases. In addition, as has happened in the past, if we experience a shortage of a popular item, we may be required to arrange for additional quantities of the item, if available, to be delivered through airfreight, which is significantly more expensive than standard shipping by sea. We may not be able to obtain sufficient freight capacity on a timely basis or at favorable shipping rates and, therefore, may not be able to receive merchandise from suppliers or deliver products to customers in a timely and cost-effective manner.</w:t>
      </w:r>
    </w:p>
    <w:p>
      <w:pPr>
        <w:sectPr>
          <w:pgSz w:w="11880" w:h="15480" w:orient="portrait"/>
          <w:cols w:equalWidth="0" w:num="1">
            <w:col w:w="10220"/>
          </w:cols>
          <w:pgMar w:left="820" w:top="1107" w:right="840" w:bottom="0" w:gutter="0" w:footer="0" w:header="0"/>
        </w:sectPr>
      </w:pP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1E1E1E"/>
        </w:rPr>
        <w:t>12</w:t>
      </w:r>
    </w:p>
    <w:p>
      <w:pPr>
        <w:sectPr>
          <w:pgSz w:w="11880" w:h="15480" w:orient="portrait"/>
          <w:cols w:equalWidth="0" w:num="1">
            <w:col w:w="10220"/>
          </w:cols>
          <w:pgMar w:left="820" w:top="1107" w:right="840" w:bottom="0" w:gutter="0" w:footer="0" w:header="0"/>
          <w:type w:val="continuous"/>
        </w:sectPr>
      </w:pPr>
    </w:p>
    <w:bookmarkStart w:id="18" w:name="page19"/>
    <w:bookmarkEnd w:id="18"/>
    <w:p>
      <w:pPr>
        <w:ind w:right="60" w:firstLine="288"/>
        <w:spacing w:after="0" w:line="280" w:lineRule="auto"/>
        <w:rPr>
          <w:sz w:val="20"/>
          <w:szCs w:val="20"/>
          <w:color w:val="auto"/>
        </w:rPr>
      </w:pPr>
      <w:r>
        <w:rPr>
          <w:rFonts w:ascii="Times New Roman" w:cs="Times New Roman" w:eastAsia="Times New Roman" w:hAnsi="Times New Roman"/>
          <w:sz w:val="20"/>
          <w:szCs w:val="20"/>
          <w:b w:val="1"/>
          <w:bCs w:val="1"/>
          <w:i w:val="1"/>
          <w:iCs w:val="1"/>
          <w:color w:val="1E1E1E"/>
        </w:rPr>
        <w:t>Competitive pricing pressures with respect to shipping our products to our customers may harm our business and results of operations.</w:t>
      </w:r>
    </w:p>
    <w:p>
      <w:pPr>
        <w:spacing w:after="0" w:line="119"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1E1E1E"/>
        </w:rPr>
        <w:t>Given the size of our direct-to-consumer net sales relative to our total net sales, shipping and handling revenue has had a significant impact on our gross profit and gross profit margin. Historically, this revenue has partially offset our shipping and handling expense included in selling, general and administrative expenses. Online and omnichannel retailers are increasing their focus on delivery services, with customers increasingly seeking faster, guaranteed delivery times and low-price or free shipping. Higher direct-to-consumer net sales has resulted and may continue to result in additional peak surcharges assessed by our delivery partners. To remain competitive, we have been required to offer discounted, free or other more competitive shipping options to our customers, which has resulted in declines in our shipping and handling revenue and increased shipping and handling expense. We expect further declines in shipping and handling revenues as compared to prior years. Further declines in shipping and handling revenues may have a material adverse effect on our gross profit and gross profit margin, as well as our Adjusted EBITDA to the extent there are not commensurate declines, or if there are increases, in our shipping and handling expense.</w:t>
      </w:r>
    </w:p>
    <w:p>
      <w:pPr>
        <w:spacing w:after="0" w:line="161" w:lineRule="exact"/>
        <w:rPr>
          <w:sz w:val="20"/>
          <w:szCs w:val="20"/>
          <w:color w:val="auto"/>
        </w:rPr>
      </w:pPr>
    </w:p>
    <w:p>
      <w:pPr>
        <w:ind w:right="280" w:firstLine="288"/>
        <w:spacing w:after="0" w:line="260" w:lineRule="auto"/>
        <w:rPr>
          <w:sz w:val="20"/>
          <w:szCs w:val="20"/>
          <w:color w:val="auto"/>
        </w:rPr>
      </w:pPr>
      <w:r>
        <w:rPr>
          <w:rFonts w:ascii="Times New Roman" w:cs="Times New Roman" w:eastAsia="Times New Roman" w:hAnsi="Times New Roman"/>
          <w:sz w:val="20"/>
          <w:szCs w:val="20"/>
          <w:b w:val="1"/>
          <w:bCs w:val="1"/>
          <w:i w:val="1"/>
          <w:iCs w:val="1"/>
          <w:color w:val="1E1E1E"/>
        </w:rPr>
        <w:t>We rely on third-party service providers to deliver products purchased through our direct-to-consumer channel to our customers and our business could be negatively impacted by disruptions in the operations of these third-party service providers.</w:t>
      </w:r>
    </w:p>
    <w:p>
      <w:pPr>
        <w:spacing w:after="0" w:line="144"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1E1E1E"/>
        </w:rPr>
        <w:t>Relying on third-party service providers puts us at risk from disruptions in their operations, such as employee strikes, inclement weather and their inability to meet our shipping demands. Moreover, we may be unable to obtain terms as favorable as those received from the transportation providers we currently use, which would further increase our costs. In addition, if our products are not delivered to our customers on time, our customers may cancel their orders or we may lose business from these customers in the future. We may be subject to shipping surcharges and thresholds during the peak holiday shopping season, which may have a negative impact on our earnings. Our efforts to mitigate the impact of future thresholds may not be successful or may result in similar surcharges. These factors may negatively impact our financial condition and results of operations.</w:t>
      </w:r>
    </w:p>
    <w:p>
      <w:pPr>
        <w:spacing w:after="0" w:line="159" w:lineRule="exact"/>
        <w:rPr>
          <w:sz w:val="20"/>
          <w:szCs w:val="20"/>
          <w:color w:val="auto"/>
        </w:rPr>
      </w:pPr>
    </w:p>
    <w:p>
      <w:pPr>
        <w:ind w:right="20" w:firstLine="288"/>
        <w:spacing w:after="0" w:line="280" w:lineRule="auto"/>
        <w:rPr>
          <w:sz w:val="20"/>
          <w:szCs w:val="20"/>
          <w:color w:val="auto"/>
        </w:rPr>
      </w:pPr>
      <w:r>
        <w:rPr>
          <w:rFonts w:ascii="Times New Roman" w:cs="Times New Roman" w:eastAsia="Times New Roman" w:hAnsi="Times New Roman"/>
          <w:sz w:val="20"/>
          <w:szCs w:val="20"/>
          <w:b w:val="1"/>
          <w:bCs w:val="1"/>
          <w:i w:val="1"/>
          <w:iCs w:val="1"/>
          <w:color w:val="1E1E1E"/>
        </w:rPr>
        <w:t>Dependence on our e-commerce sales channel subjects us to numerous risks that could have a material adverse effect on our business, financial condition and results of operations.</w:t>
      </w:r>
    </w:p>
    <w:p>
      <w:pPr>
        <w:spacing w:after="0" w:line="124" w:lineRule="exact"/>
        <w:rPr>
          <w:sz w:val="20"/>
          <w:szCs w:val="20"/>
          <w:color w:val="auto"/>
        </w:rPr>
      </w:pPr>
    </w:p>
    <w:p>
      <w:pPr>
        <w:ind w:right="160" w:firstLine="490"/>
        <w:spacing w:after="0" w:line="261" w:lineRule="auto"/>
        <w:rPr>
          <w:sz w:val="20"/>
          <w:szCs w:val="20"/>
          <w:color w:val="auto"/>
        </w:rPr>
      </w:pPr>
      <w:r>
        <w:rPr>
          <w:rFonts w:ascii="Times New Roman" w:cs="Times New Roman" w:eastAsia="Times New Roman" w:hAnsi="Times New Roman"/>
          <w:sz w:val="20"/>
          <w:szCs w:val="20"/>
          <w:color w:val="1E1E1E"/>
        </w:rPr>
        <w:t>Our results of operations and financial condition are dependent on maintaining our e-commerce business and expanding our e-commerce business is an important part of our growth strategy. Dependence on our e-commerce business and its continued growth subjects us to certain risks, including:</w:t>
      </w:r>
    </w:p>
    <w:p>
      <w:pPr>
        <w:spacing w:after="0" w:line="60" w:lineRule="exact"/>
        <w:rPr>
          <w:sz w:val="20"/>
          <w:szCs w:val="20"/>
          <w:color w:val="auto"/>
        </w:rPr>
      </w:pPr>
    </w:p>
    <w:p>
      <w:pPr>
        <w:ind w:left="980" w:hanging="496"/>
        <w:spacing w:after="0"/>
        <w:tabs>
          <w:tab w:leader="none" w:pos="980" w:val="left"/>
        </w:tabs>
        <w:numPr>
          <w:ilvl w:val="0"/>
          <w:numId w:val="15"/>
        </w:numPr>
        <w:rPr>
          <w:rFonts w:ascii="Arial" w:cs="Arial" w:eastAsia="Arial" w:hAnsi="Arial"/>
          <w:sz w:val="16"/>
          <w:szCs w:val="16"/>
          <w:color w:val="1E1E1E"/>
        </w:rPr>
      </w:pPr>
      <w:r>
        <w:rPr>
          <w:rFonts w:ascii="Times New Roman" w:cs="Times New Roman" w:eastAsia="Times New Roman" w:hAnsi="Times New Roman"/>
          <w:sz w:val="20"/>
          <w:szCs w:val="20"/>
          <w:color w:val="1E1E1E"/>
        </w:rPr>
        <w:t>diversion of traffic from our stores;</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15"/>
        </w:numPr>
        <w:rPr>
          <w:rFonts w:ascii="Arial" w:cs="Arial" w:eastAsia="Arial" w:hAnsi="Arial"/>
          <w:sz w:val="16"/>
          <w:szCs w:val="16"/>
          <w:color w:val="1E1E1E"/>
        </w:rPr>
      </w:pPr>
      <w:r>
        <w:rPr>
          <w:rFonts w:ascii="Times New Roman" w:cs="Times New Roman" w:eastAsia="Times New Roman" w:hAnsi="Times New Roman"/>
          <w:sz w:val="20"/>
          <w:szCs w:val="20"/>
          <w:color w:val="1E1E1E"/>
        </w:rPr>
        <w:t>liability for online content;</w:t>
      </w:r>
    </w:p>
    <w:p>
      <w:pPr>
        <w:spacing w:after="0" w:line="120" w:lineRule="exact"/>
        <w:rPr>
          <w:rFonts w:ascii="Arial" w:cs="Arial" w:eastAsia="Arial" w:hAnsi="Arial"/>
          <w:sz w:val="16"/>
          <w:szCs w:val="16"/>
          <w:color w:val="1E1E1E"/>
        </w:rPr>
      </w:pPr>
    </w:p>
    <w:p>
      <w:pPr>
        <w:ind w:left="980" w:hanging="496"/>
        <w:spacing w:after="0"/>
        <w:tabs>
          <w:tab w:leader="none" w:pos="980" w:val="left"/>
        </w:tabs>
        <w:numPr>
          <w:ilvl w:val="0"/>
          <w:numId w:val="15"/>
        </w:numPr>
        <w:rPr>
          <w:rFonts w:ascii="Arial" w:cs="Arial" w:eastAsia="Arial" w:hAnsi="Arial"/>
          <w:sz w:val="16"/>
          <w:szCs w:val="16"/>
          <w:color w:val="1E1E1E"/>
        </w:rPr>
      </w:pPr>
      <w:r>
        <w:rPr>
          <w:rFonts w:ascii="Times New Roman" w:cs="Times New Roman" w:eastAsia="Times New Roman" w:hAnsi="Times New Roman"/>
          <w:sz w:val="20"/>
          <w:szCs w:val="20"/>
          <w:color w:val="1E1E1E"/>
        </w:rPr>
        <w:t>the need to keep pace with rapid technological change;</w:t>
      </w:r>
    </w:p>
    <w:p>
      <w:pPr>
        <w:spacing w:after="0" w:line="115" w:lineRule="exact"/>
        <w:rPr>
          <w:rFonts w:ascii="Arial" w:cs="Arial" w:eastAsia="Arial" w:hAnsi="Arial"/>
          <w:sz w:val="16"/>
          <w:szCs w:val="16"/>
          <w:color w:val="1E1E1E"/>
        </w:rPr>
      </w:pPr>
    </w:p>
    <w:p>
      <w:pPr>
        <w:ind w:left="980" w:hanging="496"/>
        <w:spacing w:after="0"/>
        <w:tabs>
          <w:tab w:leader="none" w:pos="980" w:val="left"/>
        </w:tabs>
        <w:numPr>
          <w:ilvl w:val="0"/>
          <w:numId w:val="15"/>
        </w:numPr>
        <w:rPr>
          <w:rFonts w:ascii="Arial" w:cs="Arial" w:eastAsia="Arial" w:hAnsi="Arial"/>
          <w:sz w:val="16"/>
          <w:szCs w:val="16"/>
          <w:color w:val="1E1E1E"/>
        </w:rPr>
      </w:pPr>
      <w:r>
        <w:rPr>
          <w:rFonts w:ascii="Times New Roman" w:cs="Times New Roman" w:eastAsia="Times New Roman" w:hAnsi="Times New Roman"/>
          <w:sz w:val="20"/>
          <w:szCs w:val="20"/>
          <w:color w:val="1E1E1E"/>
        </w:rPr>
        <w:t>government regulation of the Internet, including data privacy and taxation; and</w:t>
      </w:r>
    </w:p>
    <w:p>
      <w:pPr>
        <w:spacing w:after="0" w:line="120" w:lineRule="exact"/>
        <w:rPr>
          <w:rFonts w:ascii="Arial" w:cs="Arial" w:eastAsia="Arial" w:hAnsi="Arial"/>
          <w:sz w:val="16"/>
          <w:szCs w:val="16"/>
          <w:color w:val="1E1E1E"/>
        </w:rPr>
      </w:pPr>
    </w:p>
    <w:p>
      <w:pPr>
        <w:ind w:left="980" w:right="20" w:hanging="496"/>
        <w:spacing w:after="0" w:line="261" w:lineRule="auto"/>
        <w:tabs>
          <w:tab w:leader="none" w:pos="980" w:val="left"/>
        </w:tabs>
        <w:numPr>
          <w:ilvl w:val="0"/>
          <w:numId w:val="15"/>
        </w:numPr>
        <w:rPr>
          <w:rFonts w:ascii="Arial" w:cs="Arial" w:eastAsia="Arial" w:hAnsi="Arial"/>
          <w:sz w:val="16"/>
          <w:szCs w:val="16"/>
          <w:color w:val="1E1E1E"/>
        </w:rPr>
      </w:pPr>
      <w:r>
        <w:rPr>
          <w:rFonts w:ascii="Times New Roman" w:cs="Times New Roman" w:eastAsia="Times New Roman" w:hAnsi="Times New Roman"/>
          <w:sz w:val="20"/>
          <w:szCs w:val="20"/>
          <w:color w:val="1E1E1E"/>
        </w:rPr>
        <w:t>threats to the computer systems that operate our website and related support systems, including viruses, malware and other malicious code, misconfiguration, systems failure or inadequacy, compromise or unauthorized access and similar disruptions.</w:t>
      </w:r>
    </w:p>
    <w:p>
      <w:pPr>
        <w:spacing w:after="0" w:line="143" w:lineRule="exact"/>
        <w:rPr>
          <w:sz w:val="20"/>
          <w:szCs w:val="20"/>
          <w:color w:val="auto"/>
        </w:rPr>
      </w:pPr>
    </w:p>
    <w:p>
      <w:pPr>
        <w:ind w:firstLine="490"/>
        <w:spacing w:after="0" w:line="261" w:lineRule="auto"/>
        <w:rPr>
          <w:sz w:val="20"/>
          <w:szCs w:val="20"/>
          <w:color w:val="auto"/>
        </w:rPr>
      </w:pPr>
      <w:r>
        <w:rPr>
          <w:rFonts w:ascii="Times New Roman" w:cs="Times New Roman" w:eastAsia="Times New Roman" w:hAnsi="Times New Roman"/>
          <w:sz w:val="20"/>
          <w:szCs w:val="20"/>
          <w:color w:val="1E1E1E"/>
        </w:rPr>
        <w:t>Our failure to successfully respond to these risks and uncertainties could reduce our e-commerce sales, increase our costs, diminish our growth prospects, and damage our brand and reputation, which could negatively impact our business, financial condition and results of operations.</w:t>
      </w:r>
    </w:p>
    <w:p>
      <w:pPr>
        <w:spacing w:after="0" w:line="139" w:lineRule="exact"/>
        <w:rPr>
          <w:sz w:val="20"/>
          <w:szCs w:val="20"/>
          <w:color w:val="auto"/>
        </w:rPr>
      </w:pPr>
    </w:p>
    <w:p>
      <w:pPr>
        <w:ind w:right="20" w:firstLine="288"/>
        <w:spacing w:after="0" w:line="280" w:lineRule="auto"/>
        <w:rPr>
          <w:sz w:val="20"/>
          <w:szCs w:val="20"/>
          <w:color w:val="auto"/>
        </w:rPr>
      </w:pPr>
      <w:r>
        <w:rPr>
          <w:rFonts w:ascii="Times New Roman" w:cs="Times New Roman" w:eastAsia="Times New Roman" w:hAnsi="Times New Roman"/>
          <w:sz w:val="20"/>
          <w:szCs w:val="20"/>
          <w:b w:val="1"/>
          <w:bCs w:val="1"/>
          <w:i w:val="1"/>
          <w:iCs w:val="1"/>
          <w:color w:val="1E1E1E"/>
        </w:rPr>
        <w:t>Increases in the price of raw materials, fuel and labor, or their reduced availability, could increase our cost of goods and cause delays.</w:t>
      </w:r>
    </w:p>
    <w:p>
      <w:pPr>
        <w:spacing w:after="0" w:line="124"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1E1E1E"/>
        </w:rPr>
        <w:t>The price and availability of raw materials may fluctuate substantially, depending on a variety of factors, including demand, acreage devoted to cotton crops and crop yields, weather patterns, supply conditions, transportation costs, energy prices, work stoppages, government regulation and government policy, economic climates, market speculation and other unpredictable factors. Fluctuations in the price and availability of fuel, labor and raw materials, such as cotton, could affect our cost of goods and an inability to mitigate these cost increases, unless sufficiently offset with our pricing actions, might cause a decrease in our profitability, while any related pricing actions might cause a decline in our sales volume. Additionally, any decrease in the availability of raw materials could impair our ability to meet our production or purchasing requirements in a timely manner. Both the increased cost and lower availability of merchandise, raw materials, fuel and labor may have an adverse impact on our cash flow and working capital needs as well as those of our suppliers.</w:t>
      </w:r>
    </w:p>
    <w:p>
      <w:pPr>
        <w:sectPr>
          <w:pgSz w:w="11880" w:h="15480" w:orient="portrait"/>
          <w:cols w:equalWidth="0" w:num="1">
            <w:col w:w="10240"/>
          </w:cols>
          <w:pgMar w:left="820" w:top="879" w:right="820" w:bottom="0" w:gutter="0" w:footer="0" w:header="0"/>
        </w:sect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13</w:t>
      </w:r>
    </w:p>
    <w:p>
      <w:pPr>
        <w:sectPr>
          <w:pgSz w:w="11880" w:h="15480" w:orient="portrait"/>
          <w:cols w:equalWidth="0" w:num="1">
            <w:col w:w="10240"/>
          </w:cols>
          <w:pgMar w:left="820" w:top="879" w:right="820" w:bottom="0" w:gutter="0" w:footer="0" w:header="0"/>
          <w:type w:val="continuous"/>
        </w:sectPr>
      </w:pPr>
    </w:p>
    <w:bookmarkStart w:id="19" w:name="page20"/>
    <w:bookmarkEnd w:id="19"/>
    <w:p>
      <w:pPr>
        <w:ind w:right="60" w:firstLine="490"/>
        <w:spacing w:after="0" w:line="245" w:lineRule="auto"/>
        <w:rPr>
          <w:sz w:val="20"/>
          <w:szCs w:val="20"/>
          <w:color w:val="auto"/>
        </w:rPr>
      </w:pPr>
      <w:r>
        <w:rPr>
          <w:rFonts w:ascii="Times New Roman" w:cs="Times New Roman" w:eastAsia="Times New Roman" w:hAnsi="Times New Roman"/>
          <w:sz w:val="20"/>
          <w:szCs w:val="20"/>
          <w:color w:val="1E1E1E"/>
        </w:rPr>
        <w:t>We rely upon third-party land-based and air freight carriers for merchandise shipments from our fulfillment centers to customers and our retail stores. Accordingly, we are subject to the risks, including labor disputes, union organizing activity, inclement weather and increased transportation costs, associated with such carriers’ ability to provide delivery services to meet outbound shipping needs. In addition, if the cost of fuel rises, the cost to deliver merchandise from fulfillment centers to customers and our retail stores may rise and, although some of these costs are paid by our customers, such costs could have an adverse impact on our profitability. Failure to procure suppliers of products from our third-party suppliers and deliver merchandise to customers and our retail stores in a timely, effective and economically viable manner could damage our reputation and adversely affect our business. In addition, any increase in distribution costs and expenses could adversely affect our future financial performance.</w:t>
      </w:r>
    </w:p>
    <w:p>
      <w:pPr>
        <w:spacing w:after="0" w:line="159" w:lineRule="exact"/>
        <w:rPr>
          <w:sz w:val="20"/>
          <w:szCs w:val="20"/>
          <w:color w:val="auto"/>
        </w:rPr>
      </w:pPr>
    </w:p>
    <w:p>
      <w:pPr>
        <w:ind w:right="240" w:firstLine="288"/>
        <w:spacing w:after="0" w:line="280" w:lineRule="auto"/>
        <w:rPr>
          <w:sz w:val="20"/>
          <w:szCs w:val="20"/>
          <w:color w:val="auto"/>
        </w:rPr>
      </w:pPr>
      <w:r>
        <w:rPr>
          <w:rFonts w:ascii="Times New Roman" w:cs="Times New Roman" w:eastAsia="Times New Roman" w:hAnsi="Times New Roman"/>
          <w:sz w:val="20"/>
          <w:szCs w:val="20"/>
          <w:b w:val="1"/>
          <w:bCs w:val="1"/>
          <w:i w:val="1"/>
          <w:iCs w:val="1"/>
          <w:color w:val="1E1E1E"/>
        </w:rPr>
        <w:t>If our key suppliers or service providers were unable or unwilling to provide the products and services we require, our business could be adversely affected.</w:t>
      </w:r>
    </w:p>
    <w:p>
      <w:pPr>
        <w:spacing w:after="0" w:line="119"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Our products are sourced through third-party purchasing agents and a variety of domestic and international suppliers. If these suppliers are unable or unwilling to provide the products or services that we require or materially increase their costs, our ability to offer and deliver our products on a timely and profitable basis could be impaired, which could have a material adverse effect on our business, financial condition and results of operations. We cannot assure that any or all of our relationships will not be terminated or that such relationships will continue as presently in effect. Furthermore, if any of our significant suppliers were to become subject to bankruptcy, receivership or similar proceedings, customs actions, or other legal actions, we may be unable to arrange for alternate or replacement relationships on terms as favorable as our current terms, which could adversely affect our sales and operating results.</w:t>
      </w:r>
    </w:p>
    <w:p>
      <w:pPr>
        <w:spacing w:after="0" w:line="15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Our growth strategy is influenced by the willingness and ability of our suppliers to efficiently manufacture our products in a manner that is consistent with our standards for quality and value. If we cannot obtain a sufficient amount and variety of quality products at acceptable prices, it could have a negative impact on our competitive position. This could result in lower revenue and decreased customer interest in our product offerings, which, in turn, could adversely affect our business and results of operations. Our arrangements with our suppliers are generally not exclusive. As a result, our suppliers might be able to sell similar or identical products to certain of our competitors, some of which purchase products in significantly greater volume. Our competitors may enter into arrangements with suppliers that could impair our ability to obtain our products from those suppliers, including by requiring suppliers to enter into exclusive arrangements, which could limit our access to such arrangements or products.</w:t>
      </w:r>
    </w:p>
    <w:p>
      <w:pPr>
        <w:spacing w:after="0" w:line="159" w:lineRule="exact"/>
        <w:rPr>
          <w:sz w:val="20"/>
          <w:szCs w:val="20"/>
          <w:color w:val="auto"/>
        </w:rPr>
      </w:pPr>
    </w:p>
    <w:p>
      <w:pPr>
        <w:ind w:right="20" w:firstLine="288"/>
        <w:spacing w:after="0" w:line="280" w:lineRule="auto"/>
        <w:rPr>
          <w:sz w:val="20"/>
          <w:szCs w:val="20"/>
          <w:color w:val="auto"/>
        </w:rPr>
      </w:pPr>
      <w:r>
        <w:rPr>
          <w:rFonts w:ascii="Times New Roman" w:cs="Times New Roman" w:eastAsia="Times New Roman" w:hAnsi="Times New Roman"/>
          <w:sz w:val="20"/>
          <w:szCs w:val="20"/>
          <w:b w:val="1"/>
          <w:bCs w:val="1"/>
          <w:i w:val="1"/>
          <w:iCs w:val="1"/>
          <w:color w:val="1E1E1E"/>
        </w:rPr>
        <w:t>We rely on third parties to provide us with services in connection with certain aspects of our business, and any failure by these third parties to perform their obligations could have an adverse effect on our business and results of operations.</w:t>
      </w:r>
    </w:p>
    <w:p>
      <w:pPr>
        <w:spacing w:after="0" w:line="124"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1E1E1E"/>
        </w:rPr>
        <w:t>We have entered into agreements with third parties for logistics services, information technology systems (including hosting our website), operating our call center during certain hours, software development and support, catalog production, select marketing services, processing gift card activity, distribution and packaging and employee benefits. Services provided by any of our third-party suppliers could be interrupted as a result of many factors, such as acts of nature or contract disputes. Any failure by a third party to provide us with services for which we have contracted on a timely basis or within service level expectations and performance standards could result in a disruption of our business and have an adverse effect on our business and results of operations.</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i w:val="1"/>
          <w:iCs w:val="1"/>
          <w:color w:val="1E1E1E"/>
        </w:rPr>
        <w:t>Inventory shrinkage could have a material adverse effect on our business, financial condition and results of operations.</w:t>
      </w:r>
    </w:p>
    <w:p>
      <w:pPr>
        <w:spacing w:after="0" w:line="196" w:lineRule="exact"/>
        <w:rPr>
          <w:sz w:val="20"/>
          <w:szCs w:val="20"/>
          <w:color w:val="auto"/>
        </w:rPr>
      </w:pPr>
    </w:p>
    <w:p>
      <w:pPr>
        <w:ind w:right="140" w:firstLine="490"/>
        <w:spacing w:after="0" w:line="248" w:lineRule="auto"/>
        <w:rPr>
          <w:sz w:val="20"/>
          <w:szCs w:val="20"/>
          <w:color w:val="auto"/>
        </w:rPr>
      </w:pPr>
      <w:r>
        <w:rPr>
          <w:rFonts w:ascii="Times New Roman" w:cs="Times New Roman" w:eastAsia="Times New Roman" w:hAnsi="Times New Roman"/>
          <w:sz w:val="20"/>
          <w:szCs w:val="20"/>
          <w:color w:val="1E1E1E"/>
        </w:rPr>
        <w:t>We are subject to the risk of inventory loss and theft. Although our inventory shrinkage rates have not been material, or fluctuated significantly in recent years, we cannot assure you that actual rates of inventory loss and theft in the future will be within our estimates or that the measures we are taking will effectively reduce the problem of inventory shrinkage. Although some level of inventory shrinkage is an unavoidable cost of doing business, if we were to experience higher rates of inventory shrinkage or incur increased security costs to combat inventory theft, it could have a material adverse effect on our business, financial condition and results of operations.</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i w:val="1"/>
          <w:iCs w:val="1"/>
          <w:color w:val="1E1E1E"/>
        </w:rPr>
        <w:t>We are subject to data security and privacy risks that could negatively affect our results, operations or reputation.</w:t>
      </w:r>
    </w:p>
    <w:p>
      <w:pPr>
        <w:spacing w:after="0" w:line="200" w:lineRule="exact"/>
        <w:rPr>
          <w:sz w:val="20"/>
          <w:szCs w:val="20"/>
          <w:color w:val="auto"/>
        </w:rPr>
      </w:pPr>
    </w:p>
    <w:p>
      <w:pPr>
        <w:ind w:firstLine="490"/>
        <w:spacing w:after="0" w:line="261" w:lineRule="auto"/>
        <w:rPr>
          <w:sz w:val="20"/>
          <w:szCs w:val="20"/>
          <w:color w:val="auto"/>
        </w:rPr>
      </w:pPr>
      <w:r>
        <w:rPr>
          <w:rFonts w:ascii="Times New Roman" w:cs="Times New Roman" w:eastAsia="Times New Roman" w:hAnsi="Times New Roman"/>
          <w:sz w:val="19"/>
          <w:szCs w:val="19"/>
          <w:color w:val="1E1E1E"/>
        </w:rPr>
        <w:t>In the normal course of business we often collect, retain and transmit customer personal and credit card information, employee personal information, and other sensitive and confidential information. The protection of customer and employee information, and the Company’s intellectual property, from potential threats is vitally important to the Company. Consumers and employees continue to have significant concerns about the security of personal information, especially when transmitted over the Internet, and the use, retention, disclosure, and privacy of such information. We continually evaluate and upgrade our information systems, security measures, and practices to combat the ever-evolving cyber risks and to comply with our legal and regulatory obligations, and we provide cybersecurity awareness training around phishing, social engineering, and other cyber</w:t>
      </w:r>
    </w:p>
    <w:p>
      <w:pPr>
        <w:sectPr>
          <w:pgSz w:w="11880" w:h="15480" w:orient="portrait"/>
          <w:cols w:equalWidth="0" w:num="1">
            <w:col w:w="10220"/>
          </w:cols>
          <w:pgMar w:left="820" w:top="877" w:right="840" w:bottom="0"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1E1E1E"/>
        </w:rPr>
        <w:t>14</w:t>
      </w:r>
    </w:p>
    <w:p>
      <w:pPr>
        <w:sectPr>
          <w:pgSz w:w="11880" w:h="15480" w:orient="portrait"/>
          <w:cols w:equalWidth="0" w:num="1">
            <w:col w:w="10220"/>
          </w:cols>
          <w:pgMar w:left="820" w:top="877" w:right="840" w:bottom="0" w:gutter="0" w:footer="0" w:header="0"/>
          <w:type w:val="continuous"/>
        </w:sectPr>
      </w:pPr>
    </w:p>
    <w:bookmarkStart w:id="20" w:name="page21"/>
    <w:bookmarkEnd w:id="20"/>
    <w:p>
      <w:pPr>
        <w:ind w:right="60"/>
        <w:spacing w:after="0" w:line="243" w:lineRule="auto"/>
        <w:rPr>
          <w:sz w:val="20"/>
          <w:szCs w:val="20"/>
          <w:color w:val="auto"/>
        </w:rPr>
      </w:pPr>
      <w:r>
        <w:rPr>
          <w:rFonts w:ascii="Times New Roman" w:cs="Times New Roman" w:eastAsia="Times New Roman" w:hAnsi="Times New Roman"/>
          <w:sz w:val="20"/>
          <w:szCs w:val="20"/>
          <w:color w:val="1E1E1E"/>
        </w:rPr>
        <w:t>risks to our employees, in an effort to elevate our cybersecurity posture and give our workforce the skills to both avoid and report cyber threats. Despite our risk management efforts, vendor due diligence, and security measures, our facilities and systems and those of our third-party service providers, are subject to increasingly complex cyber risks, including cyber extortion, data breaches, unauthorized access, denial of service, vendor or employee misconduct, ransomware and other malicious software, and data exfiltration. We and our employees and customers could suffer significant harm if any personal, financial, or credit card information was accessed or disclosed by an unauthorized third party, or our information technology systems or those of our third party providers were compromised or subject to data loss, exfiltration, corruption, or disruption. Any security incident or data breach could severely damage our reputation and our relationships with customers, business partners and employees, cause us to incur significant costs and expenses to investigate, remediate and notify affected individuals, and expose us to an increased risk of litigation, regulatory enforcement, fines and penalties, and other losses and liabilities. In addition, the media and public scrutiny of information security and privacy has become more intense and the regulatory environment has become more complex and uncertain due to recent high-profile privacy and security incidents and legislative efforts across the globe. As a result, we may incur significant costs to comply with laws regarding the use, retention, disclosure, security, and privacy of personal information.</w:t>
      </w:r>
    </w:p>
    <w:p>
      <w:pPr>
        <w:spacing w:after="0" w:line="160" w:lineRule="exact"/>
        <w:rPr>
          <w:sz w:val="20"/>
          <w:szCs w:val="20"/>
          <w:color w:val="auto"/>
        </w:rPr>
      </w:pPr>
    </w:p>
    <w:p>
      <w:pPr>
        <w:ind w:firstLine="288"/>
        <w:spacing w:after="0" w:line="280" w:lineRule="auto"/>
        <w:rPr>
          <w:sz w:val="20"/>
          <w:szCs w:val="20"/>
          <w:color w:val="auto"/>
        </w:rPr>
      </w:pPr>
      <w:r>
        <w:rPr>
          <w:rFonts w:ascii="Times New Roman" w:cs="Times New Roman" w:eastAsia="Times New Roman" w:hAnsi="Times New Roman"/>
          <w:sz w:val="20"/>
          <w:szCs w:val="20"/>
          <w:b w:val="1"/>
          <w:bCs w:val="1"/>
          <w:i w:val="1"/>
          <w:iCs w:val="1"/>
          <w:color w:val="1E1E1E"/>
        </w:rPr>
        <w:t>We rely significantly on information technology, and any inadequacy, interruption, integration failure or security failure of this technology could harm our ability to effectively operate our business.</w:t>
      </w:r>
    </w:p>
    <w:p>
      <w:pPr>
        <w:spacing w:after="0" w:line="124" w:lineRule="exact"/>
        <w:rPr>
          <w:sz w:val="20"/>
          <w:szCs w:val="20"/>
          <w:color w:val="auto"/>
        </w:rPr>
      </w:pPr>
    </w:p>
    <w:p>
      <w:pPr>
        <w:ind w:firstLine="491"/>
        <w:spacing w:after="0" w:line="244" w:lineRule="auto"/>
        <w:rPr>
          <w:sz w:val="20"/>
          <w:szCs w:val="20"/>
          <w:color w:val="auto"/>
        </w:rPr>
      </w:pPr>
      <w:r>
        <w:rPr>
          <w:rFonts w:ascii="Times New Roman" w:cs="Times New Roman" w:eastAsia="Times New Roman" w:hAnsi="Times New Roman"/>
          <w:sz w:val="20"/>
          <w:szCs w:val="20"/>
          <w:color w:val="1E1E1E"/>
        </w:rPr>
        <w:t>Our ability to effectively manage and operate our business depends significantly on information technology systems. We rely heavily on information technology to track sales and inventory and manage our supply chain. We are also dependent on information technology, including the Internet, for our direct-to-consumer sales, including our e-commerce and catalog operations and retail business credit card transaction authorization. Despite our preventative efforts, our systems and those of our third-party service providers may be vulnerable to damage or interruption. The failure of these systems to operate effectively, problems with transitioning to upgraded or replacement systems, difficulty in integrating new systems or systems of acquired businesses or a breach of security of these systems has and could adversely impact the operations of our business, including disruption of our ability to accept and fulfill customer orders, effective management of inventory, inefficient ordering and replenishment of products, e-commerce operations, retail business credit card transaction authorization and processing, corporate email communications and our interaction with the public on social media.</w:t>
      </w:r>
    </w:p>
    <w:p>
      <w:pPr>
        <w:spacing w:after="0" w:line="165" w:lineRule="exact"/>
        <w:rPr>
          <w:sz w:val="20"/>
          <w:szCs w:val="20"/>
          <w:color w:val="auto"/>
        </w:rPr>
      </w:pPr>
    </w:p>
    <w:p>
      <w:pPr>
        <w:ind w:right="200" w:firstLine="288"/>
        <w:spacing w:after="0" w:line="280" w:lineRule="auto"/>
        <w:rPr>
          <w:sz w:val="20"/>
          <w:szCs w:val="20"/>
          <w:color w:val="auto"/>
        </w:rPr>
      </w:pPr>
      <w:r>
        <w:rPr>
          <w:rFonts w:ascii="Times New Roman" w:cs="Times New Roman" w:eastAsia="Times New Roman" w:hAnsi="Times New Roman"/>
          <w:sz w:val="20"/>
          <w:szCs w:val="20"/>
          <w:b w:val="1"/>
          <w:bCs w:val="1"/>
          <w:i w:val="1"/>
          <w:iCs w:val="1"/>
          <w:color w:val="1E1E1E"/>
        </w:rPr>
        <w:t>Our failure to retain our executive management team and to attract qualified new personnel could adversely affect our business and results of operations.</w:t>
      </w:r>
    </w:p>
    <w:p>
      <w:pPr>
        <w:spacing w:after="0" w:line="119" w:lineRule="exact"/>
        <w:rPr>
          <w:sz w:val="20"/>
          <w:szCs w:val="20"/>
          <w:color w:val="auto"/>
        </w:rPr>
      </w:pPr>
    </w:p>
    <w:p>
      <w:pPr>
        <w:ind w:firstLine="490"/>
        <w:spacing w:after="0" w:line="262" w:lineRule="auto"/>
        <w:rPr>
          <w:sz w:val="20"/>
          <w:szCs w:val="20"/>
          <w:color w:val="auto"/>
        </w:rPr>
      </w:pPr>
      <w:r>
        <w:rPr>
          <w:rFonts w:ascii="Times New Roman" w:cs="Times New Roman" w:eastAsia="Times New Roman" w:hAnsi="Times New Roman"/>
          <w:sz w:val="19"/>
          <w:szCs w:val="19"/>
          <w:color w:val="1E1E1E"/>
        </w:rPr>
        <w:t>We depend on the talents and continued efforts of our executive management team. The loss of members of our executive management may disrupt our business and adversely affect our results of operations. Furthermore, our ability to manage further expansion will require us to continue to attract, motivate and retain additional qualified personnel. We believe that having an executive management team with qualified personnel who are passionate about our brand, have extensive industry experience and have a strong customer service ethic has been an important factor in our historical success, and we believe that it will continue to be important to growing our business. Competition for these types of personnel is intense, and we may not be successful in attracting, integrating and retaining the personnel required to grow and operate our business profitably.</w:t>
      </w:r>
    </w:p>
    <w:p>
      <w:pPr>
        <w:spacing w:after="0" w:line="142" w:lineRule="exact"/>
        <w:rPr>
          <w:sz w:val="20"/>
          <w:szCs w:val="20"/>
          <w:color w:val="auto"/>
        </w:rPr>
      </w:pPr>
    </w:p>
    <w:p>
      <w:pPr>
        <w:ind w:right="900" w:firstLine="288"/>
        <w:spacing w:after="0" w:line="307" w:lineRule="auto"/>
        <w:rPr>
          <w:sz w:val="20"/>
          <w:szCs w:val="20"/>
          <w:color w:val="auto"/>
        </w:rPr>
      </w:pPr>
      <w:r>
        <w:rPr>
          <w:rFonts w:ascii="Times New Roman" w:cs="Times New Roman" w:eastAsia="Times New Roman" w:hAnsi="Times New Roman"/>
          <w:sz w:val="19"/>
          <w:szCs w:val="19"/>
          <w:b w:val="1"/>
          <w:bCs w:val="1"/>
          <w:i w:val="1"/>
          <w:iCs w:val="1"/>
          <w:color w:val="1E1E1E"/>
        </w:rPr>
        <w:t>An inability to attract and retain qualified employees to meet our staffing needs in our corporate office, stores, fulfillment centers or call center could result in higher payroll costs and adversely affect our operating results.</w:t>
      </w:r>
    </w:p>
    <w:p>
      <w:pPr>
        <w:spacing w:after="0" w:line="102"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Our performance is dependent on attracting and retaining a large number of qualified employees. Many of our strategic initiatives require that we hire and/or develop associates with appropriate experience. Attracting and retaining a sufficient number of qualified employees to meet our staffing needs may be difficult, because the competition for these types of personnel is intense. Many of our staffing needs in our stores, fulfillment centers and call center are entry-level or part-time positions with historically high rates of turnover. If we cannot attract and retain employees with the qualifications we deem necessary to meet our staffing needs in our corporate office, stores, fulfillment centers and call center, our ability to effectively operate may be adversely affected. In addition, our staffing needs are especially high during the peak holiday season. We cannot be sure that we will be able to attract and retain a sufficient number of qualified personnel in future periods.</w:t>
      </w:r>
    </w:p>
    <w:p>
      <w:pPr>
        <w:spacing w:after="0" w:line="164" w:lineRule="exact"/>
        <w:rPr>
          <w:sz w:val="20"/>
          <w:szCs w:val="20"/>
          <w:color w:val="auto"/>
        </w:rPr>
      </w:pPr>
    </w:p>
    <w:p>
      <w:pPr>
        <w:ind w:right="240" w:firstLine="288"/>
        <w:spacing w:after="0" w:line="280" w:lineRule="auto"/>
        <w:rPr>
          <w:sz w:val="20"/>
          <w:szCs w:val="20"/>
          <w:color w:val="auto"/>
        </w:rPr>
      </w:pPr>
      <w:r>
        <w:rPr>
          <w:rFonts w:ascii="Times New Roman" w:cs="Times New Roman" w:eastAsia="Times New Roman" w:hAnsi="Times New Roman"/>
          <w:sz w:val="20"/>
          <w:szCs w:val="20"/>
          <w:b w:val="1"/>
          <w:bCs w:val="1"/>
          <w:i w:val="1"/>
          <w:iCs w:val="1"/>
          <w:color w:val="1E1E1E"/>
        </w:rPr>
        <w:t>Our business is seasonal, and if we do not efficiently manage inventory levels and allocation, our results of operations could be adversely affected.</w:t>
      </w:r>
    </w:p>
    <w:p>
      <w:pPr>
        <w:spacing w:after="0" w:line="119" w:lineRule="exact"/>
        <w:rPr>
          <w:sz w:val="20"/>
          <w:szCs w:val="20"/>
          <w:color w:val="auto"/>
        </w:rPr>
      </w:pPr>
    </w:p>
    <w:p>
      <w:pPr>
        <w:ind w:right="140" w:firstLine="490"/>
        <w:spacing w:after="0" w:line="281" w:lineRule="auto"/>
        <w:rPr>
          <w:sz w:val="20"/>
          <w:szCs w:val="20"/>
          <w:color w:val="auto"/>
        </w:rPr>
      </w:pPr>
      <w:r>
        <w:rPr>
          <w:rFonts w:ascii="Times New Roman" w:cs="Times New Roman" w:eastAsia="Times New Roman" w:hAnsi="Times New Roman"/>
          <w:sz w:val="20"/>
          <w:szCs w:val="20"/>
          <w:color w:val="1E1E1E"/>
        </w:rPr>
        <w:t>Our business is subject to seasonal influences, with increased net sales and net income realized during the fourth quarter of our fiscal year, which includes the holiday season.</w:t>
      </w:r>
    </w:p>
    <w:p>
      <w:pPr>
        <w:spacing w:after="0" w:line="142" w:lineRule="exact"/>
        <w:rPr>
          <w:sz w:val="20"/>
          <w:szCs w:val="20"/>
          <w:color w:val="auto"/>
        </w:rPr>
      </w:pPr>
    </w:p>
    <w:p>
      <w:pPr>
        <w:jc w:val="both"/>
        <w:ind w:right="440" w:firstLine="490"/>
        <w:spacing w:after="0" w:line="261" w:lineRule="auto"/>
        <w:rPr>
          <w:sz w:val="20"/>
          <w:szCs w:val="20"/>
          <w:color w:val="auto"/>
        </w:rPr>
      </w:pPr>
      <w:r>
        <w:rPr>
          <w:rFonts w:ascii="Times New Roman" w:cs="Times New Roman" w:eastAsia="Times New Roman" w:hAnsi="Times New Roman"/>
          <w:sz w:val="20"/>
          <w:szCs w:val="20"/>
          <w:color w:val="1E1E1E"/>
        </w:rPr>
        <w:t>We must maintain sufficient inventory levels and properly allocate inventory throughout our distribution network to operate our business successfully, but we must also avoid accumulating excess inventory, which increases working capital needs and potentially lowers gross margins. We obtain substantially all of our inventory from suppliers located outside the</w:t>
      </w:r>
    </w:p>
    <w:p>
      <w:pPr>
        <w:sectPr>
          <w:pgSz w:w="11880" w:h="15480" w:orient="portrait"/>
          <w:cols w:equalWidth="0" w:num="1">
            <w:col w:w="10240"/>
          </w:cols>
          <w:pgMar w:left="820" w:top="877" w:right="820" w:bottom="0" w:gutter="0" w:footer="0" w:header="0"/>
        </w:sectPr>
      </w:pP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15</w:t>
      </w:r>
    </w:p>
    <w:p>
      <w:pPr>
        <w:sectPr>
          <w:pgSz w:w="11880" w:h="15480" w:orient="portrait"/>
          <w:cols w:equalWidth="0" w:num="1">
            <w:col w:w="10240"/>
          </w:cols>
          <w:pgMar w:left="820" w:top="877" w:right="820" w:bottom="0" w:gutter="0" w:footer="0" w:header="0"/>
          <w:type w:val="continuous"/>
        </w:sectPr>
      </w:pPr>
    </w:p>
    <w:bookmarkStart w:id="21" w:name="page22"/>
    <w:bookmarkEnd w:id="21"/>
    <w:p>
      <w:pPr>
        <w:spacing w:after="0" w:line="247" w:lineRule="auto"/>
        <w:rPr>
          <w:sz w:val="20"/>
          <w:szCs w:val="20"/>
          <w:color w:val="auto"/>
        </w:rPr>
      </w:pPr>
      <w:r>
        <w:rPr>
          <w:rFonts w:ascii="Times New Roman" w:cs="Times New Roman" w:eastAsia="Times New Roman" w:hAnsi="Times New Roman"/>
          <w:sz w:val="20"/>
          <w:szCs w:val="20"/>
          <w:color w:val="1E1E1E"/>
        </w:rPr>
        <w:t>United States. Some of these suppliers often require lengthy advance notice of order requirements in order to be able to manufacture and supply products in the quantities requested. This usually requires us to order our products, and enter into commitments for the purchase of our products, well in advance of the time these products will be offered for sale. As a result, it may be difficult to respond to changes in customer demand. If we do not accurately anticipate the future demand for a particular product or the time it will take to obtain new inventory, inventory levels will not be appropriate and our results of operations could be adversely affected.</w:t>
      </w:r>
    </w:p>
    <w:p>
      <w:pPr>
        <w:spacing w:after="0" w:line="159"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1E1E1E"/>
        </w:rPr>
        <w:t>We expect a disproportionate amount of our net sales to occur during our fourth quarter. If we do not stock or restock popular products in amounts sufficient to meet customer demand, it could significantly affect our revenue and our future growth. If we overstock products, we may be required to take significant inventory markdowns or write-offs and incur commitment costs, as well as incur costs related to a pack-and-hold approach for inventory, which could reduce profitability. We may experience an increase in our net shipping cost due to complimentary upgrades, split-shipments and additional long-zone shipments necessary to ensure timely delivery for the holiday season. Furthermore, if too many customers access our website within a short period of time due to increased holiday demand, we may experience system interruptions that could make our website unavailable or prevent us from efficiently fulfilling orders, which may reduce the volume of products we sell as well as the attractiveness of our product offerings. In addition, we or our third-party service providers may be unable to adequately staff our fulfillment and customer service centers during these peak periods, and our delivery service providers and other fulfillment companies may be unable to meet the peak seasonal demand. For example, during the holiday season in 2024, there were challenges in inventory planning resulting in delays in processing at a legacy fulfillment center.</w:t>
      </w:r>
    </w:p>
    <w:p>
      <w:pPr>
        <w:spacing w:after="0" w:line="168" w:lineRule="exact"/>
        <w:rPr>
          <w:sz w:val="20"/>
          <w:szCs w:val="20"/>
          <w:color w:val="auto"/>
        </w:rPr>
      </w:pPr>
    </w:p>
    <w:p>
      <w:pPr>
        <w:ind w:right="280" w:firstLine="490"/>
        <w:spacing w:after="0" w:line="249" w:lineRule="auto"/>
        <w:rPr>
          <w:sz w:val="20"/>
          <w:szCs w:val="20"/>
          <w:color w:val="auto"/>
        </w:rPr>
      </w:pPr>
      <w:r>
        <w:rPr>
          <w:rFonts w:ascii="Times New Roman" w:cs="Times New Roman" w:eastAsia="Times New Roman" w:hAnsi="Times New Roman"/>
          <w:sz w:val="20"/>
          <w:szCs w:val="20"/>
          <w:color w:val="1E1E1E"/>
        </w:rPr>
        <w:t>As a result of holiday sales, inventories, accounts payable and borrowings under our revolving line of credit typically reach their highest levels in October or November of each year (other than as a result of cash flow provided by or used in investing and financing activities). Inventories, accounts payable and borrowings under our revolving line of credit then typically decline steadily during the holiday season, resulting in our cash typically reaching its highest level, and borrowings under our revolving line of credit reaching their lowest level, typically near December 31 of each year.</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Financial Risks</w:t>
      </w:r>
    </w:p>
    <w:p>
      <w:pPr>
        <w:spacing w:after="0" w:line="207" w:lineRule="exact"/>
        <w:rPr>
          <w:sz w:val="20"/>
          <w:szCs w:val="20"/>
          <w:color w:val="auto"/>
        </w:rPr>
      </w:pPr>
    </w:p>
    <w:p>
      <w:pPr>
        <w:ind w:right="340" w:firstLine="288"/>
        <w:spacing w:after="0" w:line="260" w:lineRule="auto"/>
        <w:rPr>
          <w:sz w:val="20"/>
          <w:szCs w:val="20"/>
          <w:color w:val="auto"/>
        </w:rPr>
      </w:pPr>
      <w:r>
        <w:rPr>
          <w:rFonts w:ascii="Times New Roman" w:cs="Times New Roman" w:eastAsia="Times New Roman" w:hAnsi="Times New Roman"/>
          <w:sz w:val="20"/>
          <w:szCs w:val="20"/>
          <w:b w:val="1"/>
          <w:bCs w:val="1"/>
          <w:i w:val="1"/>
          <w:iCs w:val="1"/>
          <w:color w:val="1E1E1E"/>
        </w:rPr>
        <w:t>Our net sales and profits depend on the level of consumer spending for apparel, footwear and accessories, which is sensitive to general economic conditions and other factors. An economic recession or a decline in consumer spending or consumer sensitivity to pricing could have a material adverse effect on our business and results of operations.</w:t>
      </w:r>
    </w:p>
    <w:p>
      <w:pPr>
        <w:spacing w:after="0" w:line="139"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1E1E1E"/>
        </w:rPr>
        <w:t>The apparel, footwear and accessories industry has historically been subject to cyclical variations and is particularly affected by adverse trends in the general economy. The success of our business depends on consumer spending. There are a number of factors that influence consumer spending, including actual and perceived economic conditions, disposable consumer income, interest rates, inflation, consumer credit availability, unemployment, stock market performance, extreme weather conditions, energy prices and tax rates in the national, regional and local markets where we sell our products. A decline in actual or perceived economic conditions or other factors could negatively impact the level of consumer spending and have a material adverse impact on our business and results of operations.</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i w:val="1"/>
          <w:iCs w:val="1"/>
          <w:color w:val="1E1E1E"/>
        </w:rPr>
        <w:t>We are subject to payment-related risks.</w:t>
      </w:r>
    </w:p>
    <w:p>
      <w:pPr>
        <w:spacing w:after="0" w:line="196"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1E1E1E"/>
        </w:rPr>
        <w:t>We accept payments using a variety of methods, including credit cards, debit cards, Paypal, gift cards and physical bank checks. For existing and future payment methods we offer to our customers, we may become subject to additional regulations and compliance requirements (including obligations to implement enhanced authentication processes that could result in increased costs and reduce the ease of use of certain payment methods), as well as fraud. For certain payment methods, including credit and debit cards, we pay interchange and other fees, which may increase over time, raising our operating costs and lowering profitability. We rely on third-party service providers for payment processing services, including the processing of credit and debit cards. In each case, it could disrupt our business if these third-party service providers suffer a data breach, or become unwilling or unable to provide these services to us. We are also subject to payment card association operating rules, including data privacy and security rules, certification requirements and rules governing electronic funds transfers, which could change or be reinterpreted to make it difficult or impossible for us to comply. If we fail to comply with these rules or requirements, or if our systems containing payment information are breached or compromised, we may be liable for card issuing banks’ costs, subject to fines and higher transaction fees and/or lose our ability to accept credit and debit card payments from our customers and process electronic funds transfers or facilitate other types of payments, and our business and operating results could be adversely affected.</w:t>
      </w:r>
    </w:p>
    <w:p>
      <w:pPr>
        <w:sectPr>
          <w:pgSz w:w="11880" w:h="15480" w:orient="portrait"/>
          <w:cols w:equalWidth="0" w:num="1">
            <w:col w:w="10240"/>
          </w:cols>
          <w:pgMar w:left="820" w:top="877"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16</w:t>
      </w:r>
    </w:p>
    <w:p>
      <w:pPr>
        <w:sectPr>
          <w:pgSz w:w="11880" w:h="15480" w:orient="portrait"/>
          <w:cols w:equalWidth="0" w:num="1">
            <w:col w:w="10240"/>
          </w:cols>
          <w:pgMar w:left="820" w:top="877" w:right="820" w:bottom="0" w:gutter="0" w:footer="0" w:header="0"/>
          <w:type w:val="continuous"/>
        </w:sectPr>
      </w:pPr>
    </w:p>
    <w:bookmarkStart w:id="22" w:name="page23"/>
    <w:bookmarkEnd w:id="22"/>
    <w:p>
      <w:pPr>
        <w:ind w:left="280"/>
        <w:spacing w:after="0"/>
        <w:rPr>
          <w:sz w:val="20"/>
          <w:szCs w:val="20"/>
          <w:color w:val="auto"/>
        </w:rPr>
      </w:pPr>
      <w:r>
        <w:rPr>
          <w:rFonts w:ascii="Times New Roman" w:cs="Times New Roman" w:eastAsia="Times New Roman" w:hAnsi="Times New Roman"/>
          <w:sz w:val="20"/>
          <w:szCs w:val="20"/>
          <w:b w:val="1"/>
          <w:bCs w:val="1"/>
          <w:i w:val="1"/>
          <w:iCs w:val="1"/>
          <w:color w:val="1E1E1E"/>
        </w:rPr>
        <w:t>We depend on cash generated from our operations to support our growth, which could strain our growth.</w:t>
      </w:r>
    </w:p>
    <w:p>
      <w:pPr>
        <w:spacing w:after="0" w:line="196"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1E1E1E"/>
        </w:rPr>
        <w:t>We primarily rely on cash flow generated from our direct-to-consumer and retail store sales and borrowings under our credit facility to fund our current operations and our growth initiatives. As we expand our business, we will need significant amounts of cash to pay our existing and future lease obligations, purchase inventory, pay personnel and invest in our infrastructure and facilities. If our business does not generate sufficient cash flow from operations to fund these activities and sufficient funds are not otherwise available from our existing revolving credit facility or future credit facilities, we may need additional equity or debt financing. If such financing is not available to us on satisfactory terms, our ability to operate and expand our business or to respond to competitive pressures would be limited and we could be required to delay, curtail or eliminate planned investments and other activities. Moreover, if we raise additional capital by issuing equity securities or securities convertible into equity securities, your ownership may be diluted. Any debt financing we may incur may impose on us covenants that restrict our operations and will require interest payments that would create additional cash demands and financial risk for us.</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i w:val="1"/>
          <w:iCs w:val="1"/>
          <w:color w:val="1E1E1E"/>
        </w:rPr>
        <w:t>We may be unable to accurately forecast our operating results.</w:t>
      </w:r>
    </w:p>
    <w:p>
      <w:pPr>
        <w:spacing w:after="0" w:line="20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E1E1E"/>
        </w:rPr>
        <w:t>We may not be able to accurately forecast our operating results. We use a variety of factors in our forecasting and planning processes, including historical results, recent history and assessments of economic and market conditions, among other things. The changes in net sales and profitability that we forecast may not be achieved. Our sales and profitability depends on the growth of demand for the products we offer at the prices we offer, and our business is affected by general economic and business conditions. A softening of demand, whether caused by changes in customer preferences or a weakening of the economy or other factors, may result in decreased net sales. In addition, we experience seasonal trends in our business, and this variability may make it difficult to predict net sales and could result in significant fluctuations in our operating results from period to period. Furthermore, most of our expenses and investments are fixed, and we may not be able to adjust our spending in a timely manner to compensate for any unexpected shortfall in our net sales results. Failure to accurately forecast our operating results could cause investors’ perceptions of our business to be adversely affected, and the market price of our Class B common stock could decline.</w:t>
      </w:r>
    </w:p>
    <w:p>
      <w:pPr>
        <w:spacing w:after="0" w:line="156" w:lineRule="exact"/>
        <w:rPr>
          <w:sz w:val="20"/>
          <w:szCs w:val="20"/>
          <w:color w:val="auto"/>
        </w:rPr>
      </w:pPr>
    </w:p>
    <w:p>
      <w:pPr>
        <w:ind w:right="400" w:firstLine="288"/>
        <w:spacing w:after="0" w:line="280" w:lineRule="auto"/>
        <w:rPr>
          <w:sz w:val="20"/>
          <w:szCs w:val="20"/>
          <w:color w:val="auto"/>
        </w:rPr>
      </w:pPr>
      <w:r>
        <w:rPr>
          <w:rFonts w:ascii="Times New Roman" w:cs="Times New Roman" w:eastAsia="Times New Roman" w:hAnsi="Times New Roman"/>
          <w:sz w:val="20"/>
          <w:szCs w:val="20"/>
          <w:b w:val="1"/>
          <w:bCs w:val="1"/>
          <w:i w:val="1"/>
          <w:iCs w:val="1"/>
          <w:color w:val="1E1E1E"/>
        </w:rPr>
        <w:t>Our failure to comply with restrictive covenants under our revolving credit facility and other debt instruments could trigger prepayment obligations.</w:t>
      </w:r>
    </w:p>
    <w:p>
      <w:pPr>
        <w:spacing w:after="0" w:line="124" w:lineRule="exact"/>
        <w:rPr>
          <w:sz w:val="20"/>
          <w:szCs w:val="20"/>
          <w:color w:val="auto"/>
        </w:rPr>
      </w:pPr>
    </w:p>
    <w:p>
      <w:pPr>
        <w:jc w:val="both"/>
        <w:ind w:right="140" w:firstLine="490"/>
        <w:spacing w:after="0" w:line="254" w:lineRule="auto"/>
        <w:rPr>
          <w:sz w:val="20"/>
          <w:szCs w:val="20"/>
          <w:color w:val="auto"/>
        </w:rPr>
      </w:pPr>
      <w:r>
        <w:rPr>
          <w:rFonts w:ascii="Times New Roman" w:cs="Times New Roman" w:eastAsia="Times New Roman" w:hAnsi="Times New Roman"/>
          <w:sz w:val="20"/>
          <w:szCs w:val="20"/>
          <w:color w:val="1E1E1E"/>
        </w:rPr>
        <w:t>Our failure to comply with the restrictive covenants under our revolving credit facility and other debt instruments could result in an event of default, which, if not cured or waived, could result in us being required to repay these borrowings before their due date with penalties. If we are forced to refinance these borrowings on less favorable terms, our results of operations and financial condition could be adversely affected by increased costs and rates.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Legal, Tax, Compliance, Reputation and Other Risks</w:t>
      </w:r>
    </w:p>
    <w:p>
      <w:pPr>
        <w:spacing w:after="0" w:line="207" w:lineRule="exact"/>
        <w:rPr>
          <w:sz w:val="20"/>
          <w:szCs w:val="20"/>
          <w:color w:val="auto"/>
        </w:rPr>
      </w:pPr>
    </w:p>
    <w:p>
      <w:pPr>
        <w:ind w:right="240" w:firstLine="288"/>
        <w:spacing w:after="0" w:line="280" w:lineRule="auto"/>
        <w:rPr>
          <w:sz w:val="20"/>
          <w:szCs w:val="20"/>
          <w:color w:val="auto"/>
        </w:rPr>
      </w:pPr>
      <w:r>
        <w:rPr>
          <w:rFonts w:ascii="Times New Roman" w:cs="Times New Roman" w:eastAsia="Times New Roman" w:hAnsi="Times New Roman"/>
          <w:sz w:val="20"/>
          <w:szCs w:val="20"/>
          <w:b w:val="1"/>
          <w:bCs w:val="1"/>
          <w:i w:val="1"/>
          <w:iCs w:val="1"/>
          <w:color w:val="1E1E1E"/>
        </w:rPr>
        <w:t>We may be subject to increased labor costs due to external factors, including changes in laws and regulations, and we may be subject to unionization, work stoppages or slowdowns.</w:t>
      </w:r>
    </w:p>
    <w:p>
      <w:pPr>
        <w:spacing w:after="0" w:line="119" w:lineRule="exact"/>
        <w:rPr>
          <w:sz w:val="20"/>
          <w:szCs w:val="20"/>
          <w:color w:val="auto"/>
        </w:rPr>
      </w:pPr>
    </w:p>
    <w:p>
      <w:pPr>
        <w:ind w:firstLine="288"/>
        <w:spacing w:after="0" w:line="246" w:lineRule="auto"/>
        <w:rPr>
          <w:sz w:val="20"/>
          <w:szCs w:val="20"/>
          <w:color w:val="auto"/>
        </w:rPr>
      </w:pPr>
      <w:r>
        <w:rPr>
          <w:rFonts w:ascii="Times New Roman" w:cs="Times New Roman" w:eastAsia="Times New Roman" w:hAnsi="Times New Roman"/>
          <w:sz w:val="20"/>
          <w:szCs w:val="20"/>
          <w:color w:val="1E1E1E"/>
        </w:rPr>
        <w:t>Our ability to meet our labor needs while controlling costs is subject to external factors such as unemployment levels, prevailing wage rates, minimum wage legislation, actions by our competitors with respect to compensation levels and changing demographics. Currently none of our employees are represented by a union, but our employees have the right to be under the National Labor Relations Act. Changes that adversely impact our ability to meet our labor needs in a cost-effective manner could adversely affect our operating results. In addition, the employer mandate provisions of the Patient Protection and Affordable Health Care Act (the “PPACA”), changes in regulations under the PPACA, changes in federal and state minimum wage laws and other laws and regulations relating to employee benefits could cause us to incur additional wage and benefit costs, which could negatively impact our business, financial condition and results of operations.</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i w:val="1"/>
          <w:iCs w:val="1"/>
          <w:color w:val="1E1E1E"/>
        </w:rPr>
        <w:t>Unseasonal or severe weather conditions may adversely affect our merchandise sales.</w:t>
      </w:r>
    </w:p>
    <w:p>
      <w:pPr>
        <w:spacing w:after="0" w:line="200"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1E1E1E"/>
        </w:rPr>
        <w:t>Our business is adversely affected by unseasonal weather conditions. Sales of certain seasonal apparel items, especially outerwear, are dependent in part on the weather and may decline in years in which weather conditions do not favor the use of these products. Sales of our spring and summer products, which traditionally consist of lighter weight clothing, are adversely affected by cool or wet weather. Similarly, sales of our fall and winter products, which are traditionally weighted toward outerwear, are adversely affected by mild, dry or warm weather. Severe weather events may impact our ability to supply our retail stores, deliver orders to customers on schedule and staff our retail stores, fulfillment centers and call center, which could have an adverse effect on our business and results of operations.</w:t>
      </w:r>
    </w:p>
    <w:p>
      <w:pPr>
        <w:sectPr>
          <w:pgSz w:w="11880" w:h="15480" w:orient="portrait"/>
          <w:cols w:equalWidth="0" w:num="1">
            <w:col w:w="10200"/>
          </w:cols>
          <w:pgMar w:left="820" w:top="87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1E1E1E"/>
        </w:rPr>
        <w:t>17</w:t>
      </w:r>
    </w:p>
    <w:p>
      <w:pPr>
        <w:sectPr>
          <w:pgSz w:w="11880" w:h="15480" w:orient="portrait"/>
          <w:cols w:equalWidth="0" w:num="1">
            <w:col w:w="10200"/>
          </w:cols>
          <w:pgMar w:left="820" w:top="879" w:right="860" w:bottom="0" w:gutter="0" w:footer="0" w:header="0"/>
          <w:type w:val="continuous"/>
        </w:sectPr>
      </w:pPr>
    </w:p>
    <w:bookmarkStart w:id="23" w:name="page24"/>
    <w:bookmarkEnd w:id="23"/>
    <w:p>
      <w:pPr>
        <w:ind w:left="280"/>
        <w:spacing w:after="0"/>
        <w:rPr>
          <w:sz w:val="20"/>
          <w:szCs w:val="20"/>
          <w:color w:val="auto"/>
        </w:rPr>
      </w:pPr>
      <w:r>
        <w:rPr>
          <w:rFonts w:ascii="Times New Roman" w:cs="Times New Roman" w:eastAsia="Times New Roman" w:hAnsi="Times New Roman"/>
          <w:sz w:val="20"/>
          <w:szCs w:val="20"/>
          <w:b w:val="1"/>
          <w:bCs w:val="1"/>
          <w:i w:val="1"/>
          <w:iCs w:val="1"/>
          <w:color w:val="1E1E1E"/>
        </w:rPr>
        <w:t>Our product designs are not protected by substantial intellectual property rights.</w:t>
      </w:r>
    </w:p>
    <w:p>
      <w:pPr>
        <w:spacing w:after="0" w:line="196" w:lineRule="exact"/>
        <w:rPr>
          <w:sz w:val="20"/>
          <w:szCs w:val="20"/>
          <w:color w:val="auto"/>
        </w:rPr>
      </w:pPr>
    </w:p>
    <w:p>
      <w:pPr>
        <w:ind w:right="200" w:firstLine="490"/>
        <w:spacing w:after="0" w:line="248" w:lineRule="auto"/>
        <w:rPr>
          <w:sz w:val="20"/>
          <w:szCs w:val="20"/>
          <w:color w:val="auto"/>
        </w:rPr>
      </w:pPr>
      <w:r>
        <w:rPr>
          <w:rFonts w:ascii="Times New Roman" w:cs="Times New Roman" w:eastAsia="Times New Roman" w:hAnsi="Times New Roman"/>
          <w:sz w:val="20"/>
          <w:szCs w:val="20"/>
          <w:color w:val="1E1E1E"/>
        </w:rPr>
        <w:t>Due to the rapid pace of change in the apparel, footwear and accessories industry, the length of time it takes to obtain patents and the expense and uncertainty of obtaining patent protection, we have not taken steps to obtain patent protection for many of our innovative product designs. Competitors have attempted to copy our product designs in the past, and we expect that if we are able to raise our national profile, our products may be subject to greater imitation by existing and new competitors. If we are not able to continue rapid innovation of new products and product features, our brand may be harmed and our results of operations may be materially adversely affected.</w:t>
      </w:r>
    </w:p>
    <w:p>
      <w:pPr>
        <w:spacing w:after="0" w:line="160" w:lineRule="exact"/>
        <w:rPr>
          <w:sz w:val="20"/>
          <w:szCs w:val="20"/>
          <w:color w:val="auto"/>
        </w:rPr>
      </w:pPr>
    </w:p>
    <w:p>
      <w:pPr>
        <w:ind w:right="600" w:firstLine="288"/>
        <w:spacing w:after="0" w:line="280" w:lineRule="auto"/>
        <w:rPr>
          <w:sz w:val="20"/>
          <w:szCs w:val="20"/>
          <w:color w:val="auto"/>
        </w:rPr>
      </w:pPr>
      <w:r>
        <w:rPr>
          <w:rFonts w:ascii="Times New Roman" w:cs="Times New Roman" w:eastAsia="Times New Roman" w:hAnsi="Times New Roman"/>
          <w:sz w:val="20"/>
          <w:szCs w:val="20"/>
          <w:b w:val="1"/>
          <w:bCs w:val="1"/>
          <w:i w:val="1"/>
          <w:iCs w:val="1"/>
          <w:color w:val="1E1E1E"/>
        </w:rPr>
        <w:t>If we are unable to protect or preserve our brand image and our proprietary rights, our business may be adversely affected.</w:t>
      </w:r>
    </w:p>
    <w:p>
      <w:pPr>
        <w:spacing w:after="0" w:line="11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We regard our trademarks, copyrights, trade secrets and similar proprietary rights as critical to our success. As such, we rely on trademark and copyright law, trade secret protection and confidentiality agreements with our associates, consultants, suppliers and others to protect our proprietary rights. Nevertheless, the steps we take to protect our proprietary rights may be inadequate and we may experience difficulty in effectively limiting the unauthorized use of our trademarks and other intellectual property worldwide. Unauthorized use of our trademarks, copyrights, trade secrets or other intellectual property rights may cause significant damage to our brand and our ability to effectively represent ourselves to agents, suppliers, vendors, licensees and/or customers. While we intend to enforce our intellectual property rights, there can be no assurance that we are adequately protected in all countries or that we will prevail when defending our trademark and proprietary rights. If we are unable to protect or preserve the value of our trademarks, copyrights or other intellectual property rights for any reason, or if we fail to maintain our brand image due to merchandise and service quality issues, actual or perceived, adverse publicity, governmental investigations or litigation or other reasons, our brand and reputation could be damaged and our business may be adversely affected.</w:t>
      </w:r>
    </w:p>
    <w:p>
      <w:pPr>
        <w:spacing w:after="0" w:line="16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i w:val="1"/>
          <w:iCs w:val="1"/>
          <w:color w:val="1E1E1E"/>
        </w:rPr>
        <w:t>We may be subject to liability if we infringe upon the intellectual property rights of third parties.</w:t>
      </w:r>
    </w:p>
    <w:p>
      <w:pPr>
        <w:spacing w:after="0" w:line="196"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Third parties may sue us for alleged infringement of their proprietary rights or use intellectual property rights to interfere with or attempt to interfere with the manufacture of products for us or the supply of products to us. The party claiming infringement might have greater resources than we do to pursue its claims, and we could be forced to incur substantial costs and devote significant management resources to defend against such litigation. If the party claiming infringement were to prevail, we could be forced to discontinue the use of the related trademark or design and/or pay significant damages or enter into expensive royalty or licensing arrangements with the prevailing party, assuming these royalty or licensing arrangements are available at all on an economically feasible basis, which they may not be. We could also be required to pay substantial damages. Such infringement claims could harm the Duluth Trading brand. In addition, any payments we are required to make and any injunction we are required to comply with as a result of such infringement could adversely affect our financial results.</w:t>
      </w:r>
    </w:p>
    <w:p>
      <w:pPr>
        <w:spacing w:after="0" w:line="159" w:lineRule="exact"/>
        <w:rPr>
          <w:sz w:val="20"/>
          <w:szCs w:val="20"/>
          <w:color w:val="auto"/>
        </w:rPr>
      </w:pPr>
    </w:p>
    <w:p>
      <w:pPr>
        <w:ind w:right="260" w:firstLine="288"/>
        <w:spacing w:after="0" w:line="280" w:lineRule="auto"/>
        <w:rPr>
          <w:sz w:val="20"/>
          <w:szCs w:val="20"/>
          <w:color w:val="auto"/>
        </w:rPr>
      </w:pPr>
      <w:r>
        <w:rPr>
          <w:rFonts w:ascii="Times New Roman" w:cs="Times New Roman" w:eastAsia="Times New Roman" w:hAnsi="Times New Roman"/>
          <w:sz w:val="20"/>
          <w:szCs w:val="20"/>
          <w:b w:val="1"/>
          <w:bCs w:val="1"/>
          <w:i w:val="1"/>
          <w:iCs w:val="1"/>
          <w:color w:val="1E1E1E"/>
        </w:rPr>
        <w:t>If our independent suppliers do not use ethical business practices or comply with applicable regulations and laws, our reputation could be materially harmed and our business and results of operations may be adversely affected.</w:t>
      </w:r>
    </w:p>
    <w:p>
      <w:pPr>
        <w:spacing w:after="0" w:line="12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Our reputation and customers’ willingness to purchase our products depend in part on our suppliers’ compliance with ethical employment practices, such as with respect to child labor, wages and benefits, forced labor, discrimination, freedom of association, unlawful inducements, safe and healthy working conditions and with all legal and regulatory requirements relating to the conduct of their business. While we operate compliance and monitoring programs to promote ethical and lawful business practices, we do not exercise ultimate control over our independent suppliers or their business practices and cannot guarantee their compliance with ethical and lawful business practices. Violation of labor or other laws by our suppliers, or the divergence of a supplier’s labor practices from those generally accepted as ethical in the United States, could materially hurt our reputation, which could have an adverse effect on our business and results of operations.</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i w:val="1"/>
          <w:iCs w:val="1"/>
          <w:color w:val="1E1E1E"/>
        </w:rPr>
        <w:t>We may be subject to assessments for additional taxes, including sales taxes, which could adversely affect our business.</w:t>
      </w:r>
    </w:p>
    <w:p>
      <w:pPr>
        <w:spacing w:after="0" w:line="196" w:lineRule="exact"/>
        <w:rPr>
          <w:sz w:val="20"/>
          <w:szCs w:val="20"/>
          <w:color w:val="auto"/>
        </w:rPr>
      </w:pPr>
    </w:p>
    <w:p>
      <w:pPr>
        <w:ind w:right="300" w:firstLine="490"/>
        <w:spacing w:after="0" w:line="250" w:lineRule="auto"/>
        <w:rPr>
          <w:sz w:val="20"/>
          <w:szCs w:val="20"/>
          <w:color w:val="auto"/>
        </w:rPr>
      </w:pPr>
      <w:r>
        <w:rPr>
          <w:rFonts w:ascii="Times New Roman" w:cs="Times New Roman" w:eastAsia="Times New Roman" w:hAnsi="Times New Roman"/>
          <w:sz w:val="20"/>
          <w:szCs w:val="20"/>
          <w:color w:val="1E1E1E"/>
        </w:rPr>
        <w:t>In accordance with current law, we pay, collect and/or remit taxes in those states where we or our subsidiary, as applicable, maintain a physical presence. Tax laws are complex and their application differs from state to state. It is possible that some taxing jurisdictions may attempt to assess additional taxes and penalties on us or assert either an error in our calculation, a change in the application of law or an interpretation of the law that differs from our own, which may, if successful, adversely affect our business and results of operations.</w:t>
      </w:r>
    </w:p>
    <w:p>
      <w:pPr>
        <w:spacing w:after="0" w:line="151" w:lineRule="exact"/>
        <w:rPr>
          <w:sz w:val="20"/>
          <w:szCs w:val="20"/>
          <w:color w:val="auto"/>
        </w:rPr>
      </w:pPr>
    </w:p>
    <w:p>
      <w:pPr>
        <w:ind w:right="120" w:firstLine="450"/>
        <w:spacing w:after="0" w:line="271" w:lineRule="auto"/>
        <w:rPr>
          <w:sz w:val="20"/>
          <w:szCs w:val="20"/>
          <w:color w:val="auto"/>
        </w:rPr>
      </w:pPr>
      <w:r>
        <w:rPr>
          <w:rFonts w:ascii="Times New Roman" w:cs="Times New Roman" w:eastAsia="Times New Roman" w:hAnsi="Times New Roman"/>
          <w:sz w:val="19"/>
          <w:szCs w:val="19"/>
          <w:color w:val="1E1E1E"/>
        </w:rPr>
        <w:t xml:space="preserve">An increasing number of states have considered or adopted laws that attempt to impose tax collection obligations on out-of-state companies. Additionally, the Supreme Court of the United States ruled in </w:t>
      </w:r>
      <w:r>
        <w:rPr>
          <w:rFonts w:ascii="Times New Roman" w:cs="Times New Roman" w:eastAsia="Times New Roman" w:hAnsi="Times New Roman"/>
          <w:sz w:val="19"/>
          <w:szCs w:val="19"/>
          <w:i w:val="1"/>
          <w:iCs w:val="1"/>
          <w:color w:val="1E1E1E"/>
        </w:rPr>
        <w:t>South Dakota v. Wayfair, Inc. et al</w:t>
      </w:r>
      <w:r>
        <w:rPr>
          <w:rFonts w:ascii="Times New Roman" w:cs="Times New Roman" w:eastAsia="Times New Roman" w:hAnsi="Times New Roman"/>
          <w:sz w:val="19"/>
          <w:szCs w:val="19"/>
          <w:color w:val="1E1E1E"/>
        </w:rPr>
        <w:t>, or Wayfair, that online sellers can be required to collect sales and use tax despite not having a physical presence in the buyer’s state. In response to Wayfair, or otherwise, states or local governments have adopted, or begun to enforce, laws requiring us to</w:t>
      </w:r>
    </w:p>
    <w:p>
      <w:pPr>
        <w:sectPr>
          <w:pgSz w:w="11880" w:h="15480" w:orient="portrait"/>
          <w:cols w:equalWidth="0" w:num="1">
            <w:col w:w="10240"/>
          </w:cols>
          <w:pgMar w:left="820" w:top="879" w:right="820" w:bottom="0" w:gutter="0" w:footer="0" w:header="0"/>
        </w:sectPr>
      </w:pP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18</w:t>
      </w:r>
    </w:p>
    <w:p>
      <w:pPr>
        <w:sectPr>
          <w:pgSz w:w="11880" w:h="15480" w:orient="portrait"/>
          <w:cols w:equalWidth="0" w:num="1">
            <w:col w:w="10240"/>
          </w:cols>
          <w:pgMar w:left="820" w:top="879" w:right="820" w:bottom="0" w:gutter="0" w:footer="0" w:header="0"/>
          <w:type w:val="continuous"/>
        </w:sectPr>
      </w:pPr>
    </w:p>
    <w:bookmarkStart w:id="24" w:name="page25"/>
    <w:bookmarkEnd w:id="24"/>
    <w:p>
      <w:pPr>
        <w:ind w:right="20"/>
        <w:spacing w:after="0" w:line="247" w:lineRule="auto"/>
        <w:rPr>
          <w:sz w:val="20"/>
          <w:szCs w:val="20"/>
          <w:color w:val="auto"/>
        </w:rPr>
      </w:pPr>
      <w:r>
        <w:rPr>
          <w:rFonts w:ascii="Times New Roman" w:cs="Times New Roman" w:eastAsia="Times New Roman" w:hAnsi="Times New Roman"/>
          <w:sz w:val="20"/>
          <w:szCs w:val="20"/>
          <w:color w:val="1E1E1E"/>
        </w:rPr>
        <w:t>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and decrease our future sales, which could have an impact on our business, financial condition and results of operations.</w:t>
      </w:r>
    </w:p>
    <w:p>
      <w:pPr>
        <w:spacing w:after="0" w:line="161" w:lineRule="exact"/>
        <w:rPr>
          <w:sz w:val="20"/>
          <w:szCs w:val="20"/>
          <w:color w:val="auto"/>
        </w:rPr>
      </w:pPr>
    </w:p>
    <w:p>
      <w:pPr>
        <w:ind w:right="440" w:firstLine="288"/>
        <w:spacing w:after="0" w:line="280" w:lineRule="auto"/>
        <w:rPr>
          <w:sz w:val="20"/>
          <w:szCs w:val="20"/>
          <w:color w:val="auto"/>
        </w:rPr>
      </w:pPr>
      <w:r>
        <w:rPr>
          <w:rFonts w:ascii="Times New Roman" w:cs="Times New Roman" w:eastAsia="Times New Roman" w:hAnsi="Times New Roman"/>
          <w:sz w:val="20"/>
          <w:szCs w:val="20"/>
          <w:b w:val="1"/>
          <w:bCs w:val="1"/>
          <w:i w:val="1"/>
          <w:iCs w:val="1"/>
          <w:color w:val="1E1E1E"/>
        </w:rPr>
        <w:t>We may become involved in a number of legal proceedings and audits, and outcomes of such legal proceedings and audits could adversely affect our business, financial condition and results of operations.</w:t>
      </w:r>
    </w:p>
    <w:p>
      <w:pPr>
        <w:spacing w:after="0" w:line="124"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1E1E1E"/>
        </w:rPr>
        <w:t>Our business requires compliance with many laws and regulations, including labor and employment, customs, truth-in-advertising, data privacy and security, consumer protection and zoning and occupancy laws and ordinances that regulate retailers generally and/or govern the importation, promotion and sale of merchandise and the operation of stores and warehouse facilities. Failure to achieve compliance could subject us to lawsuits and other proceedings, and could also lead to damage awards, fines and penalties. We may become involved in a number of legal proceedings and audits including government and agency investigations, and consumer, employment, tort and other litigation. We cannot predict with certainty the outcomes of these legal proceedings and other contingencies. The outcome of some of these legal proceedings, audits and other contingencies could require us to take, or refrain from taking, actions which could negatively affect our operations or require us to pay substantial amounts of money adversely affecting our financial condition and results of operations. Additionally, defending against these lawsuits and proceedings may be necessary, which could result in substantial costs and diversion of management’s attention and resources, causing a material adverse effect on our business, financial condition and results of operations. There can be no assurance that any pending or future legal proceedings and audits will not have a material adverse effect on our business, financial condition and results of operations.</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i w:val="1"/>
          <w:iCs w:val="1"/>
          <w:color w:val="1E1E1E"/>
        </w:rPr>
        <w:t>Changes to accounting rules or regulations could significantly affect our financial results.</w:t>
      </w:r>
    </w:p>
    <w:p>
      <w:pPr>
        <w:spacing w:after="0" w:line="200"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1E1E1E"/>
        </w:rPr>
        <w:t>Our consolidated financial statements are prepared in accordance with U.S. GAAP. New accounting rules or regulations and changes to existing accounting rules or regulations have occurred and may occur in the future. Future changes to accounting rules or regulations could negatively affect our results of operations and financial condition through increased compliance costs.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Risks Related to Ownership of our Class B Common Stock</w:t>
      </w:r>
    </w:p>
    <w:p>
      <w:pPr>
        <w:spacing w:after="0" w:line="207" w:lineRule="exact"/>
        <w:rPr>
          <w:sz w:val="20"/>
          <w:szCs w:val="20"/>
          <w:color w:val="auto"/>
        </w:rPr>
      </w:pPr>
    </w:p>
    <w:p>
      <w:pPr>
        <w:ind w:right="220" w:firstLine="288"/>
        <w:spacing w:after="0" w:line="257" w:lineRule="auto"/>
        <w:rPr>
          <w:sz w:val="20"/>
          <w:szCs w:val="20"/>
          <w:color w:val="auto"/>
        </w:rPr>
      </w:pPr>
      <w:r>
        <w:rPr>
          <w:rFonts w:ascii="Times New Roman" w:cs="Times New Roman" w:eastAsia="Times New Roman" w:hAnsi="Times New Roman"/>
          <w:sz w:val="20"/>
          <w:szCs w:val="20"/>
          <w:b w:val="1"/>
          <w:bCs w:val="1"/>
          <w:i w:val="1"/>
          <w:iCs w:val="1"/>
          <w:color w:val="1E1E1E"/>
        </w:rPr>
        <w:t>The dual class structure of our common stock and the existing ownership of common stock by our executive officers, directors and their affiliates have the effect of concentrating voting control with our executive officers, directors and their affiliates for the foreseeable future, which will limit your ability to influence corporate matters.</w:t>
      </w:r>
    </w:p>
    <w:p>
      <w:pPr>
        <w:spacing w:after="0" w:line="14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Our Class A common stock has ten votes per share, and our Class B common stock has one vote per share. Given the greater number of votes per share attributed to our Class A common stock, our Chairman, Stephen L. Schlecht, who through his voting trust is our only Class A shareholder, beneficially owns shares representing more than 50% of the voting power of our outstanding capital stock. As a result of our dual class ownership structure, Mr. Schlecht will be able to exert a significant degree of influence or actual control over our management and affairs and over matters requiring shareholder approval, including the election of directors, a merger, consolidation or sale of all or substantially all of our assets and any other significant transaction. Mr. Schlecht together with our other executive officers, directors and their affiliates, owns shares representing the majority of the voting power of our outstanding capital stock. This concentrated control will limit your ability to influence corporate matters for the foreseeable future. For example, these shareholders will be able to control elections of directors, amendments of our articles of incorporation or bylaws, increases to the number of shares available for issuance under our equity incentive plans or adoption of new equity incentive plans and approval of any merger or sale of assets for the foreseeable future. This control may materially adversely affect the market price of our Class B common stock.</w:t>
      </w:r>
    </w:p>
    <w:p>
      <w:pPr>
        <w:spacing w:after="0" w:line="168"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1E1E1E"/>
        </w:rPr>
        <w:t>Additionally, the holder of our Class A common stock may cause us to make strategic decisions or pursue acquisitions that could involve risks to you or may not be aligned with your interests. The holder of our Class A common stock will also be entitled to a separate vote in the event we seek to amend our articles of incorporation in a manner that alters or changes the powers, preferences or special rights of the Class A common stock in a manner that affects its holder adversely.</w:t>
      </w:r>
    </w:p>
    <w:p>
      <w:pPr>
        <w:spacing w:after="0" w:line="154" w:lineRule="exact"/>
        <w:rPr>
          <w:sz w:val="20"/>
          <w:szCs w:val="20"/>
          <w:color w:val="auto"/>
        </w:rPr>
      </w:pPr>
    </w:p>
    <w:p>
      <w:pPr>
        <w:ind w:right="340" w:firstLine="288"/>
        <w:spacing w:after="0" w:line="280" w:lineRule="auto"/>
        <w:rPr>
          <w:sz w:val="20"/>
          <w:szCs w:val="20"/>
          <w:color w:val="auto"/>
        </w:rPr>
      </w:pPr>
      <w:r>
        <w:rPr>
          <w:rFonts w:ascii="Times New Roman" w:cs="Times New Roman" w:eastAsia="Times New Roman" w:hAnsi="Times New Roman"/>
          <w:sz w:val="20"/>
          <w:szCs w:val="20"/>
          <w:b w:val="1"/>
          <w:bCs w:val="1"/>
          <w:i w:val="1"/>
          <w:iCs w:val="1"/>
          <w:color w:val="1E1E1E"/>
        </w:rPr>
        <w:t>We are a controlled company within the meaning of the NASDAQ rules, and as a result, we rely on exemptions from certain corporate governance requirements that provide protection to shareholders of other companies.</w:t>
      </w:r>
    </w:p>
    <w:p>
      <w:pPr>
        <w:spacing w:after="0" w:line="119" w:lineRule="exact"/>
        <w:rPr>
          <w:sz w:val="20"/>
          <w:szCs w:val="20"/>
          <w:color w:val="auto"/>
        </w:rPr>
      </w:pPr>
    </w:p>
    <w:p>
      <w:pPr>
        <w:ind w:right="80" w:firstLine="490"/>
        <w:spacing w:after="0" w:line="309" w:lineRule="auto"/>
        <w:rPr>
          <w:sz w:val="20"/>
          <w:szCs w:val="20"/>
          <w:color w:val="auto"/>
        </w:rPr>
      </w:pPr>
      <w:r>
        <w:rPr>
          <w:rFonts w:ascii="Times New Roman" w:cs="Times New Roman" w:eastAsia="Times New Roman" w:hAnsi="Times New Roman"/>
          <w:sz w:val="19"/>
          <w:szCs w:val="19"/>
          <w:color w:val="1E1E1E"/>
        </w:rPr>
        <w:t>Mr. Schlecht controls more than 50% of the total voting power of our common stock, and we are considered a controlled company under the NASDAQ corporate governance listing standards. As a controlled company, certain exemptions under the</w:t>
      </w:r>
    </w:p>
    <w:p>
      <w:pPr>
        <w:sectPr>
          <w:pgSz w:w="11880" w:h="15480" w:orient="portrait"/>
          <w:cols w:equalWidth="0" w:num="1">
            <w:col w:w="10220"/>
          </w:cols>
          <w:pgMar w:left="820" w:top="877" w:right="840" w:bottom="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1E1E1E"/>
        </w:rPr>
        <w:t>19</w:t>
      </w:r>
    </w:p>
    <w:p>
      <w:pPr>
        <w:sectPr>
          <w:pgSz w:w="11880" w:h="15480" w:orient="portrait"/>
          <w:cols w:equalWidth="0" w:num="1">
            <w:col w:w="10220"/>
          </w:cols>
          <w:pgMar w:left="820" w:top="877" w:right="840" w:bottom="0" w:gutter="0" w:footer="0" w:header="0"/>
          <w:type w:val="continuous"/>
        </w:sectPr>
      </w:pPr>
    </w:p>
    <w:bookmarkStart w:id="25" w:name="page26"/>
    <w:bookmarkEnd w:id="25"/>
    <w:p>
      <w:pPr>
        <w:ind w:right="1080"/>
        <w:spacing w:after="0" w:line="281" w:lineRule="auto"/>
        <w:rPr>
          <w:sz w:val="20"/>
          <w:szCs w:val="20"/>
          <w:color w:val="auto"/>
        </w:rPr>
      </w:pPr>
      <w:r>
        <w:rPr>
          <w:rFonts w:ascii="Times New Roman" w:cs="Times New Roman" w:eastAsia="Times New Roman" w:hAnsi="Times New Roman"/>
          <w:sz w:val="20"/>
          <w:szCs w:val="20"/>
          <w:color w:val="1E1E1E"/>
        </w:rPr>
        <w:t>NASDAQ listing standards exempt us from the obligation to comply with certain NASDAQ corporate governance requirements, including the requirements:</w:t>
      </w:r>
    </w:p>
    <w:p>
      <w:pPr>
        <w:spacing w:after="0" w:line="23" w:lineRule="exact"/>
        <w:rPr>
          <w:sz w:val="20"/>
          <w:szCs w:val="20"/>
          <w:color w:val="auto"/>
        </w:rPr>
      </w:pPr>
    </w:p>
    <w:p>
      <w:pPr>
        <w:ind w:left="980" w:hanging="496"/>
        <w:spacing w:after="0"/>
        <w:tabs>
          <w:tab w:leader="none" w:pos="980" w:val="left"/>
        </w:tabs>
        <w:numPr>
          <w:ilvl w:val="0"/>
          <w:numId w:val="16"/>
        </w:numPr>
        <w:rPr>
          <w:rFonts w:ascii="Arial" w:cs="Arial" w:eastAsia="Arial" w:hAnsi="Arial"/>
          <w:sz w:val="16"/>
          <w:szCs w:val="16"/>
          <w:color w:val="1E1E1E"/>
        </w:rPr>
      </w:pPr>
      <w:r>
        <w:rPr>
          <w:rFonts w:ascii="Times New Roman" w:cs="Times New Roman" w:eastAsia="Times New Roman" w:hAnsi="Times New Roman"/>
          <w:sz w:val="20"/>
          <w:szCs w:val="20"/>
          <w:color w:val="1E1E1E"/>
        </w:rPr>
        <w:t>that a majority of our board of directors consist of independent directors, as defined under the rules of NASDAQ;</w:t>
      </w:r>
    </w:p>
    <w:p>
      <w:pPr>
        <w:spacing w:after="0" w:line="96" w:lineRule="exact"/>
        <w:rPr>
          <w:rFonts w:ascii="Arial" w:cs="Arial" w:eastAsia="Arial" w:hAnsi="Arial"/>
          <w:sz w:val="16"/>
          <w:szCs w:val="16"/>
          <w:color w:val="1E1E1E"/>
        </w:rPr>
      </w:pPr>
    </w:p>
    <w:p>
      <w:pPr>
        <w:ind w:left="980" w:right="440" w:hanging="496"/>
        <w:spacing w:after="0" w:line="281" w:lineRule="auto"/>
        <w:tabs>
          <w:tab w:leader="none" w:pos="980" w:val="left"/>
        </w:tabs>
        <w:numPr>
          <w:ilvl w:val="0"/>
          <w:numId w:val="16"/>
        </w:numPr>
        <w:rPr>
          <w:rFonts w:ascii="Arial" w:cs="Arial" w:eastAsia="Arial" w:hAnsi="Arial"/>
          <w:sz w:val="16"/>
          <w:szCs w:val="16"/>
          <w:color w:val="1E1E1E"/>
        </w:rPr>
      </w:pPr>
      <w:r>
        <w:rPr>
          <w:rFonts w:ascii="Times New Roman" w:cs="Times New Roman" w:eastAsia="Times New Roman" w:hAnsi="Times New Roman"/>
          <w:sz w:val="20"/>
          <w:szCs w:val="20"/>
          <w:color w:val="1E1E1E"/>
        </w:rPr>
        <w:t>that we have a nominating committee that is composed entirely of independent directors with a written charter addressing the committee’s purpose and responsibilities; and</w:t>
      </w:r>
    </w:p>
    <w:p>
      <w:pPr>
        <w:spacing w:after="0" w:line="23" w:lineRule="exact"/>
        <w:rPr>
          <w:rFonts w:ascii="Arial" w:cs="Arial" w:eastAsia="Arial" w:hAnsi="Arial"/>
          <w:sz w:val="16"/>
          <w:szCs w:val="16"/>
          <w:color w:val="1E1E1E"/>
        </w:rPr>
      </w:pPr>
    </w:p>
    <w:p>
      <w:pPr>
        <w:ind w:left="980" w:right="240" w:hanging="496"/>
        <w:spacing w:after="0" w:line="281" w:lineRule="auto"/>
        <w:tabs>
          <w:tab w:leader="none" w:pos="980" w:val="left"/>
        </w:tabs>
        <w:numPr>
          <w:ilvl w:val="0"/>
          <w:numId w:val="16"/>
        </w:numPr>
        <w:rPr>
          <w:rFonts w:ascii="Arial" w:cs="Arial" w:eastAsia="Arial" w:hAnsi="Arial"/>
          <w:sz w:val="16"/>
          <w:szCs w:val="16"/>
          <w:color w:val="1E1E1E"/>
        </w:rPr>
      </w:pPr>
      <w:r>
        <w:rPr>
          <w:rFonts w:ascii="Times New Roman" w:cs="Times New Roman" w:eastAsia="Times New Roman" w:hAnsi="Times New Roman"/>
          <w:sz w:val="20"/>
          <w:szCs w:val="20"/>
          <w:color w:val="1E1E1E"/>
        </w:rPr>
        <w:t>that we have a compensation committee that is composed entirely of independent directors with a written charter addressing the committee’s purpose and responsibilities.</w:t>
      </w:r>
    </w:p>
    <w:p>
      <w:pPr>
        <w:spacing w:after="0" w:line="119" w:lineRule="exact"/>
        <w:rPr>
          <w:sz w:val="20"/>
          <w:szCs w:val="20"/>
          <w:color w:val="auto"/>
        </w:rPr>
      </w:pPr>
    </w:p>
    <w:p>
      <w:pPr>
        <w:ind w:right="40" w:firstLine="490"/>
        <w:spacing w:after="0" w:line="254" w:lineRule="auto"/>
        <w:rPr>
          <w:sz w:val="20"/>
          <w:szCs w:val="20"/>
          <w:color w:val="auto"/>
        </w:rPr>
      </w:pPr>
      <w:r>
        <w:rPr>
          <w:rFonts w:ascii="Times New Roman" w:cs="Times New Roman" w:eastAsia="Times New Roman" w:hAnsi="Times New Roman"/>
          <w:sz w:val="20"/>
          <w:szCs w:val="20"/>
          <w:color w:val="1E1E1E"/>
        </w:rPr>
        <w:t>Although we have a majority of independent directors on our board, we are a controlled company. As such, there is no guarantee that we will not take advantage of this exemption in the future. Accordingly, as long as we are a controlled company, holders of our Class B common stock may not have the same protections afforded to shareholders of companies that are subject to all of the NASDAQ corporate governance requirements.</w:t>
      </w:r>
    </w:p>
    <w:p>
      <w:pPr>
        <w:spacing w:after="0" w:line="151" w:lineRule="exact"/>
        <w:rPr>
          <w:sz w:val="20"/>
          <w:szCs w:val="20"/>
          <w:color w:val="auto"/>
        </w:rPr>
      </w:pPr>
    </w:p>
    <w:p>
      <w:pPr>
        <w:ind w:right="220" w:firstLine="288"/>
        <w:spacing w:after="0" w:line="280" w:lineRule="auto"/>
        <w:rPr>
          <w:sz w:val="20"/>
          <w:szCs w:val="20"/>
          <w:color w:val="auto"/>
        </w:rPr>
      </w:pPr>
      <w:r>
        <w:rPr>
          <w:rFonts w:ascii="Times New Roman" w:cs="Times New Roman" w:eastAsia="Times New Roman" w:hAnsi="Times New Roman"/>
          <w:sz w:val="20"/>
          <w:szCs w:val="20"/>
          <w:b w:val="1"/>
          <w:bCs w:val="1"/>
          <w:i w:val="1"/>
          <w:iCs w:val="1"/>
          <w:color w:val="1E1E1E"/>
        </w:rPr>
        <w:t>Our stock price may be volatile or may decline regardless of our operating performance, resulting in substantial losses for investors.</w:t>
      </w:r>
    </w:p>
    <w:p>
      <w:pPr>
        <w:spacing w:after="0" w:line="119" w:lineRule="exact"/>
        <w:rPr>
          <w:sz w:val="20"/>
          <w:szCs w:val="20"/>
          <w:color w:val="auto"/>
        </w:rPr>
      </w:pPr>
    </w:p>
    <w:p>
      <w:pPr>
        <w:ind w:right="420" w:firstLine="490"/>
        <w:spacing w:after="0" w:line="281" w:lineRule="auto"/>
        <w:rPr>
          <w:sz w:val="20"/>
          <w:szCs w:val="20"/>
          <w:color w:val="auto"/>
        </w:rPr>
      </w:pPr>
      <w:r>
        <w:rPr>
          <w:rFonts w:ascii="Times New Roman" w:cs="Times New Roman" w:eastAsia="Times New Roman" w:hAnsi="Times New Roman"/>
          <w:sz w:val="20"/>
          <w:szCs w:val="20"/>
          <w:color w:val="1E1E1E"/>
        </w:rPr>
        <w:t>The market price of our Class B common stock may fluctuate significantly in response to numerous factors, many of which are beyond our control, including:</w:t>
      </w:r>
    </w:p>
    <w:p>
      <w:pPr>
        <w:spacing w:after="0" w:line="23" w:lineRule="exact"/>
        <w:rPr>
          <w:sz w:val="20"/>
          <w:szCs w:val="20"/>
          <w:color w:val="auto"/>
        </w:rPr>
      </w:pPr>
    </w:p>
    <w:p>
      <w:pPr>
        <w:ind w:left="980" w:hanging="496"/>
        <w:spacing w:after="0"/>
        <w:tabs>
          <w:tab w:leader="none" w:pos="980" w:val="left"/>
        </w:tabs>
        <w:numPr>
          <w:ilvl w:val="0"/>
          <w:numId w:val="17"/>
        </w:numPr>
        <w:rPr>
          <w:rFonts w:ascii="Arial" w:cs="Arial" w:eastAsia="Arial" w:hAnsi="Arial"/>
          <w:sz w:val="16"/>
          <w:szCs w:val="16"/>
          <w:color w:val="1E1E1E"/>
        </w:rPr>
      </w:pPr>
      <w:r>
        <w:rPr>
          <w:rFonts w:ascii="Times New Roman" w:cs="Times New Roman" w:eastAsia="Times New Roman" w:hAnsi="Times New Roman"/>
          <w:sz w:val="20"/>
          <w:szCs w:val="20"/>
          <w:color w:val="1E1E1E"/>
        </w:rPr>
        <w:t>actual or anticipated fluctuations in our results of operations, particularly in our growth rates and margins;</w:t>
      </w:r>
    </w:p>
    <w:p>
      <w:pPr>
        <w:spacing w:after="0" w:line="101" w:lineRule="exact"/>
        <w:rPr>
          <w:rFonts w:ascii="Arial" w:cs="Arial" w:eastAsia="Arial" w:hAnsi="Arial"/>
          <w:sz w:val="16"/>
          <w:szCs w:val="16"/>
          <w:color w:val="1E1E1E"/>
        </w:rPr>
      </w:pPr>
    </w:p>
    <w:p>
      <w:pPr>
        <w:ind w:left="980" w:right="40" w:hanging="496"/>
        <w:spacing w:after="0" w:line="281" w:lineRule="auto"/>
        <w:tabs>
          <w:tab w:leader="none" w:pos="980" w:val="left"/>
        </w:tabs>
        <w:numPr>
          <w:ilvl w:val="0"/>
          <w:numId w:val="17"/>
        </w:numPr>
        <w:rPr>
          <w:rFonts w:ascii="Arial" w:cs="Arial" w:eastAsia="Arial" w:hAnsi="Arial"/>
          <w:sz w:val="16"/>
          <w:szCs w:val="16"/>
          <w:color w:val="1E1E1E"/>
        </w:rPr>
      </w:pPr>
      <w:r>
        <w:rPr>
          <w:rFonts w:ascii="Times New Roman" w:cs="Times New Roman" w:eastAsia="Times New Roman" w:hAnsi="Times New Roman"/>
          <w:sz w:val="20"/>
          <w:szCs w:val="20"/>
          <w:color w:val="1E1E1E"/>
        </w:rPr>
        <w:t>the financial projections we may provide to the public, any changes in these projections or our failure to meet these projections;</w:t>
      </w:r>
    </w:p>
    <w:p>
      <w:pPr>
        <w:spacing w:after="0" w:line="18" w:lineRule="exact"/>
        <w:rPr>
          <w:rFonts w:ascii="Arial" w:cs="Arial" w:eastAsia="Arial" w:hAnsi="Arial"/>
          <w:sz w:val="16"/>
          <w:szCs w:val="16"/>
          <w:color w:val="1E1E1E"/>
        </w:rPr>
      </w:pPr>
    </w:p>
    <w:p>
      <w:pPr>
        <w:ind w:left="980" w:hanging="496"/>
        <w:spacing w:after="0" w:line="261" w:lineRule="auto"/>
        <w:tabs>
          <w:tab w:leader="none" w:pos="980" w:val="left"/>
        </w:tabs>
        <w:numPr>
          <w:ilvl w:val="0"/>
          <w:numId w:val="17"/>
        </w:numPr>
        <w:rPr>
          <w:rFonts w:ascii="Arial" w:cs="Arial" w:eastAsia="Arial" w:hAnsi="Arial"/>
          <w:sz w:val="16"/>
          <w:szCs w:val="16"/>
          <w:color w:val="1E1E1E"/>
        </w:rPr>
      </w:pPr>
      <w:r>
        <w:rPr>
          <w:rFonts w:ascii="Times New Roman" w:cs="Times New Roman" w:eastAsia="Times New Roman" w:hAnsi="Times New Roman"/>
          <w:sz w:val="20"/>
          <w:szCs w:val="20"/>
          <w:color w:val="1E1E1E"/>
        </w:rPr>
        <w:t>failure of securities analysts to initiate or maintain coverage of our company, changes in financial estimates or ratings by any securities analysts who follow our company or our failure to meet these estimates or the expectations of investors;</w:t>
      </w:r>
    </w:p>
    <w:p>
      <w:pPr>
        <w:spacing w:after="0" w:line="41" w:lineRule="exact"/>
        <w:rPr>
          <w:rFonts w:ascii="Arial" w:cs="Arial" w:eastAsia="Arial" w:hAnsi="Arial"/>
          <w:sz w:val="16"/>
          <w:szCs w:val="16"/>
          <w:color w:val="1E1E1E"/>
        </w:rPr>
      </w:pPr>
    </w:p>
    <w:p>
      <w:pPr>
        <w:ind w:left="980" w:right="240" w:hanging="496"/>
        <w:spacing w:after="0" w:line="281" w:lineRule="auto"/>
        <w:tabs>
          <w:tab w:leader="none" w:pos="980" w:val="left"/>
        </w:tabs>
        <w:numPr>
          <w:ilvl w:val="0"/>
          <w:numId w:val="17"/>
        </w:numPr>
        <w:rPr>
          <w:rFonts w:ascii="Arial" w:cs="Arial" w:eastAsia="Arial" w:hAnsi="Arial"/>
          <w:sz w:val="16"/>
          <w:szCs w:val="16"/>
          <w:color w:val="1E1E1E"/>
        </w:rPr>
      </w:pPr>
      <w:r>
        <w:rPr>
          <w:rFonts w:ascii="Times New Roman" w:cs="Times New Roman" w:eastAsia="Times New Roman" w:hAnsi="Times New Roman"/>
          <w:sz w:val="20"/>
          <w:szCs w:val="20"/>
          <w:color w:val="1E1E1E"/>
        </w:rPr>
        <w:t>announcements by us or our competitors of significant technical innovations, acquisitions, strategic partnerships, joint ventures, operating results or capital commitments;</w:t>
      </w:r>
    </w:p>
    <w:p>
      <w:pPr>
        <w:spacing w:after="0" w:line="23" w:lineRule="exact"/>
        <w:rPr>
          <w:rFonts w:ascii="Arial" w:cs="Arial" w:eastAsia="Arial" w:hAnsi="Arial"/>
          <w:sz w:val="16"/>
          <w:szCs w:val="16"/>
          <w:color w:val="1E1E1E"/>
        </w:rPr>
      </w:pPr>
    </w:p>
    <w:p>
      <w:pPr>
        <w:ind w:left="980" w:right="160" w:hanging="496"/>
        <w:spacing w:after="0" w:line="276" w:lineRule="auto"/>
        <w:tabs>
          <w:tab w:leader="none" w:pos="980" w:val="left"/>
        </w:tabs>
        <w:numPr>
          <w:ilvl w:val="0"/>
          <w:numId w:val="17"/>
        </w:numPr>
        <w:rPr>
          <w:rFonts w:ascii="Arial" w:cs="Arial" w:eastAsia="Arial" w:hAnsi="Arial"/>
          <w:sz w:val="16"/>
          <w:szCs w:val="16"/>
          <w:color w:val="1E1E1E"/>
        </w:rPr>
      </w:pPr>
      <w:r>
        <w:rPr>
          <w:rFonts w:ascii="Times New Roman" w:cs="Times New Roman" w:eastAsia="Times New Roman" w:hAnsi="Times New Roman"/>
          <w:sz w:val="20"/>
          <w:szCs w:val="20"/>
          <w:color w:val="1E1E1E"/>
        </w:rPr>
        <w:t>changes in operating performance and stock market valuations of other retail companies generally, or those in our industry in particular;</w:t>
      </w:r>
    </w:p>
    <w:p>
      <w:pPr>
        <w:spacing w:after="0" w:line="27" w:lineRule="exact"/>
        <w:rPr>
          <w:rFonts w:ascii="Arial" w:cs="Arial" w:eastAsia="Arial" w:hAnsi="Arial"/>
          <w:sz w:val="16"/>
          <w:szCs w:val="16"/>
          <w:color w:val="1E1E1E"/>
        </w:rPr>
      </w:pPr>
    </w:p>
    <w:p>
      <w:pPr>
        <w:ind w:left="980" w:hanging="496"/>
        <w:spacing w:after="0"/>
        <w:tabs>
          <w:tab w:leader="none" w:pos="980" w:val="left"/>
        </w:tabs>
        <w:numPr>
          <w:ilvl w:val="0"/>
          <w:numId w:val="17"/>
        </w:numPr>
        <w:rPr>
          <w:rFonts w:ascii="Arial" w:cs="Arial" w:eastAsia="Arial" w:hAnsi="Arial"/>
          <w:sz w:val="15"/>
          <w:szCs w:val="15"/>
          <w:color w:val="1E1E1E"/>
        </w:rPr>
      </w:pPr>
      <w:r>
        <w:rPr>
          <w:rFonts w:ascii="Times New Roman" w:cs="Times New Roman" w:eastAsia="Times New Roman" w:hAnsi="Times New Roman"/>
          <w:sz w:val="19"/>
          <w:szCs w:val="19"/>
          <w:color w:val="1E1E1E"/>
        </w:rPr>
        <w:t>price and volume fluctuations in the overall stock market, including as a result of trends in the economy as a whole;</w:t>
      </w:r>
    </w:p>
    <w:p>
      <w:pPr>
        <w:spacing w:after="0" w:line="112" w:lineRule="exact"/>
        <w:rPr>
          <w:rFonts w:ascii="Arial" w:cs="Arial" w:eastAsia="Arial" w:hAnsi="Arial"/>
          <w:sz w:val="15"/>
          <w:szCs w:val="15"/>
          <w:color w:val="1E1E1E"/>
        </w:rPr>
      </w:pPr>
    </w:p>
    <w:p>
      <w:pPr>
        <w:ind w:left="980" w:hanging="496"/>
        <w:spacing w:after="0"/>
        <w:tabs>
          <w:tab w:leader="none" w:pos="980" w:val="left"/>
        </w:tabs>
        <w:numPr>
          <w:ilvl w:val="0"/>
          <w:numId w:val="17"/>
        </w:numPr>
        <w:rPr>
          <w:rFonts w:ascii="Arial" w:cs="Arial" w:eastAsia="Arial" w:hAnsi="Arial"/>
          <w:sz w:val="16"/>
          <w:szCs w:val="16"/>
          <w:color w:val="1E1E1E"/>
        </w:rPr>
      </w:pPr>
      <w:r>
        <w:rPr>
          <w:rFonts w:ascii="Times New Roman" w:cs="Times New Roman" w:eastAsia="Times New Roman" w:hAnsi="Times New Roman"/>
          <w:sz w:val="20"/>
          <w:szCs w:val="20"/>
          <w:color w:val="1E1E1E"/>
        </w:rPr>
        <w:t>changes in our board of directors or management;</w:t>
      </w:r>
    </w:p>
    <w:p>
      <w:pPr>
        <w:spacing w:after="0" w:line="101" w:lineRule="exact"/>
        <w:rPr>
          <w:rFonts w:ascii="Arial" w:cs="Arial" w:eastAsia="Arial" w:hAnsi="Arial"/>
          <w:sz w:val="16"/>
          <w:szCs w:val="16"/>
          <w:color w:val="1E1E1E"/>
        </w:rPr>
      </w:pPr>
    </w:p>
    <w:p>
      <w:pPr>
        <w:ind w:left="980" w:right="740" w:hanging="496"/>
        <w:spacing w:after="0" w:line="281" w:lineRule="auto"/>
        <w:tabs>
          <w:tab w:leader="none" w:pos="980" w:val="left"/>
        </w:tabs>
        <w:numPr>
          <w:ilvl w:val="0"/>
          <w:numId w:val="17"/>
        </w:numPr>
        <w:rPr>
          <w:rFonts w:ascii="Arial" w:cs="Arial" w:eastAsia="Arial" w:hAnsi="Arial"/>
          <w:sz w:val="16"/>
          <w:szCs w:val="16"/>
          <w:color w:val="1E1E1E"/>
        </w:rPr>
      </w:pPr>
      <w:r>
        <w:rPr>
          <w:rFonts w:ascii="Times New Roman" w:cs="Times New Roman" w:eastAsia="Times New Roman" w:hAnsi="Times New Roman"/>
          <w:sz w:val="20"/>
          <w:szCs w:val="20"/>
          <w:color w:val="1E1E1E"/>
        </w:rPr>
        <w:t>sales of large blocks of our Class B common stock, including sales by our executive officers, directors and significant shareholders;</w:t>
      </w:r>
    </w:p>
    <w:p>
      <w:pPr>
        <w:spacing w:after="0" w:line="18" w:lineRule="exact"/>
        <w:rPr>
          <w:rFonts w:ascii="Arial" w:cs="Arial" w:eastAsia="Arial" w:hAnsi="Arial"/>
          <w:sz w:val="16"/>
          <w:szCs w:val="16"/>
          <w:color w:val="1E1E1E"/>
        </w:rPr>
      </w:pPr>
    </w:p>
    <w:p>
      <w:pPr>
        <w:ind w:left="980" w:hanging="496"/>
        <w:spacing w:after="0"/>
        <w:tabs>
          <w:tab w:leader="none" w:pos="980" w:val="left"/>
        </w:tabs>
        <w:numPr>
          <w:ilvl w:val="0"/>
          <w:numId w:val="17"/>
        </w:numPr>
        <w:rPr>
          <w:rFonts w:ascii="Arial" w:cs="Arial" w:eastAsia="Arial" w:hAnsi="Arial"/>
          <w:sz w:val="16"/>
          <w:szCs w:val="16"/>
          <w:color w:val="1E1E1E"/>
        </w:rPr>
      </w:pPr>
      <w:r>
        <w:rPr>
          <w:rFonts w:ascii="Times New Roman" w:cs="Times New Roman" w:eastAsia="Times New Roman" w:hAnsi="Times New Roman"/>
          <w:sz w:val="20"/>
          <w:szCs w:val="20"/>
          <w:color w:val="1E1E1E"/>
        </w:rPr>
        <w:t>lawsuits threatened or filed against us;</w:t>
      </w:r>
    </w:p>
    <w:p>
      <w:pPr>
        <w:spacing w:after="0" w:line="101" w:lineRule="exact"/>
        <w:rPr>
          <w:rFonts w:ascii="Arial" w:cs="Arial" w:eastAsia="Arial" w:hAnsi="Arial"/>
          <w:sz w:val="16"/>
          <w:szCs w:val="16"/>
          <w:color w:val="1E1E1E"/>
        </w:rPr>
      </w:pPr>
    </w:p>
    <w:p>
      <w:pPr>
        <w:ind w:left="980" w:hanging="496"/>
        <w:spacing w:after="0"/>
        <w:tabs>
          <w:tab w:leader="none" w:pos="980" w:val="left"/>
        </w:tabs>
        <w:numPr>
          <w:ilvl w:val="0"/>
          <w:numId w:val="17"/>
        </w:numPr>
        <w:rPr>
          <w:rFonts w:ascii="Arial" w:cs="Arial" w:eastAsia="Arial" w:hAnsi="Arial"/>
          <w:sz w:val="16"/>
          <w:szCs w:val="16"/>
          <w:color w:val="1E1E1E"/>
        </w:rPr>
      </w:pPr>
      <w:r>
        <w:rPr>
          <w:rFonts w:ascii="Times New Roman" w:cs="Times New Roman" w:eastAsia="Times New Roman" w:hAnsi="Times New Roman"/>
          <w:sz w:val="20"/>
          <w:szCs w:val="20"/>
          <w:color w:val="1E1E1E"/>
        </w:rPr>
        <w:t>changes in laws or regulations applicable to our business;</w:t>
      </w:r>
    </w:p>
    <w:p>
      <w:pPr>
        <w:spacing w:after="0" w:line="101" w:lineRule="exact"/>
        <w:rPr>
          <w:rFonts w:ascii="Arial" w:cs="Arial" w:eastAsia="Arial" w:hAnsi="Arial"/>
          <w:sz w:val="16"/>
          <w:szCs w:val="16"/>
          <w:color w:val="1E1E1E"/>
        </w:rPr>
      </w:pPr>
    </w:p>
    <w:p>
      <w:pPr>
        <w:ind w:left="980" w:hanging="496"/>
        <w:spacing w:after="0"/>
        <w:tabs>
          <w:tab w:leader="none" w:pos="980" w:val="left"/>
        </w:tabs>
        <w:numPr>
          <w:ilvl w:val="0"/>
          <w:numId w:val="17"/>
        </w:numPr>
        <w:rPr>
          <w:rFonts w:ascii="Arial" w:cs="Arial" w:eastAsia="Arial" w:hAnsi="Arial"/>
          <w:sz w:val="16"/>
          <w:szCs w:val="16"/>
          <w:color w:val="1E1E1E"/>
        </w:rPr>
      </w:pPr>
      <w:r>
        <w:rPr>
          <w:rFonts w:ascii="Times New Roman" w:cs="Times New Roman" w:eastAsia="Times New Roman" w:hAnsi="Times New Roman"/>
          <w:sz w:val="20"/>
          <w:szCs w:val="20"/>
          <w:color w:val="1E1E1E"/>
        </w:rPr>
        <w:t>changes in our capital structure, such as future issuances of debt or equity securities;</w:t>
      </w:r>
    </w:p>
    <w:p>
      <w:pPr>
        <w:spacing w:after="0" w:line="101" w:lineRule="exact"/>
        <w:rPr>
          <w:rFonts w:ascii="Arial" w:cs="Arial" w:eastAsia="Arial" w:hAnsi="Arial"/>
          <w:sz w:val="16"/>
          <w:szCs w:val="16"/>
          <w:color w:val="1E1E1E"/>
        </w:rPr>
      </w:pPr>
    </w:p>
    <w:p>
      <w:pPr>
        <w:ind w:left="980" w:hanging="496"/>
        <w:spacing w:after="0"/>
        <w:tabs>
          <w:tab w:leader="none" w:pos="980" w:val="left"/>
        </w:tabs>
        <w:numPr>
          <w:ilvl w:val="0"/>
          <w:numId w:val="17"/>
        </w:numPr>
        <w:rPr>
          <w:rFonts w:ascii="Arial" w:cs="Arial" w:eastAsia="Arial" w:hAnsi="Arial"/>
          <w:sz w:val="16"/>
          <w:szCs w:val="16"/>
          <w:color w:val="1E1E1E"/>
        </w:rPr>
      </w:pPr>
      <w:r>
        <w:rPr>
          <w:rFonts w:ascii="Times New Roman" w:cs="Times New Roman" w:eastAsia="Times New Roman" w:hAnsi="Times New Roman"/>
          <w:sz w:val="20"/>
          <w:szCs w:val="20"/>
          <w:color w:val="1E1E1E"/>
        </w:rPr>
        <w:t>short sales, hedging and other derivative transactions involving our capital stock;</w:t>
      </w:r>
    </w:p>
    <w:p>
      <w:pPr>
        <w:spacing w:after="0" w:line="96" w:lineRule="exact"/>
        <w:rPr>
          <w:rFonts w:ascii="Arial" w:cs="Arial" w:eastAsia="Arial" w:hAnsi="Arial"/>
          <w:sz w:val="16"/>
          <w:szCs w:val="16"/>
          <w:color w:val="1E1E1E"/>
        </w:rPr>
      </w:pPr>
    </w:p>
    <w:p>
      <w:pPr>
        <w:ind w:left="980" w:hanging="496"/>
        <w:spacing w:after="0"/>
        <w:tabs>
          <w:tab w:leader="none" w:pos="980" w:val="left"/>
        </w:tabs>
        <w:numPr>
          <w:ilvl w:val="0"/>
          <w:numId w:val="17"/>
        </w:numPr>
        <w:rPr>
          <w:rFonts w:ascii="Arial" w:cs="Arial" w:eastAsia="Arial" w:hAnsi="Arial"/>
          <w:sz w:val="16"/>
          <w:szCs w:val="16"/>
          <w:color w:val="1E1E1E"/>
        </w:rPr>
      </w:pPr>
      <w:r>
        <w:rPr>
          <w:rFonts w:ascii="Times New Roman" w:cs="Times New Roman" w:eastAsia="Times New Roman" w:hAnsi="Times New Roman"/>
          <w:sz w:val="20"/>
          <w:szCs w:val="20"/>
          <w:color w:val="1E1E1E"/>
        </w:rPr>
        <w:t>general economic conditions in the United States and abroad; and</w:t>
      </w:r>
    </w:p>
    <w:p>
      <w:pPr>
        <w:spacing w:after="0" w:line="101" w:lineRule="exact"/>
        <w:rPr>
          <w:rFonts w:ascii="Arial" w:cs="Arial" w:eastAsia="Arial" w:hAnsi="Arial"/>
          <w:sz w:val="16"/>
          <w:szCs w:val="16"/>
          <w:color w:val="1E1E1E"/>
        </w:rPr>
      </w:pPr>
    </w:p>
    <w:p>
      <w:pPr>
        <w:ind w:left="980" w:right="140" w:hanging="496"/>
        <w:spacing w:after="0" w:line="281" w:lineRule="auto"/>
        <w:tabs>
          <w:tab w:leader="none" w:pos="980" w:val="left"/>
        </w:tabs>
        <w:numPr>
          <w:ilvl w:val="0"/>
          <w:numId w:val="17"/>
        </w:numPr>
        <w:rPr>
          <w:rFonts w:ascii="Arial" w:cs="Arial" w:eastAsia="Arial" w:hAnsi="Arial"/>
          <w:sz w:val="16"/>
          <w:szCs w:val="16"/>
          <w:color w:val="1E1E1E"/>
        </w:rPr>
      </w:pPr>
      <w:r>
        <w:rPr>
          <w:rFonts w:ascii="Times New Roman" w:cs="Times New Roman" w:eastAsia="Times New Roman" w:hAnsi="Times New Roman"/>
          <w:sz w:val="20"/>
          <w:szCs w:val="20"/>
          <w:color w:val="1E1E1E"/>
        </w:rPr>
        <w:t>other events or factors, including those resulting from pandemics, war, incidents of terrorism or responses to these events.</w:t>
      </w:r>
    </w:p>
    <w:p>
      <w:pPr>
        <w:spacing w:after="0" w:line="124"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1E1E1E"/>
        </w:rPr>
        <w:t>In addition, stock markets have experienced extreme price and volume fluctuations that have affected and continue to affect the market prices of equity securities of many retail and e-commerce companies. Stock prices of many retail companies and e-commerce companies have fluctuated in a manner unrelated or disproportionate to the operating performance of those companies. In the past, shareholders have instituted securities class action litigation following periods of market volatility. If we were to become involved in securities litigation, it could subject us to substantial costs, divert resources and the attention of management from our business and materially adversely affect our business, financial condition and operating results.</w:t>
      </w:r>
    </w:p>
    <w:p>
      <w:pPr>
        <w:spacing w:after="0" w:line="161" w:lineRule="exact"/>
        <w:rPr>
          <w:sz w:val="20"/>
          <w:szCs w:val="20"/>
          <w:color w:val="auto"/>
        </w:rPr>
      </w:pPr>
    </w:p>
    <w:p>
      <w:pPr>
        <w:ind w:right="40" w:firstLine="288"/>
        <w:spacing w:after="0" w:line="280" w:lineRule="auto"/>
        <w:rPr>
          <w:sz w:val="20"/>
          <w:szCs w:val="20"/>
          <w:color w:val="auto"/>
        </w:rPr>
      </w:pPr>
      <w:r>
        <w:rPr>
          <w:rFonts w:ascii="Times New Roman" w:cs="Times New Roman" w:eastAsia="Times New Roman" w:hAnsi="Times New Roman"/>
          <w:sz w:val="20"/>
          <w:szCs w:val="20"/>
          <w:b w:val="1"/>
          <w:bCs w:val="1"/>
          <w:i w:val="1"/>
          <w:iCs w:val="1"/>
          <w:color w:val="1E1E1E"/>
        </w:rPr>
        <w:t>If securities or industry analysts do not publish research or reports about our business, or publish negative reports about our business, our share price and trading volume could decline.</w:t>
      </w:r>
    </w:p>
    <w:p>
      <w:pPr>
        <w:spacing w:after="0" w:line="119" w:lineRule="exact"/>
        <w:rPr>
          <w:sz w:val="20"/>
          <w:szCs w:val="20"/>
          <w:color w:val="auto"/>
        </w:rPr>
      </w:pPr>
    </w:p>
    <w:p>
      <w:pPr>
        <w:ind w:right="400" w:firstLine="490"/>
        <w:spacing w:after="0" w:line="281" w:lineRule="auto"/>
        <w:rPr>
          <w:sz w:val="20"/>
          <w:szCs w:val="20"/>
          <w:color w:val="auto"/>
        </w:rPr>
      </w:pPr>
      <w:r>
        <w:rPr>
          <w:rFonts w:ascii="Times New Roman" w:cs="Times New Roman" w:eastAsia="Times New Roman" w:hAnsi="Times New Roman"/>
          <w:sz w:val="19"/>
          <w:szCs w:val="19"/>
          <w:color w:val="1E1E1E"/>
        </w:rPr>
        <w:t>The trading market for our Class B common stock will depend in part on the research and reports that securities or industry analysts publish about us or our business, our market and our competitors. We do not have any control over these analysts. If one or more of the analysts who cover us downgrade our shares or change their opinion of our shares, our share</w:t>
      </w:r>
    </w:p>
    <w:p>
      <w:pPr>
        <w:sectPr>
          <w:pgSz w:w="11880" w:h="15480" w:orient="portrait"/>
          <w:cols w:equalWidth="0" w:num="1">
            <w:col w:w="10240"/>
          </w:cols>
          <w:pgMar w:left="820" w:top="877" w:right="820" w:bottom="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20</w:t>
      </w:r>
    </w:p>
    <w:p>
      <w:pPr>
        <w:sectPr>
          <w:pgSz w:w="11880" w:h="15480" w:orient="portrait"/>
          <w:cols w:equalWidth="0" w:num="1">
            <w:col w:w="10240"/>
          </w:cols>
          <w:pgMar w:left="820" w:top="877" w:right="820" w:bottom="0" w:gutter="0" w:footer="0" w:header="0"/>
          <w:type w:val="continuous"/>
        </w:sectPr>
      </w:pPr>
    </w:p>
    <w:bookmarkStart w:id="26" w:name="page27"/>
    <w:bookmarkEnd w:id="26"/>
    <w:p>
      <w:pPr>
        <w:ind w:right="220"/>
        <w:spacing w:after="0" w:line="309" w:lineRule="auto"/>
        <w:rPr>
          <w:sz w:val="20"/>
          <w:szCs w:val="20"/>
          <w:color w:val="auto"/>
        </w:rPr>
      </w:pPr>
      <w:r>
        <w:rPr>
          <w:rFonts w:ascii="Times New Roman" w:cs="Times New Roman" w:eastAsia="Times New Roman" w:hAnsi="Times New Roman"/>
          <w:sz w:val="19"/>
          <w:szCs w:val="19"/>
          <w:color w:val="1E1E1E"/>
        </w:rPr>
        <w:t>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97" w:lineRule="exact"/>
        <w:rPr>
          <w:sz w:val="20"/>
          <w:szCs w:val="20"/>
          <w:color w:val="auto"/>
        </w:rPr>
      </w:pPr>
    </w:p>
    <w:p>
      <w:pPr>
        <w:ind w:right="340" w:firstLine="288"/>
        <w:spacing w:after="0" w:line="280" w:lineRule="auto"/>
        <w:rPr>
          <w:sz w:val="20"/>
          <w:szCs w:val="20"/>
          <w:color w:val="auto"/>
        </w:rPr>
      </w:pPr>
      <w:r>
        <w:rPr>
          <w:rFonts w:ascii="Times New Roman" w:cs="Times New Roman" w:eastAsia="Times New Roman" w:hAnsi="Times New Roman"/>
          <w:sz w:val="20"/>
          <w:szCs w:val="20"/>
          <w:b w:val="1"/>
          <w:bCs w:val="1"/>
          <w:i w:val="1"/>
          <w:iCs w:val="1"/>
          <w:color w:val="1E1E1E"/>
        </w:rPr>
        <w:t>The requirements of being a public company may strain our resources, divert management’s attention and affect our ability to attract and retain additional executive management and qualified board members.</w:t>
      </w:r>
    </w:p>
    <w:p>
      <w:pPr>
        <w:spacing w:after="0" w:line="124"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E1E1E"/>
        </w:rPr>
        <w:t>As a public company, we are subject to the reporting requirements of the Exchange Act, the Sarbanes-Oxley Act, the Dodd-Frank Wall Street Reform and Consumer Protection Act, the listing requirements of the NASDAQ Global Select Market and other applicable securities rules and regulations. Compliance with these rules and regulations increase our legal and financial compliance costs, make some activities more difficult, time-consuming or costly and increase demand on our systems and resources.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significant resources and management oversight may be required. As a result, management’s attention may be diverted from other business concerns, which could materially adversely affect our business and results of operations.</w:t>
      </w:r>
    </w:p>
    <w:p>
      <w:pPr>
        <w:spacing w:after="0" w:line="163"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1E1E1E"/>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materially adversely affected.</w:t>
      </w:r>
    </w:p>
    <w:p>
      <w:pPr>
        <w:spacing w:after="0" w:line="155" w:lineRule="exact"/>
        <w:rPr>
          <w:sz w:val="20"/>
          <w:szCs w:val="20"/>
          <w:color w:val="auto"/>
        </w:rPr>
      </w:pPr>
    </w:p>
    <w:p>
      <w:pPr>
        <w:ind w:firstLine="490"/>
        <w:spacing w:after="0" w:line="248" w:lineRule="auto"/>
        <w:rPr>
          <w:sz w:val="20"/>
          <w:szCs w:val="20"/>
          <w:color w:val="auto"/>
        </w:rPr>
      </w:pPr>
      <w:r>
        <w:rPr>
          <w:rFonts w:ascii="Times New Roman" w:cs="Times New Roman" w:eastAsia="Times New Roman" w:hAnsi="Times New Roman"/>
          <w:sz w:val="20"/>
          <w:szCs w:val="20"/>
          <w:color w:val="1E1E1E"/>
        </w:rPr>
        <w:t>As a result of disclosure of information in this annual report and in filings required of a public company, our business and financial condition will become more visible, which we believe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materially adversely affect our business, financial condition and operating results.</w:t>
      </w:r>
    </w:p>
    <w:p>
      <w:pPr>
        <w:spacing w:after="0" w:line="160" w:lineRule="exact"/>
        <w:rPr>
          <w:sz w:val="20"/>
          <w:szCs w:val="20"/>
          <w:color w:val="auto"/>
        </w:rPr>
      </w:pPr>
    </w:p>
    <w:p>
      <w:pPr>
        <w:jc w:val="both"/>
        <w:ind w:right="80" w:firstLine="288"/>
        <w:spacing w:after="0" w:line="257" w:lineRule="auto"/>
        <w:rPr>
          <w:sz w:val="20"/>
          <w:szCs w:val="20"/>
          <w:color w:val="auto"/>
        </w:rPr>
      </w:pPr>
      <w:r>
        <w:rPr>
          <w:rFonts w:ascii="Times New Roman" w:cs="Times New Roman" w:eastAsia="Times New Roman" w:hAnsi="Times New Roman"/>
          <w:sz w:val="20"/>
          <w:szCs w:val="20"/>
          <w:b w:val="1"/>
          <w:bCs w:val="1"/>
          <w:i w:val="1"/>
          <w:iCs w:val="1"/>
          <w:color w:val="1E1E1E"/>
        </w:rPr>
        <w:t>Anti-takeover provisions in our charter documents and under Wisconsin law could make an acquisition of our company more difficult, limit attempts by our shareholders to replace or remove our current management and limit the market price of our Class B common stock.</w:t>
      </w:r>
    </w:p>
    <w:p>
      <w:pPr>
        <w:spacing w:after="0" w:line="148" w:lineRule="exact"/>
        <w:rPr>
          <w:sz w:val="20"/>
          <w:szCs w:val="20"/>
          <w:color w:val="auto"/>
        </w:rPr>
      </w:pPr>
    </w:p>
    <w:p>
      <w:pPr>
        <w:jc w:val="both"/>
        <w:ind w:firstLine="490"/>
        <w:spacing w:after="0" w:line="261" w:lineRule="auto"/>
        <w:rPr>
          <w:sz w:val="20"/>
          <w:szCs w:val="20"/>
          <w:color w:val="auto"/>
        </w:rPr>
      </w:pPr>
      <w:r>
        <w:rPr>
          <w:rFonts w:ascii="Times New Roman" w:cs="Times New Roman" w:eastAsia="Times New Roman" w:hAnsi="Times New Roman"/>
          <w:sz w:val="20"/>
          <w:szCs w:val="20"/>
          <w:color w:val="1E1E1E"/>
        </w:rPr>
        <w:t>Provisions in our amended and restated articles of incorporation and amended and restated bylaws may have the effect of delaying or preventing a change of control or changes in our management. In addition to the dual class structure of our common stock, our amended and restated articles of incorporation and amended and restated bylaws include provisions that:</w:t>
      </w:r>
    </w:p>
    <w:p>
      <w:pPr>
        <w:spacing w:after="0" w:line="41" w:lineRule="exact"/>
        <w:rPr>
          <w:sz w:val="20"/>
          <w:szCs w:val="20"/>
          <w:color w:val="auto"/>
        </w:rPr>
      </w:pPr>
    </w:p>
    <w:p>
      <w:pPr>
        <w:ind w:left="980" w:right="800" w:hanging="496"/>
        <w:spacing w:after="0" w:line="276" w:lineRule="auto"/>
        <w:tabs>
          <w:tab w:leader="none" w:pos="980" w:val="left"/>
        </w:tabs>
        <w:numPr>
          <w:ilvl w:val="0"/>
          <w:numId w:val="18"/>
        </w:numPr>
        <w:rPr>
          <w:rFonts w:ascii="Arial" w:cs="Arial" w:eastAsia="Arial" w:hAnsi="Arial"/>
          <w:sz w:val="16"/>
          <w:szCs w:val="16"/>
          <w:color w:val="1E1E1E"/>
        </w:rPr>
      </w:pPr>
      <w:r>
        <w:rPr>
          <w:rFonts w:ascii="Times New Roman" w:cs="Times New Roman" w:eastAsia="Times New Roman" w:hAnsi="Times New Roman"/>
          <w:sz w:val="20"/>
          <w:szCs w:val="20"/>
          <w:color w:val="1E1E1E"/>
        </w:rPr>
        <w:t>permit the board of directors to establish the number of directors and fill any vacancies and newly created directorships;</w:t>
      </w:r>
    </w:p>
    <w:p>
      <w:pPr>
        <w:spacing w:after="0" w:line="27" w:lineRule="exact"/>
        <w:rPr>
          <w:rFonts w:ascii="Arial" w:cs="Arial" w:eastAsia="Arial" w:hAnsi="Arial"/>
          <w:sz w:val="16"/>
          <w:szCs w:val="16"/>
          <w:color w:val="1E1E1E"/>
        </w:rPr>
      </w:pPr>
    </w:p>
    <w:p>
      <w:pPr>
        <w:ind w:left="980" w:right="640" w:hanging="496"/>
        <w:spacing w:after="0" w:line="281" w:lineRule="auto"/>
        <w:tabs>
          <w:tab w:leader="none" w:pos="980" w:val="left"/>
        </w:tabs>
        <w:numPr>
          <w:ilvl w:val="0"/>
          <w:numId w:val="18"/>
        </w:numPr>
        <w:rPr>
          <w:rFonts w:ascii="Arial" w:cs="Arial" w:eastAsia="Arial" w:hAnsi="Arial"/>
          <w:sz w:val="16"/>
          <w:szCs w:val="16"/>
          <w:color w:val="1E1E1E"/>
        </w:rPr>
      </w:pPr>
      <w:r>
        <w:rPr>
          <w:rFonts w:ascii="Times New Roman" w:cs="Times New Roman" w:eastAsia="Times New Roman" w:hAnsi="Times New Roman"/>
          <w:sz w:val="20"/>
          <w:szCs w:val="20"/>
          <w:color w:val="1E1E1E"/>
        </w:rPr>
        <w:t>authorize the issuance of “blank check” preferred stock that our board of directors could use to implement a shareholder rights plan;</w:t>
      </w:r>
    </w:p>
    <w:p>
      <w:pPr>
        <w:spacing w:after="0" w:line="23" w:lineRule="exact"/>
        <w:rPr>
          <w:rFonts w:ascii="Arial" w:cs="Arial" w:eastAsia="Arial" w:hAnsi="Arial"/>
          <w:sz w:val="16"/>
          <w:szCs w:val="16"/>
          <w:color w:val="1E1E1E"/>
        </w:rPr>
      </w:pPr>
    </w:p>
    <w:p>
      <w:pPr>
        <w:ind w:left="980" w:hanging="496"/>
        <w:spacing w:after="0"/>
        <w:tabs>
          <w:tab w:leader="none" w:pos="980" w:val="left"/>
        </w:tabs>
        <w:numPr>
          <w:ilvl w:val="0"/>
          <w:numId w:val="18"/>
        </w:numPr>
        <w:rPr>
          <w:rFonts w:ascii="Arial" w:cs="Arial" w:eastAsia="Arial" w:hAnsi="Arial"/>
          <w:sz w:val="16"/>
          <w:szCs w:val="16"/>
          <w:color w:val="1E1E1E"/>
        </w:rPr>
      </w:pPr>
      <w:r>
        <w:rPr>
          <w:rFonts w:ascii="Times New Roman" w:cs="Times New Roman" w:eastAsia="Times New Roman" w:hAnsi="Times New Roman"/>
          <w:sz w:val="20"/>
          <w:szCs w:val="20"/>
          <w:color w:val="1E1E1E"/>
        </w:rPr>
        <w:t>provide that the board of directors is expressly authorized to make, alter or repeal our bylaws; and</w:t>
      </w:r>
    </w:p>
    <w:p>
      <w:pPr>
        <w:spacing w:after="0" w:line="101" w:lineRule="exact"/>
        <w:rPr>
          <w:rFonts w:ascii="Arial" w:cs="Arial" w:eastAsia="Arial" w:hAnsi="Arial"/>
          <w:sz w:val="16"/>
          <w:szCs w:val="16"/>
          <w:color w:val="1E1E1E"/>
        </w:rPr>
      </w:pPr>
    </w:p>
    <w:p>
      <w:pPr>
        <w:ind w:left="980" w:right="600" w:hanging="496"/>
        <w:spacing w:after="0" w:line="276" w:lineRule="auto"/>
        <w:tabs>
          <w:tab w:leader="none" w:pos="980" w:val="left"/>
        </w:tabs>
        <w:numPr>
          <w:ilvl w:val="0"/>
          <w:numId w:val="18"/>
        </w:numPr>
        <w:rPr>
          <w:rFonts w:ascii="Arial" w:cs="Arial" w:eastAsia="Arial" w:hAnsi="Arial"/>
          <w:sz w:val="16"/>
          <w:szCs w:val="16"/>
          <w:color w:val="1E1E1E"/>
        </w:rPr>
      </w:pPr>
      <w:r>
        <w:rPr>
          <w:rFonts w:ascii="Times New Roman" w:cs="Times New Roman" w:eastAsia="Times New Roman" w:hAnsi="Times New Roman"/>
          <w:sz w:val="20"/>
          <w:szCs w:val="20"/>
          <w:color w:val="1E1E1E"/>
        </w:rPr>
        <w:t>establish advance notice requirements for nominations for election to our board of directors or for proposing matters that can be acted upon by shareholders at annual or special shareholder meetings.</w:t>
      </w:r>
    </w:p>
    <w:p>
      <w:pPr>
        <w:spacing w:after="0" w:line="129"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These provisions may frustrate or prevent any attempts by our shareholders to replace or remove our current management by making it more difficult for shareholders to replace members of our board of directors, which is responsible for appointing the members of our management. In addition, because we are incorporated in Wisconsin, the Wisconsin control share acquisition statute and Wisconsin’s “business combination” provisions would apply and limit the ability of an acquiring person to engage in certain transactions or to exercise full voting power of acquired shares under certain circumstances. As a result, offers to acquire us, which may represent a premium over the available market price of our Class B common stock, may be withdrawn or otherwise fail to be realized.</w:t>
      </w:r>
    </w:p>
    <w:p>
      <w:pPr>
        <w:sectPr>
          <w:pgSz w:w="11880" w:h="15480" w:orient="portrait"/>
          <w:cols w:equalWidth="0" w:num="1">
            <w:col w:w="10240"/>
          </w:cols>
          <w:pgMar w:left="820" w:top="877" w:right="820" w:bottom="0"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21</w:t>
      </w:r>
    </w:p>
    <w:p>
      <w:pPr>
        <w:sectPr>
          <w:pgSz w:w="11880" w:h="15480" w:orient="portrait"/>
          <w:cols w:equalWidth="0" w:num="1">
            <w:col w:w="10240"/>
          </w:cols>
          <w:pgMar w:left="820" w:top="877" w:right="820" w:bottom="0" w:gutter="0" w:footer="0" w:header="0"/>
          <w:type w:val="continuous"/>
        </w:sectPr>
      </w:pPr>
    </w:p>
    <w:bookmarkStart w:id="27" w:name="page28"/>
    <w:bookmarkEnd w:id="27"/>
    <w:p>
      <w:pPr>
        <w:spacing w:after="0"/>
        <w:tabs>
          <w:tab w:leader="none" w:pos="1120" w:val="left"/>
        </w:tabs>
        <w:rPr>
          <w:sz w:val="20"/>
          <w:szCs w:val="20"/>
          <w:color w:val="auto"/>
        </w:rPr>
      </w:pPr>
      <w:r>
        <w:rPr>
          <w:rFonts w:ascii="Times New Roman" w:cs="Times New Roman" w:eastAsia="Times New Roman" w:hAnsi="Times New Roman"/>
          <w:sz w:val="20"/>
          <w:szCs w:val="20"/>
          <w:color w:val="1E1E1E"/>
        </w:rPr>
        <w:t>ITEM 1B.</w:t>
      </w:r>
      <w:r>
        <w:rPr>
          <w:sz w:val="20"/>
          <w:szCs w:val="20"/>
          <w:color w:val="auto"/>
        </w:rPr>
        <w:tab/>
      </w:r>
      <w:r>
        <w:rPr>
          <w:rFonts w:ascii="Times New Roman" w:cs="Times New Roman" w:eastAsia="Times New Roman" w:hAnsi="Times New Roman"/>
          <w:sz w:val="20"/>
          <w:szCs w:val="20"/>
          <w:color w:val="1E1E1E"/>
        </w:rPr>
        <w:t>UNRESOLVED STAFF COMMENTS</w:t>
      </w:r>
    </w:p>
    <w:p>
      <w:pPr>
        <w:sectPr>
          <w:pgSz w:w="11880" w:h="15480" w:orient="portrait"/>
          <w:cols w:equalWidth="0" w:num="1">
            <w:col w:w="9620"/>
          </w:cols>
          <w:pgMar w:left="820" w:top="1175" w:right="1440" w:bottom="0" w:gutter="0" w:footer="0" w:header="0"/>
        </w:sectPr>
      </w:pPr>
    </w:p>
    <w:p>
      <w:pPr>
        <w:spacing w:after="0" w:line="2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1E1E1E"/>
        </w:rPr>
        <w:t>None.</w:t>
      </w:r>
    </w:p>
    <w:p>
      <w:pPr>
        <w:sectPr>
          <w:pgSz w:w="11880" w:h="15480" w:orient="portrait"/>
          <w:cols w:equalWidth="0" w:num="1">
            <w:col w:w="9620"/>
          </w:cols>
          <w:pgMar w:left="820" w:top="117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color w:val="1E1E1E"/>
        </w:rPr>
        <w:t>22</w:t>
      </w:r>
    </w:p>
    <w:p>
      <w:pPr>
        <w:sectPr>
          <w:pgSz w:w="11880" w:h="15480" w:orient="portrait"/>
          <w:cols w:equalWidth="0" w:num="1">
            <w:col w:w="9620"/>
          </w:cols>
          <w:pgMar w:left="820" w:top="1175" w:right="1440" w:bottom="0" w:gutter="0" w:footer="0" w:header="0"/>
          <w:type w:val="continuous"/>
        </w:sectPr>
      </w:pPr>
    </w:p>
    <w:bookmarkStart w:id="28" w:name="page29"/>
    <w:bookmarkEnd w:id="28"/>
    <w:p>
      <w:pPr>
        <w:ind w:left="6"/>
        <w:spacing w:after="0"/>
        <w:tabs>
          <w:tab w:leader="none" w:pos="1126" w:val="left"/>
        </w:tabs>
        <w:rPr>
          <w:sz w:val="20"/>
          <w:szCs w:val="20"/>
          <w:color w:val="auto"/>
        </w:rPr>
      </w:pPr>
      <w:r>
        <w:rPr>
          <w:rFonts w:ascii="Times New Roman" w:cs="Times New Roman" w:eastAsia="Times New Roman" w:hAnsi="Times New Roman"/>
          <w:sz w:val="20"/>
          <w:szCs w:val="20"/>
          <w:color w:val="1E1E1E"/>
        </w:rPr>
        <w:t>ITEM 1C.</w:t>
      </w:r>
      <w:r>
        <w:rPr>
          <w:sz w:val="20"/>
          <w:szCs w:val="20"/>
          <w:color w:val="auto"/>
        </w:rPr>
        <w:tab/>
      </w:r>
      <w:r>
        <w:rPr>
          <w:rFonts w:ascii="Times New Roman" w:cs="Times New Roman" w:eastAsia="Times New Roman" w:hAnsi="Times New Roman"/>
          <w:sz w:val="19"/>
          <w:szCs w:val="19"/>
          <w:color w:val="1E1E1E"/>
        </w:rPr>
        <w:t>CYBERSECURITY</w:t>
      </w:r>
    </w:p>
    <w:p>
      <w:pPr>
        <w:spacing w:after="0" w:line="274" w:lineRule="exact"/>
        <w:rPr>
          <w:sz w:val="20"/>
          <w:szCs w:val="20"/>
          <w:color w:val="auto"/>
        </w:rPr>
      </w:pPr>
    </w:p>
    <w:p>
      <w:pPr>
        <w:ind w:left="6" w:right="200" w:firstLine="722"/>
        <w:spacing w:after="0" w:line="253" w:lineRule="auto"/>
        <w:rPr>
          <w:sz w:val="20"/>
          <w:szCs w:val="20"/>
          <w:color w:val="auto"/>
        </w:rPr>
      </w:pPr>
      <w:r>
        <w:rPr>
          <w:rFonts w:ascii="Times New Roman" w:cs="Times New Roman" w:eastAsia="Times New Roman" w:hAnsi="Times New Roman"/>
          <w:sz w:val="19"/>
          <w:szCs w:val="19"/>
          <w:color w:val="1E1E1E"/>
        </w:rPr>
        <w:t>We believe cybersecurity is critical to advancing our “Big Dam Blueprint” vision and recognize the importance of assessing, identifying and managing material risks associated with cybersecurity threats defined in Item 106(a) of Regulation S-K. These risks include, among others described in our risk factor disclosures in Item 1A of this Annual Report on Form 10-</w:t>
      </w:r>
    </w:p>
    <w:p>
      <w:pPr>
        <w:ind w:left="6" w:right="80" w:hanging="6"/>
        <w:spacing w:after="0" w:line="281" w:lineRule="auto"/>
        <w:tabs>
          <w:tab w:leader="none" w:pos="256" w:val="left"/>
        </w:tabs>
        <w:numPr>
          <w:ilvl w:val="0"/>
          <w:numId w:val="1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operational risks, fraud, harm to employees or customers and violation of data privacy or security laws. These cybersecurity risks make it necessary that we incur significant expenditures on cybersecurity.</w:t>
      </w:r>
    </w:p>
    <w:p>
      <w:pPr>
        <w:spacing w:after="0" w:line="193"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1E1E1E"/>
        </w:rPr>
        <w:t>Cybersecurity Governance</w:t>
      </w:r>
    </w:p>
    <w:p>
      <w:pPr>
        <w:spacing w:after="0" w:line="277" w:lineRule="exact"/>
        <w:rPr>
          <w:sz w:val="20"/>
          <w:szCs w:val="20"/>
          <w:color w:val="auto"/>
        </w:rPr>
      </w:pPr>
    </w:p>
    <w:p>
      <w:pPr>
        <w:ind w:left="6" w:right="20" w:firstLine="722"/>
        <w:spacing w:after="0" w:line="252" w:lineRule="auto"/>
        <w:rPr>
          <w:sz w:val="20"/>
          <w:szCs w:val="20"/>
          <w:color w:val="auto"/>
        </w:rPr>
      </w:pPr>
      <w:r>
        <w:rPr>
          <w:rFonts w:ascii="Times New Roman" w:cs="Times New Roman" w:eastAsia="Times New Roman" w:hAnsi="Times New Roman"/>
          <w:sz w:val="20"/>
          <w:szCs w:val="20"/>
          <w:color w:val="1E1E1E"/>
        </w:rPr>
        <w:t>Our audit committee of our board of directors is formally charged with oversight of cybersecurity risk. This includes reviewing the Company’s cybersecurity and other information technology risks, controls and procedures, including a high-level review of the threat landscape facing the Company and the Company’s strategy to mitigate cybersecurity risks and potential breaches, and the Company’s plan to respond to data breaches.</w:t>
      </w:r>
    </w:p>
    <w:p>
      <w:pPr>
        <w:spacing w:after="0" w:line="205" w:lineRule="exact"/>
        <w:rPr>
          <w:sz w:val="20"/>
          <w:szCs w:val="20"/>
          <w:color w:val="auto"/>
        </w:rPr>
      </w:pPr>
    </w:p>
    <w:p>
      <w:pPr>
        <w:ind w:left="6" w:right="80" w:firstLine="722"/>
        <w:spacing w:after="0" w:line="245" w:lineRule="auto"/>
        <w:rPr>
          <w:sz w:val="20"/>
          <w:szCs w:val="20"/>
          <w:color w:val="auto"/>
        </w:rPr>
      </w:pPr>
      <w:r>
        <w:rPr>
          <w:rFonts w:ascii="Times New Roman" w:cs="Times New Roman" w:eastAsia="Times New Roman" w:hAnsi="Times New Roman"/>
          <w:sz w:val="20"/>
          <w:szCs w:val="20"/>
          <w:color w:val="1E1E1E"/>
        </w:rPr>
        <w:t>Identifying and assessing our cybersecurity risk is integrated into our overall risk management systems and processes. As part of our program, our internal audit team facilitates an annual risk assessment that includes assessing cybersecurity and other technology risks. The results are shared with the board of directors during a regular board meeting. In addition, a quarterly cyber risk assessment process run by our information technology team, including our chief technology officer, is shared with the audit committee. The chair of the audit committee reports on significant cybersecurity updates to the full board of directors during executive sessions of our quarterly meetings. Our audit committee members also engage in conversations throughout the year with management on cybersecurity events and discuss any updates to our cybersecurity processes, systems and programs.</w:t>
      </w:r>
    </w:p>
    <w:p>
      <w:pPr>
        <w:spacing w:after="0" w:line="234" w:lineRule="exact"/>
        <w:rPr>
          <w:sz w:val="20"/>
          <w:szCs w:val="20"/>
          <w:color w:val="auto"/>
        </w:rPr>
      </w:pPr>
    </w:p>
    <w:p>
      <w:pPr>
        <w:ind w:left="6" w:right="220" w:firstLine="722"/>
        <w:spacing w:after="0" w:line="254" w:lineRule="auto"/>
        <w:rPr>
          <w:sz w:val="20"/>
          <w:szCs w:val="20"/>
          <w:color w:val="auto"/>
        </w:rPr>
      </w:pPr>
      <w:r>
        <w:rPr>
          <w:rFonts w:ascii="Times New Roman" w:cs="Times New Roman" w:eastAsia="Times New Roman" w:hAnsi="Times New Roman"/>
          <w:sz w:val="20"/>
          <w:szCs w:val="20"/>
          <w:color w:val="1E1E1E"/>
        </w:rPr>
        <w:t>Our cybersecurity risk management processes are overseen by leaders from our information technology, compliance and legal teams. Our chief technology officer has over 30 years of experience leading information technology organizations. Other individual leaders within these teams have on average over 20 years of experience in roles involving information technology, including security and compliance.</w:t>
      </w:r>
    </w:p>
    <w:p>
      <w:pPr>
        <w:spacing w:after="0" w:line="2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1E1E1E"/>
        </w:rPr>
        <w:t>Cybersecurity Risk Management and Strategy</w:t>
      </w:r>
    </w:p>
    <w:p>
      <w:pPr>
        <w:spacing w:after="0" w:line="373" w:lineRule="exact"/>
        <w:rPr>
          <w:sz w:val="20"/>
          <w:szCs w:val="20"/>
          <w:color w:val="auto"/>
        </w:rPr>
      </w:pPr>
    </w:p>
    <w:p>
      <w:pPr>
        <w:jc w:val="both"/>
        <w:ind w:left="6" w:firstLine="722"/>
        <w:spacing w:after="0" w:line="257" w:lineRule="auto"/>
        <w:rPr>
          <w:sz w:val="20"/>
          <w:szCs w:val="20"/>
          <w:color w:val="auto"/>
        </w:rPr>
      </w:pPr>
      <w:r>
        <w:rPr>
          <w:rFonts w:ascii="Times New Roman" w:cs="Times New Roman" w:eastAsia="Times New Roman" w:hAnsi="Times New Roman"/>
          <w:sz w:val="19"/>
          <w:szCs w:val="19"/>
          <w:color w:val="1E1E1E"/>
        </w:rPr>
        <w:t>We have implemented several measures to identify and assess our cybersecurity threats. We self-assess maturity levels along with areas of risk for the cyber kill chain using the ISO/IEC 33004:2015 Process Maturity Model. Within this model, our risk dashboard is continually assessed based on eight key initiatives: reconnaissance, intrusion, exploitation, privilege escalation, lateral movement, obfuscation/anti-forensics, denial of service and exfiltration. Along with this model, we engage and utilize various third parties to measure risk profiles of ourselves and vendors, security threats specific to our Company both internal and external through multiple avenues such as our website and social media and perform periodic penetration tests on Company systems to identify cybersecurity risks and threats to the Company. These evaluations include testing both the design and operational effectiveness of security controls. We recognize a cybersecurity incident experienced by a supplier or vendor could materially impact us. We assess third party cybersecurity controls as part of our third-party information technology risk when integrating new tools or third parties. We contractually require third parties to report cybersecurity incidents, if applicable, to us so we can assess the impact of the incident and any necessary regulatory reporting obligations that may be required. Additionally, as part of the contract management process, new information technology vendors are subject to a cybersecurity review by the information technology team and include cybersecurity and data privacy language, if applicable, in contracts.</w:t>
      </w:r>
    </w:p>
    <w:p>
      <w:pPr>
        <w:spacing w:after="0" w:line="203" w:lineRule="exact"/>
        <w:rPr>
          <w:sz w:val="20"/>
          <w:szCs w:val="20"/>
          <w:color w:val="auto"/>
        </w:rPr>
      </w:pPr>
    </w:p>
    <w:p>
      <w:pPr>
        <w:ind w:left="6" w:right="60" w:firstLine="722"/>
        <w:spacing w:after="0" w:line="252" w:lineRule="auto"/>
        <w:rPr>
          <w:sz w:val="20"/>
          <w:szCs w:val="20"/>
          <w:color w:val="auto"/>
        </w:rPr>
      </w:pPr>
      <w:r>
        <w:rPr>
          <w:rFonts w:ascii="Times New Roman" w:cs="Times New Roman" w:eastAsia="Times New Roman" w:hAnsi="Times New Roman"/>
          <w:sz w:val="20"/>
          <w:szCs w:val="20"/>
          <w:color w:val="1E1E1E"/>
        </w:rPr>
        <w:t>Training of employees, utilization of incident response plans, payment card industry audits, and SOX testing are all processes by which we seek to prevent, detect, mitigate and remediate cybersecurity incidents. In the event of a security or data incident, the impact is evaluated, ranked by severity, and prioritized for remediation. Incidents deemed to have a moderate or higher business impact, even if immaterial to the Company, are reported to the audit committee.</w:t>
      </w:r>
    </w:p>
    <w:p>
      <w:pPr>
        <w:spacing w:after="0" w:line="224" w:lineRule="exact"/>
        <w:rPr>
          <w:sz w:val="20"/>
          <w:szCs w:val="20"/>
          <w:color w:val="auto"/>
        </w:rPr>
      </w:pPr>
    </w:p>
    <w:p>
      <w:pPr>
        <w:ind w:left="6" w:right="220" w:firstLine="722"/>
        <w:spacing w:after="0" w:line="261" w:lineRule="auto"/>
        <w:rPr>
          <w:sz w:val="20"/>
          <w:szCs w:val="20"/>
          <w:color w:val="auto"/>
        </w:rPr>
      </w:pPr>
      <w:r>
        <w:rPr>
          <w:rFonts w:ascii="Times New Roman" w:cs="Times New Roman" w:eastAsia="Times New Roman" w:hAnsi="Times New Roman"/>
          <w:sz w:val="20"/>
          <w:szCs w:val="20"/>
          <w:color w:val="1E1E1E"/>
        </w:rPr>
        <w:t>Notwithstanding our risk management efforts related to cybersecurity, we may not be successful in preventing or mitigating a cybersecurity incident that could have a material or other adverse effect on us. See Item 1A. “Risk Factors” for a discussion of our information technology and cybersecurity risks.</w:t>
      </w:r>
    </w:p>
    <w:p>
      <w:pPr>
        <w:spacing w:after="0" w:line="214" w:lineRule="exact"/>
        <w:rPr>
          <w:sz w:val="20"/>
          <w:szCs w:val="20"/>
          <w:color w:val="auto"/>
        </w:rPr>
      </w:pPr>
    </w:p>
    <w:p>
      <w:pPr>
        <w:ind w:left="6" w:right="280" w:firstLine="722"/>
        <w:spacing w:after="0" w:line="281" w:lineRule="auto"/>
        <w:rPr>
          <w:sz w:val="20"/>
          <w:szCs w:val="20"/>
          <w:color w:val="auto"/>
        </w:rPr>
      </w:pPr>
      <w:r>
        <w:rPr>
          <w:rFonts w:ascii="Times New Roman" w:cs="Times New Roman" w:eastAsia="Times New Roman" w:hAnsi="Times New Roman"/>
          <w:sz w:val="20"/>
          <w:szCs w:val="20"/>
          <w:color w:val="1E1E1E"/>
        </w:rPr>
        <w:t>In fiscal 2024, we did not identify any cybersecurity threats that have materially affected or are reasonably likely to materially affect our business strategy, results of operations or financial condition.</w:t>
      </w:r>
    </w:p>
    <w:p>
      <w:pPr>
        <w:sectPr>
          <w:pgSz w:w="11880" w:h="15480" w:orient="portrait"/>
          <w:cols w:equalWidth="0" w:num="1">
            <w:col w:w="10246"/>
          </w:cols>
          <w:pgMar w:left="814" w:top="877" w:right="820" w:bottom="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1E1E1E"/>
        </w:rPr>
        <w:t>23</w:t>
      </w:r>
    </w:p>
    <w:p>
      <w:pPr>
        <w:sectPr>
          <w:pgSz w:w="11880" w:h="15480" w:orient="portrait"/>
          <w:cols w:equalWidth="0" w:num="1">
            <w:col w:w="10246"/>
          </w:cols>
          <w:pgMar w:left="814" w:top="877" w:right="820" w:bottom="0" w:gutter="0" w:footer="0" w:header="0"/>
          <w:type w:val="continuous"/>
        </w:sectPr>
      </w:pPr>
    </w:p>
    <w:bookmarkStart w:id="29" w:name="page30"/>
    <w:bookmarkEnd w:id="29"/>
    <w:p>
      <w:pPr>
        <w:spacing w:after="0"/>
        <w:tabs>
          <w:tab w:leader="none" w:pos="1140" w:val="left"/>
        </w:tabs>
        <w:rPr>
          <w:sz w:val="20"/>
          <w:szCs w:val="20"/>
          <w:color w:val="auto"/>
        </w:rPr>
      </w:pPr>
      <w:r>
        <w:rPr>
          <w:rFonts w:ascii="Times New Roman" w:cs="Times New Roman" w:eastAsia="Times New Roman" w:hAnsi="Times New Roman"/>
          <w:sz w:val="20"/>
          <w:szCs w:val="20"/>
          <w:color w:val="1E1E1E"/>
        </w:rPr>
        <w:t>ITEM 2.</w:t>
      </w:r>
      <w:r>
        <w:rPr>
          <w:sz w:val="20"/>
          <w:szCs w:val="20"/>
          <w:color w:val="auto"/>
        </w:rPr>
        <w:tab/>
      </w:r>
      <w:r>
        <w:rPr>
          <w:rFonts w:ascii="Times New Roman" w:cs="Times New Roman" w:eastAsia="Times New Roman" w:hAnsi="Times New Roman"/>
          <w:sz w:val="20"/>
          <w:szCs w:val="20"/>
          <w:color w:val="1E1E1E"/>
        </w:rPr>
        <w:t>PROPERTIES</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E1E1E"/>
        </w:rPr>
        <w:t>The following table sets forth the location, primary use and size of our leased and owned facilities as of February 2, 2025.</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36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8"/>
                <w:szCs w:val="18"/>
                <w:b w:val="1"/>
                <w:bCs w:val="1"/>
                <w:color w:val="1E1E1E"/>
              </w:rPr>
              <w:t>Location</w:t>
            </w:r>
          </w:p>
        </w:tc>
        <w:tc>
          <w:tcPr>
            <w:tcW w:w="120" w:type="dxa"/>
            <w:vAlign w:val="bottom"/>
          </w:tcPr>
          <w:p>
            <w:pPr>
              <w:spacing w:after="0"/>
              <w:rPr>
                <w:sz w:val="20"/>
                <w:szCs w:val="20"/>
                <w:color w:val="auto"/>
              </w:rPr>
            </w:pPr>
          </w:p>
        </w:tc>
        <w:tc>
          <w:tcPr>
            <w:tcW w:w="1620" w:type="dxa"/>
            <w:vAlign w:val="bottom"/>
            <w:tcBorders>
              <w:bottom w:val="single" w:sz="8" w:color="1E1E1E"/>
            </w:tcBorders>
          </w:tcPr>
          <w:p>
            <w:pPr>
              <w:jc w:val="center"/>
              <w:ind w:left="129"/>
              <w:spacing w:after="0"/>
              <w:rPr>
                <w:sz w:val="20"/>
                <w:szCs w:val="20"/>
                <w:color w:val="auto"/>
              </w:rPr>
            </w:pPr>
            <w:r>
              <w:rPr>
                <w:rFonts w:ascii="Times New Roman" w:cs="Times New Roman" w:eastAsia="Times New Roman" w:hAnsi="Times New Roman"/>
                <w:sz w:val="18"/>
                <w:szCs w:val="18"/>
                <w:b w:val="1"/>
                <w:bCs w:val="1"/>
                <w:color w:val="1E1E1E"/>
                <w:w w:val="99"/>
              </w:rPr>
              <w:t>Number of Stores</w:t>
            </w:r>
          </w:p>
        </w:tc>
        <w:tc>
          <w:tcPr>
            <w:tcW w:w="220" w:type="dxa"/>
            <w:vAlign w:val="bottom"/>
            <w:tcBorders>
              <w:bottom w:val="single" w:sz="8" w:color="1E1E1E"/>
            </w:tcBorders>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8"/>
                <w:szCs w:val="18"/>
                <w:b w:val="1"/>
                <w:bCs w:val="1"/>
                <w:color w:val="1E1E1E"/>
              </w:rPr>
              <w:t>Primary Use</w:t>
            </w:r>
          </w:p>
        </w:tc>
        <w:tc>
          <w:tcPr>
            <w:tcW w:w="120" w:type="dxa"/>
            <w:vAlign w:val="bottom"/>
          </w:tcPr>
          <w:p>
            <w:pPr>
              <w:spacing w:after="0"/>
              <w:rPr>
                <w:sz w:val="20"/>
                <w:szCs w:val="20"/>
                <w:color w:val="auto"/>
              </w:rPr>
            </w:pPr>
          </w:p>
        </w:tc>
        <w:tc>
          <w:tcPr>
            <w:tcW w:w="1320" w:type="dxa"/>
            <w:vAlign w:val="bottom"/>
            <w:tcBorders>
              <w:bottom w:val="single" w:sz="8" w:color="1E1E1E"/>
            </w:tcBorders>
          </w:tcPr>
          <w:p>
            <w:pPr>
              <w:ind w:left="200"/>
              <w:spacing w:after="0"/>
              <w:rPr>
                <w:sz w:val="20"/>
                <w:szCs w:val="20"/>
                <w:color w:val="auto"/>
              </w:rPr>
            </w:pPr>
            <w:r>
              <w:rPr>
                <w:rFonts w:ascii="Times New Roman" w:cs="Times New Roman" w:eastAsia="Times New Roman" w:hAnsi="Times New Roman"/>
                <w:sz w:val="18"/>
                <w:szCs w:val="18"/>
                <w:b w:val="1"/>
                <w:bCs w:val="1"/>
                <w:color w:val="1E1E1E"/>
              </w:rPr>
              <w:t>Gross Sq Ft</w:t>
            </w:r>
          </w:p>
        </w:tc>
        <w:tc>
          <w:tcPr>
            <w:tcW w:w="120" w:type="dxa"/>
            <w:vAlign w:val="bottom"/>
          </w:tcPr>
          <w:p>
            <w:pPr>
              <w:spacing w:after="0"/>
              <w:rPr>
                <w:sz w:val="20"/>
                <w:szCs w:val="20"/>
                <w:color w:val="auto"/>
              </w:rPr>
            </w:pPr>
          </w:p>
        </w:tc>
        <w:tc>
          <w:tcPr>
            <w:tcW w:w="154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8"/>
                <w:szCs w:val="18"/>
                <w:b w:val="1"/>
                <w:bCs w:val="1"/>
                <w:color w:val="1E1E1E"/>
                <w:w w:val="99"/>
              </w:rPr>
              <w:t>Leased/Owned</w:t>
            </w:r>
          </w:p>
        </w:tc>
      </w:tr>
      <w:tr>
        <w:trPr>
          <w:trHeight w:val="206"/>
        </w:trPr>
        <w:tc>
          <w:tcPr>
            <w:tcW w:w="2360" w:type="dxa"/>
            <w:vAlign w:val="bottom"/>
            <w:tcBorders>
              <w:bottom w:val="single" w:sz="8" w:color="1E1E1E"/>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1620" w:type="dxa"/>
            <w:vAlign w:val="bottom"/>
            <w:tcBorders>
              <w:bottom w:val="single" w:sz="8" w:color="1E1E1E"/>
            </w:tcBorders>
          </w:tcPr>
          <w:p>
            <w:pPr>
              <w:spacing w:after="0"/>
              <w:rPr>
                <w:sz w:val="17"/>
                <w:szCs w:val="17"/>
                <w:color w:val="auto"/>
              </w:rPr>
            </w:pPr>
          </w:p>
        </w:tc>
        <w:tc>
          <w:tcPr>
            <w:tcW w:w="220" w:type="dxa"/>
            <w:vAlign w:val="bottom"/>
            <w:tcBorders>
              <w:bottom w:val="single" w:sz="8" w:color="1E1E1E"/>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2700" w:type="dxa"/>
            <w:vAlign w:val="bottom"/>
            <w:tcBorders>
              <w:bottom w:val="single" w:sz="8" w:color="1E1E1E"/>
            </w:tcBorders>
          </w:tcPr>
          <w:p>
            <w:pPr>
              <w:jc w:val="center"/>
              <w:ind w:right="1249"/>
              <w:spacing w:after="0" w:line="206" w:lineRule="exact"/>
              <w:rPr>
                <w:sz w:val="20"/>
                <w:szCs w:val="20"/>
                <w:color w:val="auto"/>
              </w:rPr>
            </w:pPr>
            <w:r>
              <w:rPr>
                <w:rFonts w:ascii="Times New Roman" w:cs="Times New Roman" w:eastAsia="Times New Roman" w:hAnsi="Times New Roman"/>
                <w:sz w:val="18"/>
                <w:szCs w:val="18"/>
                <w:b w:val="1"/>
                <w:bCs w:val="1"/>
                <w:color w:val="1E1E1E"/>
              </w:rPr>
              <w:t>Retail Stores</w:t>
            </w:r>
          </w:p>
        </w:tc>
        <w:tc>
          <w:tcPr>
            <w:tcW w:w="120" w:type="dxa"/>
            <w:vAlign w:val="bottom"/>
            <w:tcBorders>
              <w:bottom w:val="single" w:sz="8" w:color="1E1E1E"/>
            </w:tcBorders>
          </w:tcPr>
          <w:p>
            <w:pPr>
              <w:spacing w:after="0"/>
              <w:rPr>
                <w:sz w:val="17"/>
                <w:szCs w:val="17"/>
                <w:color w:val="auto"/>
              </w:rPr>
            </w:pPr>
          </w:p>
        </w:tc>
        <w:tc>
          <w:tcPr>
            <w:tcW w:w="1320" w:type="dxa"/>
            <w:vAlign w:val="bottom"/>
            <w:tcBorders>
              <w:bottom w:val="single" w:sz="8" w:color="1E1E1E"/>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1540" w:type="dxa"/>
            <w:vAlign w:val="bottom"/>
            <w:tcBorders>
              <w:bottom w:val="single" w:sz="8" w:color="1E1E1E"/>
            </w:tcBorders>
          </w:tcPr>
          <w:p>
            <w:pPr>
              <w:spacing w:after="0"/>
              <w:rPr>
                <w:sz w:val="17"/>
                <w:szCs w:val="17"/>
                <w:color w:val="auto"/>
              </w:rPr>
            </w:pPr>
          </w:p>
        </w:tc>
      </w:tr>
      <w:tr>
        <w:trPr>
          <w:trHeight w:val="206"/>
        </w:trPr>
        <w:tc>
          <w:tcPr>
            <w:tcW w:w="2360" w:type="dxa"/>
            <w:vAlign w:val="bottom"/>
            <w:shd w:val="clear" w:color="auto" w:fill="E2E2E2"/>
          </w:tcPr>
          <w:p>
            <w:pPr>
              <w:spacing w:after="0" w:line="206" w:lineRule="exact"/>
              <w:rPr>
                <w:sz w:val="20"/>
                <w:szCs w:val="20"/>
                <w:color w:val="auto"/>
              </w:rPr>
            </w:pPr>
            <w:r>
              <w:rPr>
                <w:rFonts w:ascii="Times New Roman" w:cs="Times New Roman" w:eastAsia="Times New Roman" w:hAnsi="Times New Roman"/>
                <w:sz w:val="18"/>
                <w:szCs w:val="18"/>
                <w:b w:val="1"/>
                <w:bCs w:val="1"/>
                <w:color w:val="1E1E1E"/>
              </w:rPr>
              <w:t>North East</w:t>
            </w:r>
          </w:p>
        </w:tc>
        <w:tc>
          <w:tcPr>
            <w:tcW w:w="120" w:type="dxa"/>
            <w:vAlign w:val="bottom"/>
            <w:shd w:val="clear" w:color="auto" w:fill="E2E2E2"/>
          </w:tcPr>
          <w:p>
            <w:pPr>
              <w:spacing w:after="0"/>
              <w:rPr>
                <w:sz w:val="17"/>
                <w:szCs w:val="17"/>
                <w:color w:val="auto"/>
              </w:rPr>
            </w:pPr>
          </w:p>
        </w:tc>
        <w:tc>
          <w:tcPr>
            <w:tcW w:w="1620" w:type="dxa"/>
            <w:vAlign w:val="bottom"/>
            <w:shd w:val="clear" w:color="auto" w:fill="E2E2E2"/>
          </w:tcPr>
          <w:p>
            <w:pPr>
              <w:spacing w:after="0"/>
              <w:rPr>
                <w:sz w:val="17"/>
                <w:szCs w:val="17"/>
                <w:color w:val="auto"/>
              </w:rPr>
            </w:pPr>
          </w:p>
        </w:tc>
        <w:tc>
          <w:tcPr>
            <w:tcW w:w="220" w:type="dxa"/>
            <w:vAlign w:val="bottom"/>
            <w:shd w:val="clear" w:color="auto" w:fill="E2E2E2"/>
          </w:tcPr>
          <w:p>
            <w:pPr>
              <w:spacing w:after="0"/>
              <w:rPr>
                <w:sz w:val="17"/>
                <w:szCs w:val="17"/>
                <w:color w:val="auto"/>
              </w:rPr>
            </w:pPr>
          </w:p>
        </w:tc>
        <w:tc>
          <w:tcPr>
            <w:tcW w:w="120" w:type="dxa"/>
            <w:vAlign w:val="bottom"/>
            <w:shd w:val="clear" w:color="auto" w:fill="E2E2E2"/>
          </w:tcPr>
          <w:p>
            <w:pPr>
              <w:spacing w:after="0"/>
              <w:rPr>
                <w:sz w:val="17"/>
                <w:szCs w:val="17"/>
                <w:color w:val="auto"/>
              </w:rPr>
            </w:pPr>
          </w:p>
        </w:tc>
        <w:tc>
          <w:tcPr>
            <w:tcW w:w="2700" w:type="dxa"/>
            <w:vAlign w:val="bottom"/>
            <w:shd w:val="clear" w:color="auto" w:fill="E2E2E2"/>
          </w:tcPr>
          <w:p>
            <w:pPr>
              <w:spacing w:after="0"/>
              <w:rPr>
                <w:sz w:val="17"/>
                <w:szCs w:val="17"/>
                <w:color w:val="auto"/>
              </w:rPr>
            </w:pPr>
          </w:p>
        </w:tc>
        <w:tc>
          <w:tcPr>
            <w:tcW w:w="120" w:type="dxa"/>
            <w:vAlign w:val="bottom"/>
            <w:shd w:val="clear" w:color="auto" w:fill="E2E2E2"/>
          </w:tcPr>
          <w:p>
            <w:pPr>
              <w:spacing w:after="0"/>
              <w:rPr>
                <w:sz w:val="17"/>
                <w:szCs w:val="17"/>
                <w:color w:val="auto"/>
              </w:rPr>
            </w:pPr>
          </w:p>
        </w:tc>
        <w:tc>
          <w:tcPr>
            <w:tcW w:w="1320" w:type="dxa"/>
            <w:vAlign w:val="bottom"/>
            <w:shd w:val="clear" w:color="auto" w:fill="E2E2E2"/>
          </w:tcPr>
          <w:p>
            <w:pPr>
              <w:spacing w:after="0"/>
              <w:rPr>
                <w:sz w:val="17"/>
                <w:szCs w:val="17"/>
                <w:color w:val="auto"/>
              </w:rPr>
            </w:pPr>
          </w:p>
        </w:tc>
        <w:tc>
          <w:tcPr>
            <w:tcW w:w="120" w:type="dxa"/>
            <w:vAlign w:val="bottom"/>
            <w:shd w:val="clear" w:color="auto" w:fill="E2E2E2"/>
          </w:tcPr>
          <w:p>
            <w:pPr>
              <w:spacing w:after="0"/>
              <w:rPr>
                <w:sz w:val="17"/>
                <w:szCs w:val="17"/>
                <w:color w:val="auto"/>
              </w:rPr>
            </w:pPr>
          </w:p>
        </w:tc>
        <w:tc>
          <w:tcPr>
            <w:tcW w:w="1540" w:type="dxa"/>
            <w:vAlign w:val="bottom"/>
            <w:shd w:val="clear" w:color="auto" w:fill="E2E2E2"/>
          </w:tcPr>
          <w:p>
            <w:pPr>
              <w:spacing w:after="0"/>
              <w:rPr>
                <w:sz w:val="17"/>
                <w:szCs w:val="17"/>
                <w:color w:val="auto"/>
              </w:rPr>
            </w:pPr>
          </w:p>
        </w:tc>
      </w:tr>
      <w:tr>
        <w:trPr>
          <w:trHeight w:val="226"/>
        </w:trPr>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1E1E1E"/>
              </w:rPr>
              <w:t>Connecticut</w:t>
            </w:r>
          </w:p>
        </w:tc>
        <w:tc>
          <w:tcPr>
            <w:tcW w:w="1740" w:type="dxa"/>
            <w:vAlign w:val="bottom"/>
            <w:gridSpan w:val="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1E1E1E"/>
                <w:w w:val="98"/>
              </w:rPr>
              <w:t>9,792</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8"/>
                <w:szCs w:val="18"/>
                <w:color w:val="1E1E1E"/>
              </w:rPr>
              <w:t>Maine</w:t>
            </w:r>
          </w:p>
        </w:tc>
        <w:tc>
          <w:tcPr>
            <w:tcW w:w="1740" w:type="dxa"/>
            <w:vAlign w:val="bottom"/>
            <w:gridSpan w:val="2"/>
            <w:shd w:val="clear" w:color="auto" w:fill="E2E2E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1</w:t>
            </w:r>
          </w:p>
        </w:tc>
        <w:tc>
          <w:tcPr>
            <w:tcW w:w="220" w:type="dxa"/>
            <w:vAlign w:val="bottom"/>
            <w:shd w:val="clear" w:color="auto" w:fill="E2E2E2"/>
          </w:tcPr>
          <w:p>
            <w:pPr>
              <w:spacing w:after="0"/>
              <w:rPr>
                <w:sz w:val="19"/>
                <w:szCs w:val="19"/>
                <w:color w:val="auto"/>
              </w:rPr>
            </w:pPr>
          </w:p>
        </w:tc>
        <w:tc>
          <w:tcPr>
            <w:tcW w:w="120" w:type="dxa"/>
            <w:vAlign w:val="bottom"/>
            <w:shd w:val="clear" w:color="auto" w:fill="E2E2E2"/>
          </w:tcPr>
          <w:p>
            <w:pPr>
              <w:spacing w:after="0"/>
              <w:rPr>
                <w:sz w:val="19"/>
                <w:szCs w:val="19"/>
                <w:color w:val="auto"/>
              </w:rPr>
            </w:pPr>
          </w:p>
        </w:tc>
        <w:tc>
          <w:tcPr>
            <w:tcW w:w="27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12,951</w:t>
            </w:r>
          </w:p>
        </w:tc>
        <w:tc>
          <w:tcPr>
            <w:tcW w:w="120" w:type="dxa"/>
            <w:vAlign w:val="bottom"/>
            <w:shd w:val="clear" w:color="auto" w:fill="E2E2E2"/>
          </w:tcPr>
          <w:p>
            <w:pPr>
              <w:spacing w:after="0"/>
              <w:rPr>
                <w:sz w:val="19"/>
                <w:szCs w:val="19"/>
                <w:color w:val="auto"/>
              </w:rPr>
            </w:pPr>
          </w:p>
        </w:tc>
        <w:tc>
          <w:tcPr>
            <w:tcW w:w="15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1E1E1E"/>
              </w:rPr>
              <w:t>Massachusetts</w:t>
            </w:r>
          </w:p>
        </w:tc>
        <w:tc>
          <w:tcPr>
            <w:tcW w:w="1740" w:type="dxa"/>
            <w:vAlign w:val="bottom"/>
            <w:gridSpan w:val="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1E1E1E"/>
              </w:rPr>
              <w:t>16,360</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8"/>
                <w:szCs w:val="18"/>
                <w:color w:val="1E1E1E"/>
              </w:rPr>
              <w:t>New Jersey</w:t>
            </w:r>
          </w:p>
        </w:tc>
        <w:tc>
          <w:tcPr>
            <w:tcW w:w="1740" w:type="dxa"/>
            <w:vAlign w:val="bottom"/>
            <w:gridSpan w:val="2"/>
            <w:shd w:val="clear" w:color="auto" w:fill="E2E2E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2</w:t>
            </w:r>
          </w:p>
        </w:tc>
        <w:tc>
          <w:tcPr>
            <w:tcW w:w="220" w:type="dxa"/>
            <w:vAlign w:val="bottom"/>
            <w:shd w:val="clear" w:color="auto" w:fill="E2E2E2"/>
          </w:tcPr>
          <w:p>
            <w:pPr>
              <w:spacing w:after="0"/>
              <w:rPr>
                <w:sz w:val="19"/>
                <w:szCs w:val="19"/>
                <w:color w:val="auto"/>
              </w:rPr>
            </w:pPr>
          </w:p>
        </w:tc>
        <w:tc>
          <w:tcPr>
            <w:tcW w:w="120" w:type="dxa"/>
            <w:vAlign w:val="bottom"/>
            <w:shd w:val="clear" w:color="auto" w:fill="E2E2E2"/>
          </w:tcPr>
          <w:p>
            <w:pPr>
              <w:spacing w:after="0"/>
              <w:rPr>
                <w:sz w:val="19"/>
                <w:szCs w:val="19"/>
                <w:color w:val="auto"/>
              </w:rPr>
            </w:pPr>
          </w:p>
        </w:tc>
        <w:tc>
          <w:tcPr>
            <w:tcW w:w="27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24,741</w:t>
            </w:r>
          </w:p>
        </w:tc>
        <w:tc>
          <w:tcPr>
            <w:tcW w:w="120" w:type="dxa"/>
            <w:vAlign w:val="bottom"/>
            <w:shd w:val="clear" w:color="auto" w:fill="E2E2E2"/>
          </w:tcPr>
          <w:p>
            <w:pPr>
              <w:spacing w:after="0"/>
              <w:rPr>
                <w:sz w:val="19"/>
                <w:szCs w:val="19"/>
                <w:color w:val="auto"/>
              </w:rPr>
            </w:pPr>
          </w:p>
        </w:tc>
        <w:tc>
          <w:tcPr>
            <w:tcW w:w="15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1"/>
        </w:trPr>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1E1E1E"/>
              </w:rPr>
              <w:t>Pennsylvania</w:t>
            </w:r>
          </w:p>
        </w:tc>
        <w:tc>
          <w:tcPr>
            <w:tcW w:w="1740" w:type="dxa"/>
            <w:vAlign w:val="bottom"/>
            <w:gridSpan w:val="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1E1E1E"/>
              </w:rPr>
              <w:t>34,945</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8"/>
                <w:szCs w:val="18"/>
                <w:color w:val="1E1E1E"/>
              </w:rPr>
              <w:t>Rhode Island</w:t>
            </w:r>
          </w:p>
        </w:tc>
        <w:tc>
          <w:tcPr>
            <w:tcW w:w="1740" w:type="dxa"/>
            <w:vAlign w:val="bottom"/>
            <w:gridSpan w:val="2"/>
            <w:shd w:val="clear" w:color="auto" w:fill="E2E2E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1</w:t>
            </w:r>
          </w:p>
        </w:tc>
        <w:tc>
          <w:tcPr>
            <w:tcW w:w="220" w:type="dxa"/>
            <w:vAlign w:val="bottom"/>
            <w:shd w:val="clear" w:color="auto" w:fill="E2E2E2"/>
          </w:tcPr>
          <w:p>
            <w:pPr>
              <w:spacing w:after="0"/>
              <w:rPr>
                <w:sz w:val="19"/>
                <w:szCs w:val="19"/>
                <w:color w:val="auto"/>
              </w:rPr>
            </w:pPr>
          </w:p>
        </w:tc>
        <w:tc>
          <w:tcPr>
            <w:tcW w:w="120" w:type="dxa"/>
            <w:vAlign w:val="bottom"/>
            <w:shd w:val="clear" w:color="auto" w:fill="E2E2E2"/>
          </w:tcPr>
          <w:p>
            <w:pPr>
              <w:spacing w:after="0"/>
              <w:rPr>
                <w:sz w:val="19"/>
                <w:szCs w:val="19"/>
                <w:color w:val="auto"/>
              </w:rPr>
            </w:pPr>
          </w:p>
        </w:tc>
        <w:tc>
          <w:tcPr>
            <w:tcW w:w="27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14,528</w:t>
            </w:r>
          </w:p>
        </w:tc>
        <w:tc>
          <w:tcPr>
            <w:tcW w:w="120" w:type="dxa"/>
            <w:vAlign w:val="bottom"/>
            <w:shd w:val="clear" w:color="auto" w:fill="E2E2E2"/>
          </w:tcPr>
          <w:p>
            <w:pPr>
              <w:spacing w:after="0"/>
              <w:rPr>
                <w:sz w:val="19"/>
                <w:szCs w:val="19"/>
                <w:color w:val="auto"/>
              </w:rPr>
            </w:pPr>
          </w:p>
        </w:tc>
        <w:tc>
          <w:tcPr>
            <w:tcW w:w="15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1E1E1E"/>
              </w:rPr>
              <w:t>Midwest</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6"/>
        </w:trPr>
        <w:tc>
          <w:tcPr>
            <w:tcW w:w="236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8"/>
                <w:szCs w:val="18"/>
                <w:color w:val="1E1E1E"/>
              </w:rPr>
              <w:t>Illinois</w:t>
            </w:r>
          </w:p>
        </w:tc>
        <w:tc>
          <w:tcPr>
            <w:tcW w:w="120" w:type="dxa"/>
            <w:vAlign w:val="bottom"/>
            <w:shd w:val="clear" w:color="auto" w:fill="E2E2E2"/>
          </w:tcPr>
          <w:p>
            <w:pPr>
              <w:spacing w:after="0"/>
              <w:rPr>
                <w:sz w:val="19"/>
                <w:szCs w:val="19"/>
                <w:color w:val="auto"/>
              </w:rPr>
            </w:pPr>
          </w:p>
        </w:tc>
        <w:tc>
          <w:tcPr>
            <w:tcW w:w="1620" w:type="dxa"/>
            <w:vAlign w:val="bottom"/>
            <w:shd w:val="clear" w:color="auto" w:fill="E2E2E2"/>
          </w:tcPr>
          <w:p>
            <w:pPr>
              <w:jc w:val="center"/>
              <w:ind w:left="129"/>
              <w:spacing w:after="0"/>
              <w:rPr>
                <w:sz w:val="20"/>
                <w:szCs w:val="20"/>
                <w:color w:val="auto"/>
              </w:rPr>
            </w:pPr>
            <w:r>
              <w:rPr>
                <w:rFonts w:ascii="Times New Roman" w:cs="Times New Roman" w:eastAsia="Times New Roman" w:hAnsi="Times New Roman"/>
                <w:sz w:val="18"/>
                <w:szCs w:val="18"/>
                <w:color w:val="1E1E1E"/>
                <w:w w:val="88"/>
              </w:rPr>
              <w:t>3</w:t>
            </w:r>
          </w:p>
        </w:tc>
        <w:tc>
          <w:tcPr>
            <w:tcW w:w="220" w:type="dxa"/>
            <w:vAlign w:val="bottom"/>
            <w:shd w:val="clear" w:color="auto" w:fill="E2E2E2"/>
          </w:tcPr>
          <w:p>
            <w:pPr>
              <w:spacing w:after="0"/>
              <w:rPr>
                <w:sz w:val="19"/>
                <w:szCs w:val="19"/>
                <w:color w:val="auto"/>
              </w:rPr>
            </w:pPr>
          </w:p>
        </w:tc>
        <w:tc>
          <w:tcPr>
            <w:tcW w:w="120" w:type="dxa"/>
            <w:vAlign w:val="bottom"/>
            <w:shd w:val="clear" w:color="auto" w:fill="E2E2E2"/>
          </w:tcPr>
          <w:p>
            <w:pPr>
              <w:spacing w:after="0"/>
              <w:rPr>
                <w:sz w:val="19"/>
                <w:szCs w:val="19"/>
                <w:color w:val="auto"/>
              </w:rPr>
            </w:pPr>
          </w:p>
        </w:tc>
        <w:tc>
          <w:tcPr>
            <w:tcW w:w="27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38,410</w:t>
            </w:r>
          </w:p>
        </w:tc>
        <w:tc>
          <w:tcPr>
            <w:tcW w:w="120" w:type="dxa"/>
            <w:vAlign w:val="bottom"/>
            <w:shd w:val="clear" w:color="auto" w:fill="E2E2E2"/>
          </w:tcPr>
          <w:p>
            <w:pPr>
              <w:spacing w:after="0"/>
              <w:rPr>
                <w:sz w:val="19"/>
                <w:szCs w:val="19"/>
                <w:color w:val="auto"/>
              </w:rPr>
            </w:pPr>
          </w:p>
        </w:tc>
        <w:tc>
          <w:tcPr>
            <w:tcW w:w="15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1E1E1E"/>
              </w:rPr>
              <w:t>Indiana</w:t>
            </w:r>
          </w:p>
        </w:tc>
        <w:tc>
          <w:tcPr>
            <w:tcW w:w="1740" w:type="dxa"/>
            <w:vAlign w:val="bottom"/>
            <w:gridSpan w:val="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1E1E1E"/>
              </w:rPr>
              <w:t>14,557</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8"/>
                <w:szCs w:val="18"/>
                <w:color w:val="1E1E1E"/>
              </w:rPr>
              <w:t>Iowa</w:t>
            </w:r>
          </w:p>
        </w:tc>
        <w:tc>
          <w:tcPr>
            <w:tcW w:w="1740" w:type="dxa"/>
            <w:vAlign w:val="bottom"/>
            <w:gridSpan w:val="2"/>
            <w:shd w:val="clear" w:color="auto" w:fill="E2E2E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1</w:t>
            </w:r>
          </w:p>
        </w:tc>
        <w:tc>
          <w:tcPr>
            <w:tcW w:w="220" w:type="dxa"/>
            <w:vAlign w:val="bottom"/>
            <w:shd w:val="clear" w:color="auto" w:fill="E2E2E2"/>
          </w:tcPr>
          <w:p>
            <w:pPr>
              <w:spacing w:after="0"/>
              <w:rPr>
                <w:sz w:val="19"/>
                <w:szCs w:val="19"/>
                <w:color w:val="auto"/>
              </w:rPr>
            </w:pPr>
          </w:p>
        </w:tc>
        <w:tc>
          <w:tcPr>
            <w:tcW w:w="120" w:type="dxa"/>
            <w:vAlign w:val="bottom"/>
            <w:shd w:val="clear" w:color="auto" w:fill="E2E2E2"/>
          </w:tcPr>
          <w:p>
            <w:pPr>
              <w:spacing w:after="0"/>
              <w:rPr>
                <w:sz w:val="19"/>
                <w:szCs w:val="19"/>
                <w:color w:val="auto"/>
              </w:rPr>
            </w:pPr>
          </w:p>
        </w:tc>
        <w:tc>
          <w:tcPr>
            <w:tcW w:w="27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12,249</w:t>
            </w:r>
          </w:p>
        </w:tc>
        <w:tc>
          <w:tcPr>
            <w:tcW w:w="120" w:type="dxa"/>
            <w:vAlign w:val="bottom"/>
            <w:shd w:val="clear" w:color="auto" w:fill="E2E2E2"/>
          </w:tcPr>
          <w:p>
            <w:pPr>
              <w:spacing w:after="0"/>
              <w:rPr>
                <w:sz w:val="19"/>
                <w:szCs w:val="19"/>
                <w:color w:val="auto"/>
              </w:rPr>
            </w:pPr>
          </w:p>
        </w:tc>
        <w:tc>
          <w:tcPr>
            <w:tcW w:w="15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1E1E1E"/>
              </w:rPr>
              <w:t>Kansas</w:t>
            </w:r>
          </w:p>
        </w:tc>
        <w:tc>
          <w:tcPr>
            <w:tcW w:w="1740" w:type="dxa"/>
            <w:vAlign w:val="bottom"/>
            <w:gridSpan w:val="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1E1E1E"/>
              </w:rPr>
              <w:t>15,385</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8"/>
                <w:szCs w:val="18"/>
                <w:color w:val="1E1E1E"/>
              </w:rPr>
              <w:t>Michigan</w:t>
            </w:r>
          </w:p>
        </w:tc>
        <w:tc>
          <w:tcPr>
            <w:tcW w:w="1740" w:type="dxa"/>
            <w:vAlign w:val="bottom"/>
            <w:gridSpan w:val="2"/>
            <w:shd w:val="clear" w:color="auto" w:fill="E2E2E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3</w:t>
            </w:r>
          </w:p>
        </w:tc>
        <w:tc>
          <w:tcPr>
            <w:tcW w:w="220" w:type="dxa"/>
            <w:vAlign w:val="bottom"/>
            <w:shd w:val="clear" w:color="auto" w:fill="E2E2E2"/>
          </w:tcPr>
          <w:p>
            <w:pPr>
              <w:spacing w:after="0"/>
              <w:rPr>
                <w:sz w:val="19"/>
                <w:szCs w:val="19"/>
                <w:color w:val="auto"/>
              </w:rPr>
            </w:pPr>
          </w:p>
        </w:tc>
        <w:tc>
          <w:tcPr>
            <w:tcW w:w="120" w:type="dxa"/>
            <w:vAlign w:val="bottom"/>
            <w:shd w:val="clear" w:color="auto" w:fill="E2E2E2"/>
          </w:tcPr>
          <w:p>
            <w:pPr>
              <w:spacing w:after="0"/>
              <w:rPr>
                <w:sz w:val="19"/>
                <w:szCs w:val="19"/>
                <w:color w:val="auto"/>
              </w:rPr>
            </w:pPr>
          </w:p>
        </w:tc>
        <w:tc>
          <w:tcPr>
            <w:tcW w:w="27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45,588</w:t>
            </w:r>
          </w:p>
        </w:tc>
        <w:tc>
          <w:tcPr>
            <w:tcW w:w="120" w:type="dxa"/>
            <w:vAlign w:val="bottom"/>
            <w:shd w:val="clear" w:color="auto" w:fill="E2E2E2"/>
          </w:tcPr>
          <w:p>
            <w:pPr>
              <w:spacing w:after="0"/>
              <w:rPr>
                <w:sz w:val="19"/>
                <w:szCs w:val="19"/>
                <w:color w:val="auto"/>
              </w:rPr>
            </w:pPr>
          </w:p>
        </w:tc>
        <w:tc>
          <w:tcPr>
            <w:tcW w:w="15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1"/>
        </w:trPr>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1E1E1E"/>
              </w:rPr>
              <w:t>Minnesota</w:t>
            </w:r>
          </w:p>
        </w:tc>
        <w:tc>
          <w:tcPr>
            <w:tcW w:w="1740" w:type="dxa"/>
            <w:vAlign w:val="bottom"/>
            <w:gridSpan w:val="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1E1E1E"/>
              </w:rPr>
              <w:t>61,900</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8"/>
                <w:szCs w:val="18"/>
                <w:color w:val="1E1E1E"/>
              </w:rPr>
              <w:t>Missouri</w:t>
            </w:r>
          </w:p>
        </w:tc>
        <w:tc>
          <w:tcPr>
            <w:tcW w:w="1740" w:type="dxa"/>
            <w:vAlign w:val="bottom"/>
            <w:gridSpan w:val="2"/>
            <w:shd w:val="clear" w:color="auto" w:fill="E2E2E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2</w:t>
            </w:r>
          </w:p>
        </w:tc>
        <w:tc>
          <w:tcPr>
            <w:tcW w:w="220" w:type="dxa"/>
            <w:vAlign w:val="bottom"/>
            <w:shd w:val="clear" w:color="auto" w:fill="E2E2E2"/>
          </w:tcPr>
          <w:p>
            <w:pPr>
              <w:spacing w:after="0"/>
              <w:rPr>
                <w:sz w:val="19"/>
                <w:szCs w:val="19"/>
                <w:color w:val="auto"/>
              </w:rPr>
            </w:pPr>
          </w:p>
        </w:tc>
        <w:tc>
          <w:tcPr>
            <w:tcW w:w="120" w:type="dxa"/>
            <w:vAlign w:val="bottom"/>
            <w:shd w:val="clear" w:color="auto" w:fill="E2E2E2"/>
          </w:tcPr>
          <w:p>
            <w:pPr>
              <w:spacing w:after="0"/>
              <w:rPr>
                <w:sz w:val="19"/>
                <w:szCs w:val="19"/>
                <w:color w:val="auto"/>
              </w:rPr>
            </w:pPr>
          </w:p>
        </w:tc>
        <w:tc>
          <w:tcPr>
            <w:tcW w:w="27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27,692</w:t>
            </w:r>
          </w:p>
        </w:tc>
        <w:tc>
          <w:tcPr>
            <w:tcW w:w="120" w:type="dxa"/>
            <w:vAlign w:val="bottom"/>
            <w:shd w:val="clear" w:color="auto" w:fill="E2E2E2"/>
          </w:tcPr>
          <w:p>
            <w:pPr>
              <w:spacing w:after="0"/>
              <w:rPr>
                <w:sz w:val="19"/>
                <w:szCs w:val="19"/>
                <w:color w:val="auto"/>
              </w:rPr>
            </w:pPr>
          </w:p>
        </w:tc>
        <w:tc>
          <w:tcPr>
            <w:tcW w:w="15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1E1E1E"/>
              </w:rPr>
              <w:t>Nebraska</w:t>
            </w:r>
          </w:p>
        </w:tc>
        <w:tc>
          <w:tcPr>
            <w:tcW w:w="1740" w:type="dxa"/>
            <w:vAlign w:val="bottom"/>
            <w:gridSpan w:val="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1E1E1E"/>
              </w:rPr>
              <w:t>15,757</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8"/>
                <w:szCs w:val="18"/>
                <w:color w:val="1E1E1E"/>
              </w:rPr>
              <w:t>North Dakota</w:t>
            </w:r>
          </w:p>
        </w:tc>
        <w:tc>
          <w:tcPr>
            <w:tcW w:w="1740" w:type="dxa"/>
            <w:vAlign w:val="bottom"/>
            <w:gridSpan w:val="2"/>
            <w:shd w:val="clear" w:color="auto" w:fill="E2E2E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1</w:t>
            </w:r>
          </w:p>
        </w:tc>
        <w:tc>
          <w:tcPr>
            <w:tcW w:w="220" w:type="dxa"/>
            <w:vAlign w:val="bottom"/>
            <w:shd w:val="clear" w:color="auto" w:fill="E2E2E2"/>
          </w:tcPr>
          <w:p>
            <w:pPr>
              <w:spacing w:after="0"/>
              <w:rPr>
                <w:sz w:val="19"/>
                <w:szCs w:val="19"/>
                <w:color w:val="auto"/>
              </w:rPr>
            </w:pPr>
          </w:p>
        </w:tc>
        <w:tc>
          <w:tcPr>
            <w:tcW w:w="120" w:type="dxa"/>
            <w:vAlign w:val="bottom"/>
            <w:shd w:val="clear" w:color="auto" w:fill="E2E2E2"/>
          </w:tcPr>
          <w:p>
            <w:pPr>
              <w:spacing w:after="0"/>
              <w:rPr>
                <w:sz w:val="19"/>
                <w:szCs w:val="19"/>
                <w:color w:val="auto"/>
              </w:rPr>
            </w:pPr>
          </w:p>
        </w:tc>
        <w:tc>
          <w:tcPr>
            <w:tcW w:w="27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14,557</w:t>
            </w:r>
          </w:p>
        </w:tc>
        <w:tc>
          <w:tcPr>
            <w:tcW w:w="120" w:type="dxa"/>
            <w:vAlign w:val="bottom"/>
            <w:shd w:val="clear" w:color="auto" w:fill="E2E2E2"/>
          </w:tcPr>
          <w:p>
            <w:pPr>
              <w:spacing w:after="0"/>
              <w:rPr>
                <w:sz w:val="19"/>
                <w:szCs w:val="19"/>
                <w:color w:val="auto"/>
              </w:rPr>
            </w:pPr>
          </w:p>
        </w:tc>
        <w:tc>
          <w:tcPr>
            <w:tcW w:w="15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1E1E1E"/>
              </w:rPr>
              <w:t>Ohio</w:t>
            </w:r>
          </w:p>
        </w:tc>
        <w:tc>
          <w:tcPr>
            <w:tcW w:w="1740" w:type="dxa"/>
            <w:vAlign w:val="bottom"/>
            <w:gridSpan w:val="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1E1E1E"/>
              </w:rPr>
              <w:t>58,420</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8"/>
                <w:szCs w:val="18"/>
                <w:color w:val="1E1E1E"/>
              </w:rPr>
              <w:t>South Dakota</w:t>
            </w:r>
          </w:p>
        </w:tc>
        <w:tc>
          <w:tcPr>
            <w:tcW w:w="1740" w:type="dxa"/>
            <w:vAlign w:val="bottom"/>
            <w:gridSpan w:val="2"/>
            <w:shd w:val="clear" w:color="auto" w:fill="E2E2E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1</w:t>
            </w:r>
          </w:p>
        </w:tc>
        <w:tc>
          <w:tcPr>
            <w:tcW w:w="220" w:type="dxa"/>
            <w:vAlign w:val="bottom"/>
            <w:shd w:val="clear" w:color="auto" w:fill="E2E2E2"/>
          </w:tcPr>
          <w:p>
            <w:pPr>
              <w:spacing w:after="0"/>
              <w:rPr>
                <w:sz w:val="19"/>
                <w:szCs w:val="19"/>
                <w:color w:val="auto"/>
              </w:rPr>
            </w:pPr>
          </w:p>
        </w:tc>
        <w:tc>
          <w:tcPr>
            <w:tcW w:w="120" w:type="dxa"/>
            <w:vAlign w:val="bottom"/>
            <w:shd w:val="clear" w:color="auto" w:fill="E2E2E2"/>
          </w:tcPr>
          <w:p>
            <w:pPr>
              <w:spacing w:after="0"/>
              <w:rPr>
                <w:sz w:val="19"/>
                <w:szCs w:val="19"/>
                <w:color w:val="auto"/>
              </w:rPr>
            </w:pPr>
          </w:p>
        </w:tc>
        <w:tc>
          <w:tcPr>
            <w:tcW w:w="27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8"/>
              </w:rPr>
              <w:t>9,166</w:t>
            </w:r>
          </w:p>
        </w:tc>
        <w:tc>
          <w:tcPr>
            <w:tcW w:w="120" w:type="dxa"/>
            <w:vAlign w:val="bottom"/>
            <w:shd w:val="clear" w:color="auto" w:fill="E2E2E2"/>
          </w:tcPr>
          <w:p>
            <w:pPr>
              <w:spacing w:after="0"/>
              <w:rPr>
                <w:sz w:val="19"/>
                <w:szCs w:val="19"/>
                <w:color w:val="auto"/>
              </w:rPr>
            </w:pPr>
          </w:p>
        </w:tc>
        <w:tc>
          <w:tcPr>
            <w:tcW w:w="15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1E1E1E"/>
              </w:rPr>
              <w:t>Wisconsin</w:t>
            </w:r>
          </w:p>
        </w:tc>
        <w:tc>
          <w:tcPr>
            <w:tcW w:w="1740" w:type="dxa"/>
            <w:vAlign w:val="bottom"/>
            <w:gridSpan w:val="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1E1E1E"/>
              </w:rPr>
              <w:t>53,246</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shd w:val="clear" w:color="auto" w:fill="E2E2E2"/>
          </w:tcPr>
          <w:p>
            <w:pPr>
              <w:spacing w:after="0"/>
              <w:rPr>
                <w:sz w:val="20"/>
                <w:szCs w:val="20"/>
                <w:color w:val="auto"/>
              </w:rPr>
            </w:pPr>
            <w:r>
              <w:rPr>
                <w:rFonts w:ascii="Times New Roman" w:cs="Times New Roman" w:eastAsia="Times New Roman" w:hAnsi="Times New Roman"/>
                <w:sz w:val="18"/>
                <w:szCs w:val="18"/>
                <w:b w:val="1"/>
                <w:bCs w:val="1"/>
                <w:color w:val="1E1E1E"/>
              </w:rPr>
              <w:t>South</w:t>
            </w:r>
          </w:p>
        </w:tc>
        <w:tc>
          <w:tcPr>
            <w:tcW w:w="120" w:type="dxa"/>
            <w:vAlign w:val="bottom"/>
            <w:shd w:val="clear" w:color="auto" w:fill="E2E2E2"/>
          </w:tcPr>
          <w:p>
            <w:pPr>
              <w:spacing w:after="0"/>
              <w:rPr>
                <w:sz w:val="19"/>
                <w:szCs w:val="19"/>
                <w:color w:val="auto"/>
              </w:rPr>
            </w:pPr>
          </w:p>
        </w:tc>
        <w:tc>
          <w:tcPr>
            <w:tcW w:w="1620" w:type="dxa"/>
            <w:vAlign w:val="bottom"/>
            <w:shd w:val="clear" w:color="auto" w:fill="E2E2E2"/>
          </w:tcPr>
          <w:p>
            <w:pPr>
              <w:spacing w:after="0"/>
              <w:rPr>
                <w:sz w:val="19"/>
                <w:szCs w:val="19"/>
                <w:color w:val="auto"/>
              </w:rPr>
            </w:pPr>
          </w:p>
        </w:tc>
        <w:tc>
          <w:tcPr>
            <w:tcW w:w="220" w:type="dxa"/>
            <w:vAlign w:val="bottom"/>
            <w:shd w:val="clear" w:color="auto" w:fill="E2E2E2"/>
          </w:tcPr>
          <w:p>
            <w:pPr>
              <w:spacing w:after="0"/>
              <w:rPr>
                <w:sz w:val="19"/>
                <w:szCs w:val="19"/>
                <w:color w:val="auto"/>
              </w:rPr>
            </w:pPr>
          </w:p>
        </w:tc>
        <w:tc>
          <w:tcPr>
            <w:tcW w:w="120" w:type="dxa"/>
            <w:vAlign w:val="bottom"/>
            <w:shd w:val="clear" w:color="auto" w:fill="E2E2E2"/>
          </w:tcPr>
          <w:p>
            <w:pPr>
              <w:spacing w:after="0"/>
              <w:rPr>
                <w:sz w:val="19"/>
                <w:szCs w:val="19"/>
                <w:color w:val="auto"/>
              </w:rPr>
            </w:pPr>
          </w:p>
        </w:tc>
        <w:tc>
          <w:tcPr>
            <w:tcW w:w="2700" w:type="dxa"/>
            <w:vAlign w:val="bottom"/>
            <w:shd w:val="clear" w:color="auto" w:fill="E2E2E2"/>
          </w:tcPr>
          <w:p>
            <w:pPr>
              <w:spacing w:after="0"/>
              <w:rPr>
                <w:sz w:val="19"/>
                <w:szCs w:val="19"/>
                <w:color w:val="auto"/>
              </w:rPr>
            </w:pPr>
          </w:p>
        </w:tc>
        <w:tc>
          <w:tcPr>
            <w:tcW w:w="120" w:type="dxa"/>
            <w:vAlign w:val="bottom"/>
            <w:shd w:val="clear" w:color="auto" w:fill="E2E2E2"/>
          </w:tcPr>
          <w:p>
            <w:pPr>
              <w:spacing w:after="0"/>
              <w:rPr>
                <w:sz w:val="19"/>
                <w:szCs w:val="19"/>
                <w:color w:val="auto"/>
              </w:rPr>
            </w:pPr>
          </w:p>
        </w:tc>
        <w:tc>
          <w:tcPr>
            <w:tcW w:w="1320" w:type="dxa"/>
            <w:vAlign w:val="bottom"/>
            <w:shd w:val="clear" w:color="auto" w:fill="E2E2E2"/>
          </w:tcPr>
          <w:p>
            <w:pPr>
              <w:spacing w:after="0"/>
              <w:rPr>
                <w:sz w:val="19"/>
                <w:szCs w:val="19"/>
                <w:color w:val="auto"/>
              </w:rPr>
            </w:pPr>
          </w:p>
        </w:tc>
        <w:tc>
          <w:tcPr>
            <w:tcW w:w="120" w:type="dxa"/>
            <w:vAlign w:val="bottom"/>
            <w:shd w:val="clear" w:color="auto" w:fill="E2E2E2"/>
          </w:tcPr>
          <w:p>
            <w:pPr>
              <w:spacing w:after="0"/>
              <w:rPr>
                <w:sz w:val="19"/>
                <w:szCs w:val="19"/>
                <w:color w:val="auto"/>
              </w:rPr>
            </w:pPr>
          </w:p>
        </w:tc>
        <w:tc>
          <w:tcPr>
            <w:tcW w:w="1540" w:type="dxa"/>
            <w:vAlign w:val="bottom"/>
            <w:shd w:val="clear" w:color="auto" w:fill="E2E2E2"/>
          </w:tcPr>
          <w:p>
            <w:pPr>
              <w:spacing w:after="0"/>
              <w:rPr>
                <w:sz w:val="19"/>
                <w:szCs w:val="19"/>
                <w:color w:val="auto"/>
              </w:rPr>
            </w:pPr>
          </w:p>
        </w:tc>
      </w:tr>
      <w:tr>
        <w:trPr>
          <w:trHeight w:val="221"/>
        </w:trPr>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1E1E1E"/>
              </w:rPr>
              <w:t>Alabama</w:t>
            </w:r>
          </w:p>
        </w:tc>
        <w:tc>
          <w:tcPr>
            <w:tcW w:w="1740" w:type="dxa"/>
            <w:vAlign w:val="bottom"/>
            <w:gridSpan w:val="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1E1E1E"/>
              </w:rPr>
              <w:t>31,312</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8"/>
                <w:szCs w:val="18"/>
                <w:color w:val="1E1E1E"/>
              </w:rPr>
              <w:t>Arkansas</w:t>
            </w:r>
          </w:p>
        </w:tc>
        <w:tc>
          <w:tcPr>
            <w:tcW w:w="1740" w:type="dxa"/>
            <w:vAlign w:val="bottom"/>
            <w:gridSpan w:val="2"/>
            <w:shd w:val="clear" w:color="auto" w:fill="E2E2E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1</w:t>
            </w:r>
          </w:p>
        </w:tc>
        <w:tc>
          <w:tcPr>
            <w:tcW w:w="220" w:type="dxa"/>
            <w:vAlign w:val="bottom"/>
            <w:shd w:val="clear" w:color="auto" w:fill="E2E2E2"/>
          </w:tcPr>
          <w:p>
            <w:pPr>
              <w:spacing w:after="0"/>
              <w:rPr>
                <w:sz w:val="19"/>
                <w:szCs w:val="19"/>
                <w:color w:val="auto"/>
              </w:rPr>
            </w:pPr>
          </w:p>
        </w:tc>
        <w:tc>
          <w:tcPr>
            <w:tcW w:w="120" w:type="dxa"/>
            <w:vAlign w:val="bottom"/>
            <w:shd w:val="clear" w:color="auto" w:fill="E2E2E2"/>
          </w:tcPr>
          <w:p>
            <w:pPr>
              <w:spacing w:after="0"/>
              <w:rPr>
                <w:sz w:val="19"/>
                <w:szCs w:val="19"/>
                <w:color w:val="auto"/>
              </w:rPr>
            </w:pPr>
          </w:p>
        </w:tc>
        <w:tc>
          <w:tcPr>
            <w:tcW w:w="27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15,656</w:t>
            </w:r>
          </w:p>
        </w:tc>
        <w:tc>
          <w:tcPr>
            <w:tcW w:w="120" w:type="dxa"/>
            <w:vAlign w:val="bottom"/>
            <w:shd w:val="clear" w:color="auto" w:fill="E2E2E2"/>
          </w:tcPr>
          <w:p>
            <w:pPr>
              <w:spacing w:after="0"/>
              <w:rPr>
                <w:sz w:val="19"/>
                <w:szCs w:val="19"/>
                <w:color w:val="auto"/>
              </w:rPr>
            </w:pPr>
          </w:p>
        </w:tc>
        <w:tc>
          <w:tcPr>
            <w:tcW w:w="15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1E1E1E"/>
              </w:rPr>
              <w:t>Florida</w:t>
            </w:r>
          </w:p>
        </w:tc>
        <w:tc>
          <w:tcPr>
            <w:tcW w:w="1740" w:type="dxa"/>
            <w:vAlign w:val="bottom"/>
            <w:gridSpan w:val="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1E1E1E"/>
              </w:rPr>
              <w:t>14,557</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8"/>
                <w:szCs w:val="18"/>
                <w:color w:val="1E1E1E"/>
              </w:rPr>
              <w:t>Georgia</w:t>
            </w:r>
          </w:p>
        </w:tc>
        <w:tc>
          <w:tcPr>
            <w:tcW w:w="1740" w:type="dxa"/>
            <w:vAlign w:val="bottom"/>
            <w:gridSpan w:val="2"/>
            <w:shd w:val="clear" w:color="auto" w:fill="E2E2E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1</w:t>
            </w:r>
          </w:p>
        </w:tc>
        <w:tc>
          <w:tcPr>
            <w:tcW w:w="220" w:type="dxa"/>
            <w:vAlign w:val="bottom"/>
            <w:shd w:val="clear" w:color="auto" w:fill="E2E2E2"/>
          </w:tcPr>
          <w:p>
            <w:pPr>
              <w:spacing w:after="0"/>
              <w:rPr>
                <w:sz w:val="19"/>
                <w:szCs w:val="19"/>
                <w:color w:val="auto"/>
              </w:rPr>
            </w:pPr>
          </w:p>
        </w:tc>
        <w:tc>
          <w:tcPr>
            <w:tcW w:w="120" w:type="dxa"/>
            <w:vAlign w:val="bottom"/>
            <w:shd w:val="clear" w:color="auto" w:fill="E2E2E2"/>
          </w:tcPr>
          <w:p>
            <w:pPr>
              <w:spacing w:after="0"/>
              <w:rPr>
                <w:sz w:val="19"/>
                <w:szCs w:val="19"/>
                <w:color w:val="auto"/>
              </w:rPr>
            </w:pPr>
          </w:p>
        </w:tc>
        <w:tc>
          <w:tcPr>
            <w:tcW w:w="27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20,041</w:t>
            </w:r>
          </w:p>
        </w:tc>
        <w:tc>
          <w:tcPr>
            <w:tcW w:w="120" w:type="dxa"/>
            <w:vAlign w:val="bottom"/>
            <w:shd w:val="clear" w:color="auto" w:fill="E2E2E2"/>
          </w:tcPr>
          <w:p>
            <w:pPr>
              <w:spacing w:after="0"/>
              <w:rPr>
                <w:sz w:val="19"/>
                <w:szCs w:val="19"/>
                <w:color w:val="auto"/>
              </w:rPr>
            </w:pPr>
          </w:p>
        </w:tc>
        <w:tc>
          <w:tcPr>
            <w:tcW w:w="15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1E1E1E"/>
              </w:rPr>
              <w:t>Kentucky</w:t>
            </w:r>
          </w:p>
        </w:tc>
        <w:tc>
          <w:tcPr>
            <w:tcW w:w="1740" w:type="dxa"/>
            <w:vAlign w:val="bottom"/>
            <w:gridSpan w:val="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1E1E1E"/>
              </w:rPr>
              <w:t>28,582</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8"/>
                <w:szCs w:val="18"/>
                <w:color w:val="1E1E1E"/>
              </w:rPr>
              <w:t>North Carolina</w:t>
            </w:r>
          </w:p>
        </w:tc>
        <w:tc>
          <w:tcPr>
            <w:tcW w:w="1740" w:type="dxa"/>
            <w:vAlign w:val="bottom"/>
            <w:gridSpan w:val="2"/>
            <w:shd w:val="clear" w:color="auto" w:fill="E2E2E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2</w:t>
            </w:r>
          </w:p>
        </w:tc>
        <w:tc>
          <w:tcPr>
            <w:tcW w:w="220" w:type="dxa"/>
            <w:vAlign w:val="bottom"/>
            <w:shd w:val="clear" w:color="auto" w:fill="E2E2E2"/>
          </w:tcPr>
          <w:p>
            <w:pPr>
              <w:spacing w:after="0"/>
              <w:rPr>
                <w:sz w:val="19"/>
                <w:szCs w:val="19"/>
                <w:color w:val="auto"/>
              </w:rPr>
            </w:pPr>
          </w:p>
        </w:tc>
        <w:tc>
          <w:tcPr>
            <w:tcW w:w="120" w:type="dxa"/>
            <w:vAlign w:val="bottom"/>
            <w:shd w:val="clear" w:color="auto" w:fill="E2E2E2"/>
          </w:tcPr>
          <w:p>
            <w:pPr>
              <w:spacing w:after="0"/>
              <w:rPr>
                <w:sz w:val="19"/>
                <w:szCs w:val="19"/>
                <w:color w:val="auto"/>
              </w:rPr>
            </w:pPr>
          </w:p>
        </w:tc>
        <w:tc>
          <w:tcPr>
            <w:tcW w:w="27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41,672</w:t>
            </w:r>
          </w:p>
        </w:tc>
        <w:tc>
          <w:tcPr>
            <w:tcW w:w="120" w:type="dxa"/>
            <w:vAlign w:val="bottom"/>
            <w:shd w:val="clear" w:color="auto" w:fill="E2E2E2"/>
          </w:tcPr>
          <w:p>
            <w:pPr>
              <w:spacing w:after="0"/>
              <w:rPr>
                <w:sz w:val="19"/>
                <w:szCs w:val="19"/>
                <w:color w:val="auto"/>
              </w:rPr>
            </w:pPr>
          </w:p>
        </w:tc>
        <w:tc>
          <w:tcPr>
            <w:tcW w:w="15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1E1E1E"/>
              </w:rPr>
              <w:t>Oklahoma</w:t>
            </w:r>
          </w:p>
        </w:tc>
        <w:tc>
          <w:tcPr>
            <w:tcW w:w="1740" w:type="dxa"/>
            <w:vAlign w:val="bottom"/>
            <w:gridSpan w:val="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1E1E1E"/>
              </w:rPr>
              <w:t>15,536</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8"/>
                <w:szCs w:val="18"/>
                <w:color w:val="1E1E1E"/>
              </w:rPr>
              <w:t>Tennessee</w:t>
            </w:r>
          </w:p>
        </w:tc>
        <w:tc>
          <w:tcPr>
            <w:tcW w:w="1740" w:type="dxa"/>
            <w:vAlign w:val="bottom"/>
            <w:gridSpan w:val="2"/>
            <w:shd w:val="clear" w:color="auto" w:fill="E2E2E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2</w:t>
            </w:r>
          </w:p>
        </w:tc>
        <w:tc>
          <w:tcPr>
            <w:tcW w:w="220" w:type="dxa"/>
            <w:vAlign w:val="bottom"/>
            <w:shd w:val="clear" w:color="auto" w:fill="E2E2E2"/>
          </w:tcPr>
          <w:p>
            <w:pPr>
              <w:spacing w:after="0"/>
              <w:rPr>
                <w:sz w:val="19"/>
                <w:szCs w:val="19"/>
                <w:color w:val="auto"/>
              </w:rPr>
            </w:pPr>
          </w:p>
        </w:tc>
        <w:tc>
          <w:tcPr>
            <w:tcW w:w="120" w:type="dxa"/>
            <w:vAlign w:val="bottom"/>
            <w:shd w:val="clear" w:color="auto" w:fill="E2E2E2"/>
          </w:tcPr>
          <w:p>
            <w:pPr>
              <w:spacing w:after="0"/>
              <w:rPr>
                <w:sz w:val="19"/>
                <w:szCs w:val="19"/>
                <w:color w:val="auto"/>
              </w:rPr>
            </w:pPr>
          </w:p>
        </w:tc>
        <w:tc>
          <w:tcPr>
            <w:tcW w:w="27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27,325</w:t>
            </w:r>
          </w:p>
        </w:tc>
        <w:tc>
          <w:tcPr>
            <w:tcW w:w="120" w:type="dxa"/>
            <w:vAlign w:val="bottom"/>
            <w:shd w:val="clear" w:color="auto" w:fill="E2E2E2"/>
          </w:tcPr>
          <w:p>
            <w:pPr>
              <w:spacing w:after="0"/>
              <w:rPr>
                <w:sz w:val="19"/>
                <w:szCs w:val="19"/>
                <w:color w:val="auto"/>
              </w:rPr>
            </w:pPr>
          </w:p>
        </w:tc>
        <w:tc>
          <w:tcPr>
            <w:tcW w:w="15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1"/>
        </w:trPr>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1E1E1E"/>
              </w:rPr>
              <w:t>Texas</w:t>
            </w:r>
          </w:p>
        </w:tc>
        <w:tc>
          <w:tcPr>
            <w:tcW w:w="1740" w:type="dxa"/>
            <w:vAlign w:val="bottom"/>
            <w:gridSpan w:val="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1E1E1E"/>
              </w:rPr>
              <w:t>92,212</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8"/>
                <w:szCs w:val="18"/>
                <w:color w:val="1E1E1E"/>
              </w:rPr>
              <w:t>Virginia</w:t>
            </w:r>
          </w:p>
        </w:tc>
        <w:tc>
          <w:tcPr>
            <w:tcW w:w="1740" w:type="dxa"/>
            <w:vAlign w:val="bottom"/>
            <w:gridSpan w:val="2"/>
            <w:shd w:val="clear" w:color="auto" w:fill="E2E2E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2</w:t>
            </w:r>
          </w:p>
        </w:tc>
        <w:tc>
          <w:tcPr>
            <w:tcW w:w="220" w:type="dxa"/>
            <w:vAlign w:val="bottom"/>
            <w:shd w:val="clear" w:color="auto" w:fill="E2E2E2"/>
          </w:tcPr>
          <w:p>
            <w:pPr>
              <w:spacing w:after="0"/>
              <w:rPr>
                <w:sz w:val="19"/>
                <w:szCs w:val="19"/>
                <w:color w:val="auto"/>
              </w:rPr>
            </w:pPr>
          </w:p>
        </w:tc>
        <w:tc>
          <w:tcPr>
            <w:tcW w:w="120" w:type="dxa"/>
            <w:vAlign w:val="bottom"/>
            <w:shd w:val="clear" w:color="auto" w:fill="E2E2E2"/>
          </w:tcPr>
          <w:p>
            <w:pPr>
              <w:spacing w:after="0"/>
              <w:rPr>
                <w:sz w:val="19"/>
                <w:szCs w:val="19"/>
                <w:color w:val="auto"/>
              </w:rPr>
            </w:pPr>
          </w:p>
        </w:tc>
        <w:tc>
          <w:tcPr>
            <w:tcW w:w="27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31,828</w:t>
            </w:r>
          </w:p>
        </w:tc>
        <w:tc>
          <w:tcPr>
            <w:tcW w:w="120" w:type="dxa"/>
            <w:vAlign w:val="bottom"/>
            <w:shd w:val="clear" w:color="auto" w:fill="E2E2E2"/>
          </w:tcPr>
          <w:p>
            <w:pPr>
              <w:spacing w:after="0"/>
              <w:rPr>
                <w:sz w:val="19"/>
                <w:szCs w:val="19"/>
                <w:color w:val="auto"/>
              </w:rPr>
            </w:pPr>
          </w:p>
        </w:tc>
        <w:tc>
          <w:tcPr>
            <w:tcW w:w="15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1E1E1E"/>
              </w:rPr>
              <w:t>West</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6"/>
        </w:trPr>
        <w:tc>
          <w:tcPr>
            <w:tcW w:w="236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8"/>
                <w:szCs w:val="18"/>
                <w:color w:val="1E1E1E"/>
              </w:rPr>
              <w:t>Alaska</w:t>
            </w:r>
          </w:p>
        </w:tc>
        <w:tc>
          <w:tcPr>
            <w:tcW w:w="120" w:type="dxa"/>
            <w:vAlign w:val="bottom"/>
            <w:shd w:val="clear" w:color="auto" w:fill="E2E2E2"/>
          </w:tcPr>
          <w:p>
            <w:pPr>
              <w:spacing w:after="0"/>
              <w:rPr>
                <w:sz w:val="19"/>
                <w:szCs w:val="19"/>
                <w:color w:val="auto"/>
              </w:rPr>
            </w:pPr>
          </w:p>
        </w:tc>
        <w:tc>
          <w:tcPr>
            <w:tcW w:w="1620" w:type="dxa"/>
            <w:vAlign w:val="bottom"/>
            <w:shd w:val="clear" w:color="auto" w:fill="E2E2E2"/>
          </w:tcPr>
          <w:p>
            <w:pPr>
              <w:jc w:val="center"/>
              <w:ind w:left="129"/>
              <w:spacing w:after="0"/>
              <w:rPr>
                <w:sz w:val="20"/>
                <w:szCs w:val="20"/>
                <w:color w:val="auto"/>
              </w:rPr>
            </w:pPr>
            <w:r>
              <w:rPr>
                <w:rFonts w:ascii="Times New Roman" w:cs="Times New Roman" w:eastAsia="Times New Roman" w:hAnsi="Times New Roman"/>
                <w:sz w:val="18"/>
                <w:szCs w:val="18"/>
                <w:color w:val="1E1E1E"/>
                <w:w w:val="88"/>
              </w:rPr>
              <w:t>1</w:t>
            </w:r>
          </w:p>
        </w:tc>
        <w:tc>
          <w:tcPr>
            <w:tcW w:w="220" w:type="dxa"/>
            <w:vAlign w:val="bottom"/>
            <w:shd w:val="clear" w:color="auto" w:fill="E2E2E2"/>
          </w:tcPr>
          <w:p>
            <w:pPr>
              <w:spacing w:after="0"/>
              <w:rPr>
                <w:sz w:val="19"/>
                <w:szCs w:val="19"/>
                <w:color w:val="auto"/>
              </w:rPr>
            </w:pPr>
          </w:p>
        </w:tc>
        <w:tc>
          <w:tcPr>
            <w:tcW w:w="120" w:type="dxa"/>
            <w:vAlign w:val="bottom"/>
            <w:shd w:val="clear" w:color="auto" w:fill="E2E2E2"/>
          </w:tcPr>
          <w:p>
            <w:pPr>
              <w:spacing w:after="0"/>
              <w:rPr>
                <w:sz w:val="19"/>
                <w:szCs w:val="19"/>
                <w:color w:val="auto"/>
              </w:rPr>
            </w:pPr>
          </w:p>
        </w:tc>
        <w:tc>
          <w:tcPr>
            <w:tcW w:w="27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25,409</w:t>
            </w:r>
          </w:p>
        </w:tc>
        <w:tc>
          <w:tcPr>
            <w:tcW w:w="120" w:type="dxa"/>
            <w:vAlign w:val="bottom"/>
            <w:shd w:val="clear" w:color="auto" w:fill="E2E2E2"/>
          </w:tcPr>
          <w:p>
            <w:pPr>
              <w:spacing w:after="0"/>
              <w:rPr>
                <w:sz w:val="19"/>
                <w:szCs w:val="19"/>
                <w:color w:val="auto"/>
              </w:rPr>
            </w:pPr>
          </w:p>
        </w:tc>
        <w:tc>
          <w:tcPr>
            <w:tcW w:w="15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1E1E1E"/>
              </w:rPr>
              <w:t>Colorado</w:t>
            </w:r>
          </w:p>
        </w:tc>
        <w:tc>
          <w:tcPr>
            <w:tcW w:w="1740" w:type="dxa"/>
            <w:vAlign w:val="bottom"/>
            <w:gridSpan w:val="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1E1E1E"/>
              </w:rPr>
              <w:t>52,643</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8"/>
                <w:szCs w:val="18"/>
                <w:color w:val="1E1E1E"/>
              </w:rPr>
              <w:t>Oregon</w:t>
            </w:r>
          </w:p>
        </w:tc>
        <w:tc>
          <w:tcPr>
            <w:tcW w:w="1740" w:type="dxa"/>
            <w:vAlign w:val="bottom"/>
            <w:gridSpan w:val="2"/>
            <w:shd w:val="clear" w:color="auto" w:fill="E2E2E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2</w:t>
            </w:r>
          </w:p>
        </w:tc>
        <w:tc>
          <w:tcPr>
            <w:tcW w:w="220" w:type="dxa"/>
            <w:vAlign w:val="bottom"/>
            <w:shd w:val="clear" w:color="auto" w:fill="E2E2E2"/>
          </w:tcPr>
          <w:p>
            <w:pPr>
              <w:spacing w:after="0"/>
              <w:rPr>
                <w:sz w:val="19"/>
                <w:szCs w:val="19"/>
                <w:color w:val="auto"/>
              </w:rPr>
            </w:pPr>
          </w:p>
        </w:tc>
        <w:tc>
          <w:tcPr>
            <w:tcW w:w="120" w:type="dxa"/>
            <w:vAlign w:val="bottom"/>
            <w:shd w:val="clear" w:color="auto" w:fill="E2E2E2"/>
          </w:tcPr>
          <w:p>
            <w:pPr>
              <w:spacing w:after="0"/>
              <w:rPr>
                <w:sz w:val="19"/>
                <w:szCs w:val="19"/>
                <w:color w:val="auto"/>
              </w:rPr>
            </w:pPr>
          </w:p>
        </w:tc>
        <w:tc>
          <w:tcPr>
            <w:tcW w:w="27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39,463</w:t>
            </w:r>
          </w:p>
        </w:tc>
        <w:tc>
          <w:tcPr>
            <w:tcW w:w="120" w:type="dxa"/>
            <w:vAlign w:val="bottom"/>
            <w:shd w:val="clear" w:color="auto" w:fill="E2E2E2"/>
          </w:tcPr>
          <w:p>
            <w:pPr>
              <w:spacing w:after="0"/>
              <w:rPr>
                <w:sz w:val="19"/>
                <w:szCs w:val="19"/>
                <w:color w:val="auto"/>
              </w:rPr>
            </w:pPr>
          </w:p>
        </w:tc>
        <w:tc>
          <w:tcPr>
            <w:tcW w:w="15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1E1E1E"/>
              </w:rPr>
              <w:t>Utah</w:t>
            </w:r>
          </w:p>
        </w:tc>
        <w:tc>
          <w:tcPr>
            <w:tcW w:w="1740" w:type="dxa"/>
            <w:vAlign w:val="bottom"/>
            <w:gridSpan w:val="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1E1E1E"/>
              </w:rPr>
              <w:t>15,602</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8"/>
                <w:szCs w:val="18"/>
                <w:color w:val="1E1E1E"/>
              </w:rPr>
              <w:t>Washington</w:t>
            </w:r>
          </w:p>
        </w:tc>
        <w:tc>
          <w:tcPr>
            <w:tcW w:w="1740" w:type="dxa"/>
            <w:vAlign w:val="bottom"/>
            <w:gridSpan w:val="2"/>
            <w:shd w:val="clear" w:color="auto" w:fill="E2E2E2"/>
          </w:tcPr>
          <w:p>
            <w:pPr>
              <w:jc w:val="center"/>
              <w:ind w:left="249"/>
              <w:spacing w:after="0"/>
              <w:rPr>
                <w:sz w:val="20"/>
                <w:szCs w:val="20"/>
                <w:color w:val="auto"/>
              </w:rPr>
            </w:pPr>
            <w:r>
              <w:rPr>
                <w:rFonts w:ascii="Times New Roman" w:cs="Times New Roman" w:eastAsia="Times New Roman" w:hAnsi="Times New Roman"/>
                <w:sz w:val="18"/>
                <w:szCs w:val="18"/>
                <w:color w:val="1E1E1E"/>
                <w:w w:val="88"/>
              </w:rPr>
              <w:t>1</w:t>
            </w:r>
          </w:p>
        </w:tc>
        <w:tc>
          <w:tcPr>
            <w:tcW w:w="220" w:type="dxa"/>
            <w:vAlign w:val="bottom"/>
            <w:shd w:val="clear" w:color="auto" w:fill="E2E2E2"/>
          </w:tcPr>
          <w:p>
            <w:pPr>
              <w:spacing w:after="0"/>
              <w:rPr>
                <w:sz w:val="19"/>
                <w:szCs w:val="19"/>
                <w:color w:val="auto"/>
              </w:rPr>
            </w:pPr>
          </w:p>
        </w:tc>
        <w:tc>
          <w:tcPr>
            <w:tcW w:w="120" w:type="dxa"/>
            <w:vAlign w:val="bottom"/>
            <w:shd w:val="clear" w:color="auto" w:fill="E2E2E2"/>
          </w:tcPr>
          <w:p>
            <w:pPr>
              <w:spacing w:after="0"/>
              <w:rPr>
                <w:sz w:val="19"/>
                <w:szCs w:val="19"/>
                <w:color w:val="auto"/>
              </w:rPr>
            </w:pPr>
          </w:p>
        </w:tc>
        <w:tc>
          <w:tcPr>
            <w:tcW w:w="27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15,656</w:t>
            </w:r>
          </w:p>
        </w:tc>
        <w:tc>
          <w:tcPr>
            <w:tcW w:w="120" w:type="dxa"/>
            <w:vAlign w:val="bottom"/>
            <w:shd w:val="clear" w:color="auto" w:fill="E2E2E2"/>
          </w:tcPr>
          <w:p>
            <w:pPr>
              <w:spacing w:after="0"/>
              <w:rPr>
                <w:sz w:val="19"/>
                <w:szCs w:val="19"/>
                <w:color w:val="auto"/>
              </w:rPr>
            </w:pPr>
          </w:p>
        </w:tc>
        <w:tc>
          <w:tcPr>
            <w:tcW w:w="15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1"/>
        </w:trPr>
        <w:tc>
          <w:tcPr>
            <w:tcW w:w="2360" w:type="dxa"/>
            <w:vAlign w:val="bottom"/>
            <w:tcBorders>
              <w:bottom w:val="single" w:sz="8" w:color="1E1E1E"/>
            </w:tcBorders>
          </w:tcPr>
          <w:p>
            <w:pPr>
              <w:spacing w:after="0"/>
              <w:rPr>
                <w:sz w:val="19"/>
                <w:szCs w:val="19"/>
                <w:color w:val="auto"/>
              </w:rPr>
            </w:pPr>
          </w:p>
        </w:tc>
        <w:tc>
          <w:tcPr>
            <w:tcW w:w="120" w:type="dxa"/>
            <w:vAlign w:val="bottom"/>
            <w:tcBorders>
              <w:bottom w:val="single" w:sz="8" w:color="1E1E1E"/>
            </w:tcBorders>
          </w:tcPr>
          <w:p>
            <w:pPr>
              <w:spacing w:after="0"/>
              <w:rPr>
                <w:sz w:val="19"/>
                <w:szCs w:val="19"/>
                <w:color w:val="auto"/>
              </w:rPr>
            </w:pPr>
          </w:p>
        </w:tc>
        <w:tc>
          <w:tcPr>
            <w:tcW w:w="1620" w:type="dxa"/>
            <w:vAlign w:val="bottom"/>
            <w:tcBorders>
              <w:bottom w:val="single" w:sz="8" w:color="1E1E1E"/>
            </w:tcBorders>
          </w:tcPr>
          <w:p>
            <w:pPr>
              <w:spacing w:after="0"/>
              <w:rPr>
                <w:sz w:val="19"/>
                <w:szCs w:val="19"/>
                <w:color w:val="auto"/>
              </w:rPr>
            </w:pPr>
          </w:p>
        </w:tc>
        <w:tc>
          <w:tcPr>
            <w:tcW w:w="3040" w:type="dxa"/>
            <w:vAlign w:val="bottom"/>
            <w:tcBorders>
              <w:bottom w:val="single" w:sz="8" w:color="1E1E1E"/>
            </w:tcBorders>
            <w:gridSpan w:val="3"/>
          </w:tcPr>
          <w:p>
            <w:pPr>
              <w:jc w:val="center"/>
              <w:ind w:right="909"/>
              <w:spacing w:after="0"/>
              <w:rPr>
                <w:sz w:val="20"/>
                <w:szCs w:val="20"/>
                <w:color w:val="auto"/>
              </w:rPr>
            </w:pPr>
            <w:r>
              <w:rPr>
                <w:rFonts w:ascii="Times New Roman" w:cs="Times New Roman" w:eastAsia="Times New Roman" w:hAnsi="Times New Roman"/>
                <w:sz w:val="18"/>
                <w:szCs w:val="18"/>
                <w:b w:val="1"/>
                <w:bCs w:val="1"/>
                <w:color w:val="1E1E1E"/>
                <w:w w:val="99"/>
              </w:rPr>
              <w:t>Leased to Open New Store</w:t>
            </w:r>
          </w:p>
        </w:tc>
        <w:tc>
          <w:tcPr>
            <w:tcW w:w="120" w:type="dxa"/>
            <w:vAlign w:val="bottom"/>
            <w:tcBorders>
              <w:bottom w:val="single" w:sz="8" w:color="1E1E1E"/>
            </w:tcBorders>
          </w:tcPr>
          <w:p>
            <w:pPr>
              <w:spacing w:after="0"/>
              <w:rPr>
                <w:sz w:val="19"/>
                <w:szCs w:val="19"/>
                <w:color w:val="auto"/>
              </w:rPr>
            </w:pPr>
          </w:p>
        </w:tc>
        <w:tc>
          <w:tcPr>
            <w:tcW w:w="1320" w:type="dxa"/>
            <w:vAlign w:val="bottom"/>
            <w:tcBorders>
              <w:bottom w:val="single" w:sz="8" w:color="1E1E1E"/>
            </w:tcBorders>
          </w:tcPr>
          <w:p>
            <w:pPr>
              <w:spacing w:after="0"/>
              <w:rPr>
                <w:sz w:val="19"/>
                <w:szCs w:val="19"/>
                <w:color w:val="auto"/>
              </w:rPr>
            </w:pPr>
          </w:p>
        </w:tc>
        <w:tc>
          <w:tcPr>
            <w:tcW w:w="120" w:type="dxa"/>
            <w:vAlign w:val="bottom"/>
            <w:tcBorders>
              <w:bottom w:val="single" w:sz="8" w:color="1E1E1E"/>
            </w:tcBorders>
          </w:tcPr>
          <w:p>
            <w:pPr>
              <w:spacing w:after="0"/>
              <w:rPr>
                <w:sz w:val="19"/>
                <w:szCs w:val="19"/>
                <w:color w:val="auto"/>
              </w:rPr>
            </w:pPr>
          </w:p>
        </w:tc>
        <w:tc>
          <w:tcPr>
            <w:tcW w:w="1540" w:type="dxa"/>
            <w:vAlign w:val="bottom"/>
            <w:tcBorders>
              <w:bottom w:val="single" w:sz="8" w:color="1E1E1E"/>
            </w:tcBorders>
          </w:tcPr>
          <w:p>
            <w:pPr>
              <w:spacing w:after="0"/>
              <w:rPr>
                <w:sz w:val="19"/>
                <w:szCs w:val="19"/>
                <w:color w:val="auto"/>
              </w:rPr>
            </w:pPr>
          </w:p>
        </w:tc>
      </w:tr>
      <w:tr>
        <w:trPr>
          <w:trHeight w:val="206"/>
        </w:trPr>
        <w:tc>
          <w:tcPr>
            <w:tcW w:w="2360" w:type="dxa"/>
            <w:vAlign w:val="bottom"/>
            <w:shd w:val="clear" w:color="auto" w:fill="E2E2E2"/>
          </w:tcPr>
          <w:p>
            <w:pPr>
              <w:spacing w:after="0" w:line="206" w:lineRule="exact"/>
              <w:rPr>
                <w:sz w:val="20"/>
                <w:szCs w:val="20"/>
                <w:color w:val="auto"/>
              </w:rPr>
            </w:pPr>
            <w:r>
              <w:rPr>
                <w:rFonts w:ascii="Times New Roman" w:cs="Times New Roman" w:eastAsia="Times New Roman" w:hAnsi="Times New Roman"/>
                <w:sz w:val="18"/>
                <w:szCs w:val="18"/>
                <w:color w:val="1E1E1E"/>
              </w:rPr>
              <w:t>Kansas City, Missouri</w:t>
            </w:r>
          </w:p>
        </w:tc>
        <w:tc>
          <w:tcPr>
            <w:tcW w:w="120" w:type="dxa"/>
            <w:vAlign w:val="bottom"/>
            <w:shd w:val="clear" w:color="auto" w:fill="E2E2E2"/>
          </w:tcPr>
          <w:p>
            <w:pPr>
              <w:spacing w:after="0"/>
              <w:rPr>
                <w:sz w:val="17"/>
                <w:szCs w:val="17"/>
                <w:color w:val="auto"/>
              </w:rPr>
            </w:pPr>
          </w:p>
        </w:tc>
        <w:tc>
          <w:tcPr>
            <w:tcW w:w="1620" w:type="dxa"/>
            <w:vAlign w:val="bottom"/>
            <w:shd w:val="clear" w:color="auto" w:fill="E2E2E2"/>
          </w:tcPr>
          <w:p>
            <w:pPr>
              <w:spacing w:after="0"/>
              <w:rPr>
                <w:sz w:val="17"/>
                <w:szCs w:val="17"/>
                <w:color w:val="auto"/>
              </w:rPr>
            </w:pPr>
          </w:p>
        </w:tc>
        <w:tc>
          <w:tcPr>
            <w:tcW w:w="220" w:type="dxa"/>
            <w:vAlign w:val="bottom"/>
            <w:shd w:val="clear" w:color="auto" w:fill="E2E2E2"/>
          </w:tcPr>
          <w:p>
            <w:pPr>
              <w:spacing w:after="0"/>
              <w:rPr>
                <w:sz w:val="17"/>
                <w:szCs w:val="17"/>
                <w:color w:val="auto"/>
              </w:rPr>
            </w:pPr>
          </w:p>
        </w:tc>
        <w:tc>
          <w:tcPr>
            <w:tcW w:w="120" w:type="dxa"/>
            <w:vAlign w:val="bottom"/>
            <w:shd w:val="clear" w:color="auto" w:fill="E2E2E2"/>
          </w:tcPr>
          <w:p>
            <w:pPr>
              <w:spacing w:after="0"/>
              <w:rPr>
                <w:sz w:val="17"/>
                <w:szCs w:val="17"/>
                <w:color w:val="auto"/>
              </w:rPr>
            </w:pPr>
          </w:p>
        </w:tc>
        <w:tc>
          <w:tcPr>
            <w:tcW w:w="2700" w:type="dxa"/>
            <w:vAlign w:val="bottom"/>
            <w:shd w:val="clear" w:color="auto" w:fill="E2E2E2"/>
          </w:tcPr>
          <w:p>
            <w:pPr>
              <w:jc w:val="center"/>
              <w:spacing w:after="0" w:line="206" w:lineRule="exact"/>
              <w:rPr>
                <w:sz w:val="20"/>
                <w:szCs w:val="20"/>
                <w:color w:val="auto"/>
              </w:rPr>
            </w:pPr>
            <w:r>
              <w:rPr>
                <w:rFonts w:ascii="Times New Roman" w:cs="Times New Roman" w:eastAsia="Times New Roman" w:hAnsi="Times New Roman"/>
                <w:sz w:val="18"/>
                <w:szCs w:val="18"/>
                <w:color w:val="1E1E1E"/>
                <w:w w:val="99"/>
              </w:rPr>
              <w:t>Store</w:t>
            </w:r>
          </w:p>
        </w:tc>
        <w:tc>
          <w:tcPr>
            <w:tcW w:w="1440" w:type="dxa"/>
            <w:vAlign w:val="bottom"/>
            <w:gridSpan w:val="2"/>
            <w:shd w:val="clear" w:color="auto" w:fill="E2E2E2"/>
          </w:tcPr>
          <w:p>
            <w:pPr>
              <w:jc w:val="center"/>
              <w:spacing w:after="0" w:line="206" w:lineRule="exact"/>
              <w:rPr>
                <w:sz w:val="20"/>
                <w:szCs w:val="20"/>
                <w:color w:val="auto"/>
              </w:rPr>
            </w:pPr>
            <w:r>
              <w:rPr>
                <w:rFonts w:ascii="Times New Roman" w:cs="Times New Roman" w:eastAsia="Times New Roman" w:hAnsi="Times New Roman"/>
                <w:sz w:val="18"/>
                <w:szCs w:val="18"/>
                <w:color w:val="1E1E1E"/>
              </w:rPr>
              <w:t>16,045</w:t>
            </w:r>
          </w:p>
        </w:tc>
        <w:tc>
          <w:tcPr>
            <w:tcW w:w="120" w:type="dxa"/>
            <w:vAlign w:val="bottom"/>
            <w:shd w:val="clear" w:color="auto" w:fill="E2E2E2"/>
          </w:tcPr>
          <w:p>
            <w:pPr>
              <w:spacing w:after="0"/>
              <w:rPr>
                <w:sz w:val="17"/>
                <w:szCs w:val="17"/>
                <w:color w:val="auto"/>
              </w:rPr>
            </w:pPr>
          </w:p>
        </w:tc>
        <w:tc>
          <w:tcPr>
            <w:tcW w:w="1540" w:type="dxa"/>
            <w:vAlign w:val="bottom"/>
            <w:shd w:val="clear" w:color="auto" w:fill="E2E2E2"/>
          </w:tcPr>
          <w:p>
            <w:pPr>
              <w:jc w:val="center"/>
              <w:spacing w:after="0" w:line="206" w:lineRule="exact"/>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tcBorders>
              <w:bottom w:val="single" w:sz="8" w:color="1E1E1E"/>
            </w:tcBorders>
          </w:tcPr>
          <w:p>
            <w:pPr>
              <w:spacing w:after="0"/>
              <w:rPr>
                <w:sz w:val="19"/>
                <w:szCs w:val="19"/>
                <w:color w:val="auto"/>
              </w:rPr>
            </w:pPr>
          </w:p>
        </w:tc>
        <w:tc>
          <w:tcPr>
            <w:tcW w:w="120" w:type="dxa"/>
            <w:vAlign w:val="bottom"/>
            <w:tcBorders>
              <w:bottom w:val="single" w:sz="8" w:color="1E1E1E"/>
            </w:tcBorders>
          </w:tcPr>
          <w:p>
            <w:pPr>
              <w:spacing w:after="0"/>
              <w:rPr>
                <w:sz w:val="19"/>
                <w:szCs w:val="19"/>
                <w:color w:val="auto"/>
              </w:rPr>
            </w:pPr>
          </w:p>
        </w:tc>
        <w:tc>
          <w:tcPr>
            <w:tcW w:w="1620" w:type="dxa"/>
            <w:vAlign w:val="bottom"/>
            <w:tcBorders>
              <w:bottom w:val="single" w:sz="8" w:color="1E1E1E"/>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120" w:type="dxa"/>
            <w:vAlign w:val="bottom"/>
            <w:tcBorders>
              <w:bottom w:val="single" w:sz="8" w:color="1E1E1E"/>
            </w:tcBorders>
          </w:tcPr>
          <w:p>
            <w:pPr>
              <w:spacing w:after="0"/>
              <w:rPr>
                <w:sz w:val="19"/>
                <w:szCs w:val="19"/>
                <w:color w:val="auto"/>
              </w:rPr>
            </w:pPr>
          </w:p>
        </w:tc>
        <w:tc>
          <w:tcPr>
            <w:tcW w:w="2700" w:type="dxa"/>
            <w:vAlign w:val="bottom"/>
            <w:tcBorders>
              <w:bottom w:val="single" w:sz="8" w:color="1E1E1E"/>
            </w:tcBorders>
          </w:tcPr>
          <w:p>
            <w:pPr>
              <w:jc w:val="center"/>
              <w:ind w:right="1249"/>
              <w:spacing w:after="0"/>
              <w:rPr>
                <w:sz w:val="20"/>
                <w:szCs w:val="20"/>
                <w:color w:val="auto"/>
              </w:rPr>
            </w:pPr>
            <w:r>
              <w:rPr>
                <w:rFonts w:ascii="Times New Roman" w:cs="Times New Roman" w:eastAsia="Times New Roman" w:hAnsi="Times New Roman"/>
                <w:sz w:val="18"/>
                <w:szCs w:val="18"/>
                <w:b w:val="1"/>
                <w:bCs w:val="1"/>
                <w:color w:val="1E1E1E"/>
              </w:rPr>
              <w:t>Other</w:t>
            </w:r>
          </w:p>
        </w:tc>
        <w:tc>
          <w:tcPr>
            <w:tcW w:w="120" w:type="dxa"/>
            <w:vAlign w:val="bottom"/>
            <w:tcBorders>
              <w:bottom w:val="single" w:sz="8" w:color="1E1E1E"/>
            </w:tcBorders>
          </w:tcPr>
          <w:p>
            <w:pPr>
              <w:spacing w:after="0"/>
              <w:rPr>
                <w:sz w:val="19"/>
                <w:szCs w:val="19"/>
                <w:color w:val="auto"/>
              </w:rPr>
            </w:pPr>
          </w:p>
        </w:tc>
        <w:tc>
          <w:tcPr>
            <w:tcW w:w="1320" w:type="dxa"/>
            <w:vAlign w:val="bottom"/>
            <w:tcBorders>
              <w:bottom w:val="single" w:sz="8" w:color="1E1E1E"/>
            </w:tcBorders>
          </w:tcPr>
          <w:p>
            <w:pPr>
              <w:spacing w:after="0"/>
              <w:rPr>
                <w:sz w:val="19"/>
                <w:szCs w:val="19"/>
                <w:color w:val="auto"/>
              </w:rPr>
            </w:pPr>
          </w:p>
        </w:tc>
        <w:tc>
          <w:tcPr>
            <w:tcW w:w="120" w:type="dxa"/>
            <w:vAlign w:val="bottom"/>
            <w:tcBorders>
              <w:bottom w:val="single" w:sz="8" w:color="1E1E1E"/>
            </w:tcBorders>
          </w:tcPr>
          <w:p>
            <w:pPr>
              <w:spacing w:after="0"/>
              <w:rPr>
                <w:sz w:val="19"/>
                <w:szCs w:val="19"/>
                <w:color w:val="auto"/>
              </w:rPr>
            </w:pPr>
          </w:p>
        </w:tc>
        <w:tc>
          <w:tcPr>
            <w:tcW w:w="1540" w:type="dxa"/>
            <w:vAlign w:val="bottom"/>
            <w:tcBorders>
              <w:bottom w:val="single" w:sz="8" w:color="1E1E1E"/>
            </w:tcBorders>
          </w:tcPr>
          <w:p>
            <w:pPr>
              <w:spacing w:after="0"/>
              <w:rPr>
                <w:sz w:val="19"/>
                <w:szCs w:val="19"/>
                <w:color w:val="auto"/>
              </w:rPr>
            </w:pPr>
          </w:p>
        </w:tc>
      </w:tr>
      <w:tr>
        <w:trPr>
          <w:trHeight w:val="206"/>
        </w:trPr>
        <w:tc>
          <w:tcPr>
            <w:tcW w:w="2360" w:type="dxa"/>
            <w:vAlign w:val="bottom"/>
            <w:shd w:val="clear" w:color="auto" w:fill="E2E2E2"/>
          </w:tcPr>
          <w:p>
            <w:pPr>
              <w:spacing w:after="0" w:line="206" w:lineRule="exact"/>
              <w:rPr>
                <w:sz w:val="20"/>
                <w:szCs w:val="20"/>
                <w:color w:val="auto"/>
              </w:rPr>
            </w:pPr>
            <w:r>
              <w:rPr>
                <w:rFonts w:ascii="Times New Roman" w:cs="Times New Roman" w:eastAsia="Times New Roman" w:hAnsi="Times New Roman"/>
                <w:sz w:val="18"/>
                <w:szCs w:val="18"/>
                <w:color w:val="1E1E1E"/>
              </w:rPr>
              <w:t>Mount Horeb, WI</w:t>
            </w:r>
          </w:p>
        </w:tc>
        <w:tc>
          <w:tcPr>
            <w:tcW w:w="120" w:type="dxa"/>
            <w:vAlign w:val="bottom"/>
            <w:shd w:val="clear" w:color="auto" w:fill="E2E2E2"/>
          </w:tcPr>
          <w:p>
            <w:pPr>
              <w:spacing w:after="0"/>
              <w:rPr>
                <w:sz w:val="17"/>
                <w:szCs w:val="17"/>
                <w:color w:val="auto"/>
              </w:rPr>
            </w:pPr>
          </w:p>
        </w:tc>
        <w:tc>
          <w:tcPr>
            <w:tcW w:w="1620" w:type="dxa"/>
            <w:vAlign w:val="bottom"/>
            <w:shd w:val="clear" w:color="auto" w:fill="E2E2E2"/>
          </w:tcPr>
          <w:p>
            <w:pPr>
              <w:spacing w:after="0"/>
              <w:rPr>
                <w:sz w:val="17"/>
                <w:szCs w:val="17"/>
                <w:color w:val="auto"/>
              </w:rPr>
            </w:pPr>
          </w:p>
        </w:tc>
        <w:tc>
          <w:tcPr>
            <w:tcW w:w="220" w:type="dxa"/>
            <w:vAlign w:val="bottom"/>
            <w:shd w:val="clear" w:color="auto" w:fill="E2E2E2"/>
          </w:tcPr>
          <w:p>
            <w:pPr>
              <w:spacing w:after="0"/>
              <w:rPr>
                <w:sz w:val="17"/>
                <w:szCs w:val="17"/>
                <w:color w:val="auto"/>
              </w:rPr>
            </w:pPr>
          </w:p>
        </w:tc>
        <w:tc>
          <w:tcPr>
            <w:tcW w:w="120" w:type="dxa"/>
            <w:vAlign w:val="bottom"/>
            <w:shd w:val="clear" w:color="auto" w:fill="E2E2E2"/>
          </w:tcPr>
          <w:p>
            <w:pPr>
              <w:spacing w:after="0"/>
              <w:rPr>
                <w:sz w:val="17"/>
                <w:szCs w:val="17"/>
                <w:color w:val="auto"/>
              </w:rPr>
            </w:pPr>
          </w:p>
        </w:tc>
        <w:tc>
          <w:tcPr>
            <w:tcW w:w="2700" w:type="dxa"/>
            <w:vAlign w:val="bottom"/>
            <w:shd w:val="clear" w:color="auto" w:fill="E2E2E2"/>
          </w:tcPr>
          <w:p>
            <w:pPr>
              <w:jc w:val="center"/>
              <w:spacing w:after="0" w:line="206" w:lineRule="exact"/>
              <w:rPr>
                <w:sz w:val="20"/>
                <w:szCs w:val="20"/>
                <w:color w:val="auto"/>
              </w:rPr>
            </w:pPr>
            <w:r>
              <w:rPr>
                <w:rFonts w:ascii="Times New Roman" w:cs="Times New Roman" w:eastAsia="Times New Roman" w:hAnsi="Times New Roman"/>
                <w:sz w:val="18"/>
                <w:szCs w:val="18"/>
                <w:color w:val="1E1E1E"/>
              </w:rPr>
              <w:t>Photo Studio</w:t>
            </w:r>
          </w:p>
        </w:tc>
        <w:tc>
          <w:tcPr>
            <w:tcW w:w="1440" w:type="dxa"/>
            <w:vAlign w:val="bottom"/>
            <w:gridSpan w:val="2"/>
            <w:shd w:val="clear" w:color="auto" w:fill="E2E2E2"/>
          </w:tcPr>
          <w:p>
            <w:pPr>
              <w:jc w:val="center"/>
              <w:spacing w:after="0" w:line="206" w:lineRule="exact"/>
              <w:rPr>
                <w:sz w:val="20"/>
                <w:szCs w:val="20"/>
                <w:color w:val="auto"/>
              </w:rPr>
            </w:pPr>
            <w:r>
              <w:rPr>
                <w:rFonts w:ascii="Times New Roman" w:cs="Times New Roman" w:eastAsia="Times New Roman" w:hAnsi="Times New Roman"/>
                <w:sz w:val="18"/>
                <w:szCs w:val="18"/>
                <w:color w:val="1E1E1E"/>
                <w:w w:val="98"/>
              </w:rPr>
              <w:t>7,000</w:t>
            </w:r>
          </w:p>
        </w:tc>
        <w:tc>
          <w:tcPr>
            <w:tcW w:w="120" w:type="dxa"/>
            <w:vAlign w:val="bottom"/>
            <w:shd w:val="clear" w:color="auto" w:fill="E2E2E2"/>
          </w:tcPr>
          <w:p>
            <w:pPr>
              <w:spacing w:after="0"/>
              <w:rPr>
                <w:sz w:val="17"/>
                <w:szCs w:val="17"/>
                <w:color w:val="auto"/>
              </w:rPr>
            </w:pPr>
          </w:p>
        </w:tc>
        <w:tc>
          <w:tcPr>
            <w:tcW w:w="1540" w:type="dxa"/>
            <w:vAlign w:val="bottom"/>
            <w:shd w:val="clear" w:color="auto" w:fill="E2E2E2"/>
          </w:tcPr>
          <w:p>
            <w:pPr>
              <w:jc w:val="center"/>
              <w:spacing w:after="0" w:line="206" w:lineRule="exact"/>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1E1E1E"/>
              </w:rPr>
              <w:t>Belleville, WI</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Outlet store</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1E1E1E"/>
              </w:rPr>
              <w:t>17,890</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Owned</w:t>
            </w:r>
          </w:p>
        </w:tc>
      </w:tr>
      <w:tr>
        <w:trPr>
          <w:trHeight w:val="226"/>
        </w:trPr>
        <w:tc>
          <w:tcPr>
            <w:tcW w:w="2360" w:type="dxa"/>
            <w:vAlign w:val="bottom"/>
            <w:shd w:val="clear" w:color="auto" w:fill="E2E2E2"/>
          </w:tcPr>
          <w:p>
            <w:pPr>
              <w:spacing w:after="0"/>
              <w:rPr>
                <w:sz w:val="20"/>
                <w:szCs w:val="20"/>
                <w:color w:val="auto"/>
              </w:rPr>
            </w:pPr>
            <w:r>
              <w:rPr>
                <w:rFonts w:ascii="Times New Roman" w:cs="Times New Roman" w:eastAsia="Times New Roman" w:hAnsi="Times New Roman"/>
                <w:sz w:val="18"/>
                <w:szCs w:val="18"/>
                <w:color w:val="1E1E1E"/>
              </w:rPr>
              <w:t>Oshkosh, WI</w:t>
            </w:r>
          </w:p>
        </w:tc>
        <w:tc>
          <w:tcPr>
            <w:tcW w:w="120" w:type="dxa"/>
            <w:vAlign w:val="bottom"/>
            <w:shd w:val="clear" w:color="auto" w:fill="E2E2E2"/>
          </w:tcPr>
          <w:p>
            <w:pPr>
              <w:spacing w:after="0"/>
              <w:rPr>
                <w:sz w:val="19"/>
                <w:szCs w:val="19"/>
                <w:color w:val="auto"/>
              </w:rPr>
            </w:pPr>
          </w:p>
        </w:tc>
        <w:tc>
          <w:tcPr>
            <w:tcW w:w="1620" w:type="dxa"/>
            <w:vAlign w:val="bottom"/>
            <w:shd w:val="clear" w:color="auto" w:fill="E2E2E2"/>
          </w:tcPr>
          <w:p>
            <w:pPr>
              <w:spacing w:after="0"/>
              <w:rPr>
                <w:sz w:val="19"/>
                <w:szCs w:val="19"/>
                <w:color w:val="auto"/>
              </w:rPr>
            </w:pPr>
          </w:p>
        </w:tc>
        <w:tc>
          <w:tcPr>
            <w:tcW w:w="220" w:type="dxa"/>
            <w:vAlign w:val="bottom"/>
            <w:shd w:val="clear" w:color="auto" w:fill="E2E2E2"/>
          </w:tcPr>
          <w:p>
            <w:pPr>
              <w:spacing w:after="0"/>
              <w:rPr>
                <w:sz w:val="19"/>
                <w:szCs w:val="19"/>
                <w:color w:val="auto"/>
              </w:rPr>
            </w:pPr>
          </w:p>
        </w:tc>
        <w:tc>
          <w:tcPr>
            <w:tcW w:w="120" w:type="dxa"/>
            <w:vAlign w:val="bottom"/>
            <w:shd w:val="clear" w:color="auto" w:fill="E2E2E2"/>
          </w:tcPr>
          <w:p>
            <w:pPr>
              <w:spacing w:after="0"/>
              <w:rPr>
                <w:sz w:val="19"/>
                <w:szCs w:val="19"/>
                <w:color w:val="auto"/>
              </w:rPr>
            </w:pPr>
          </w:p>
        </w:tc>
        <w:tc>
          <w:tcPr>
            <w:tcW w:w="27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Outlet store</w:t>
            </w:r>
          </w:p>
        </w:tc>
        <w:tc>
          <w:tcPr>
            <w:tcW w:w="144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12,777</w:t>
            </w:r>
          </w:p>
        </w:tc>
        <w:tc>
          <w:tcPr>
            <w:tcW w:w="120" w:type="dxa"/>
            <w:vAlign w:val="bottom"/>
            <w:shd w:val="clear" w:color="auto" w:fill="E2E2E2"/>
          </w:tcPr>
          <w:p>
            <w:pPr>
              <w:spacing w:after="0"/>
              <w:rPr>
                <w:sz w:val="19"/>
                <w:szCs w:val="19"/>
                <w:color w:val="auto"/>
              </w:rPr>
            </w:pPr>
          </w:p>
        </w:tc>
        <w:tc>
          <w:tcPr>
            <w:tcW w:w="15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1E1E1E"/>
              </w:rPr>
              <w:t>Red Wing, MN</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Outlet store</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1E1E1E"/>
              </w:rPr>
              <w:t>15,560</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shd w:val="clear" w:color="auto" w:fill="E2E2E2"/>
          </w:tcPr>
          <w:p>
            <w:pPr>
              <w:spacing w:after="0"/>
              <w:rPr>
                <w:sz w:val="20"/>
                <w:szCs w:val="20"/>
                <w:color w:val="auto"/>
              </w:rPr>
            </w:pPr>
            <w:r>
              <w:rPr>
                <w:rFonts w:ascii="Times New Roman" w:cs="Times New Roman" w:eastAsia="Times New Roman" w:hAnsi="Times New Roman"/>
                <w:sz w:val="18"/>
                <w:szCs w:val="18"/>
                <w:color w:val="1E1E1E"/>
              </w:rPr>
              <w:t>Mount Horeb, WI</w:t>
            </w:r>
          </w:p>
        </w:tc>
        <w:tc>
          <w:tcPr>
            <w:tcW w:w="120" w:type="dxa"/>
            <w:vAlign w:val="bottom"/>
            <w:shd w:val="clear" w:color="auto" w:fill="E2E2E2"/>
          </w:tcPr>
          <w:p>
            <w:pPr>
              <w:spacing w:after="0"/>
              <w:rPr>
                <w:sz w:val="19"/>
                <w:szCs w:val="19"/>
                <w:color w:val="auto"/>
              </w:rPr>
            </w:pPr>
          </w:p>
        </w:tc>
        <w:tc>
          <w:tcPr>
            <w:tcW w:w="1620" w:type="dxa"/>
            <w:vAlign w:val="bottom"/>
            <w:shd w:val="clear" w:color="auto" w:fill="E2E2E2"/>
          </w:tcPr>
          <w:p>
            <w:pPr>
              <w:spacing w:after="0"/>
              <w:rPr>
                <w:sz w:val="19"/>
                <w:szCs w:val="19"/>
                <w:color w:val="auto"/>
              </w:rPr>
            </w:pPr>
          </w:p>
        </w:tc>
        <w:tc>
          <w:tcPr>
            <w:tcW w:w="220" w:type="dxa"/>
            <w:vAlign w:val="bottom"/>
            <w:shd w:val="clear" w:color="auto" w:fill="E2E2E2"/>
          </w:tcPr>
          <w:p>
            <w:pPr>
              <w:spacing w:after="0"/>
              <w:rPr>
                <w:sz w:val="19"/>
                <w:szCs w:val="19"/>
                <w:color w:val="auto"/>
              </w:rPr>
            </w:pPr>
          </w:p>
        </w:tc>
        <w:tc>
          <w:tcPr>
            <w:tcW w:w="120" w:type="dxa"/>
            <w:vAlign w:val="bottom"/>
            <w:shd w:val="clear" w:color="auto" w:fill="E2E2E2"/>
          </w:tcPr>
          <w:p>
            <w:pPr>
              <w:spacing w:after="0"/>
              <w:rPr>
                <w:sz w:val="19"/>
                <w:szCs w:val="19"/>
                <w:color w:val="auto"/>
              </w:rPr>
            </w:pPr>
          </w:p>
        </w:tc>
        <w:tc>
          <w:tcPr>
            <w:tcW w:w="27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Corporate headquarters</w:t>
            </w:r>
          </w:p>
        </w:tc>
        <w:tc>
          <w:tcPr>
            <w:tcW w:w="144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108,000</w:t>
            </w:r>
          </w:p>
        </w:tc>
        <w:tc>
          <w:tcPr>
            <w:tcW w:w="120" w:type="dxa"/>
            <w:vAlign w:val="bottom"/>
            <w:shd w:val="clear" w:color="auto" w:fill="E2E2E2"/>
          </w:tcPr>
          <w:p>
            <w:pPr>
              <w:spacing w:after="0"/>
              <w:rPr>
                <w:sz w:val="19"/>
                <w:szCs w:val="19"/>
                <w:color w:val="auto"/>
              </w:rPr>
            </w:pPr>
          </w:p>
        </w:tc>
        <w:tc>
          <w:tcPr>
            <w:tcW w:w="15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1"/>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1E1E1E"/>
              </w:rPr>
              <w:t>Kowloon, Hong Kong</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Office</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1E1E1E"/>
                <w:w w:val="98"/>
              </w:rPr>
              <w:t>1,855</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shd w:val="clear" w:color="auto" w:fill="E2E2E2"/>
          </w:tcPr>
          <w:p>
            <w:pPr>
              <w:spacing w:after="0"/>
              <w:rPr>
                <w:sz w:val="20"/>
                <w:szCs w:val="20"/>
                <w:color w:val="auto"/>
              </w:rPr>
            </w:pPr>
            <w:r>
              <w:rPr>
                <w:rFonts w:ascii="Times New Roman" w:cs="Times New Roman" w:eastAsia="Times New Roman" w:hAnsi="Times New Roman"/>
                <w:sz w:val="18"/>
                <w:szCs w:val="18"/>
                <w:color w:val="1E1E1E"/>
              </w:rPr>
              <w:t>Belleville, WI</w:t>
            </w:r>
          </w:p>
        </w:tc>
        <w:tc>
          <w:tcPr>
            <w:tcW w:w="120" w:type="dxa"/>
            <w:vAlign w:val="bottom"/>
            <w:shd w:val="clear" w:color="auto" w:fill="E2E2E2"/>
          </w:tcPr>
          <w:p>
            <w:pPr>
              <w:spacing w:after="0"/>
              <w:rPr>
                <w:sz w:val="19"/>
                <w:szCs w:val="19"/>
                <w:color w:val="auto"/>
              </w:rPr>
            </w:pPr>
          </w:p>
        </w:tc>
        <w:tc>
          <w:tcPr>
            <w:tcW w:w="1620" w:type="dxa"/>
            <w:vAlign w:val="bottom"/>
            <w:shd w:val="clear" w:color="auto" w:fill="E2E2E2"/>
          </w:tcPr>
          <w:p>
            <w:pPr>
              <w:spacing w:after="0"/>
              <w:rPr>
                <w:sz w:val="19"/>
                <w:szCs w:val="19"/>
                <w:color w:val="auto"/>
              </w:rPr>
            </w:pPr>
          </w:p>
        </w:tc>
        <w:tc>
          <w:tcPr>
            <w:tcW w:w="220" w:type="dxa"/>
            <w:vAlign w:val="bottom"/>
            <w:shd w:val="clear" w:color="auto" w:fill="E2E2E2"/>
          </w:tcPr>
          <w:p>
            <w:pPr>
              <w:spacing w:after="0"/>
              <w:rPr>
                <w:sz w:val="19"/>
                <w:szCs w:val="19"/>
                <w:color w:val="auto"/>
              </w:rPr>
            </w:pPr>
          </w:p>
        </w:tc>
        <w:tc>
          <w:tcPr>
            <w:tcW w:w="120" w:type="dxa"/>
            <w:vAlign w:val="bottom"/>
            <w:shd w:val="clear" w:color="auto" w:fill="E2E2E2"/>
          </w:tcPr>
          <w:p>
            <w:pPr>
              <w:spacing w:after="0"/>
              <w:rPr>
                <w:sz w:val="19"/>
                <w:szCs w:val="19"/>
                <w:color w:val="auto"/>
              </w:rPr>
            </w:pPr>
          </w:p>
        </w:tc>
        <w:tc>
          <w:tcPr>
            <w:tcW w:w="27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Fulfillment center</w:t>
            </w:r>
          </w:p>
        </w:tc>
        <w:tc>
          <w:tcPr>
            <w:tcW w:w="144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220,000</w:t>
            </w:r>
          </w:p>
        </w:tc>
        <w:tc>
          <w:tcPr>
            <w:tcW w:w="120" w:type="dxa"/>
            <w:vAlign w:val="bottom"/>
            <w:shd w:val="clear" w:color="auto" w:fill="E2E2E2"/>
          </w:tcPr>
          <w:p>
            <w:pPr>
              <w:spacing w:after="0"/>
              <w:rPr>
                <w:sz w:val="19"/>
                <w:szCs w:val="19"/>
                <w:color w:val="auto"/>
              </w:rPr>
            </w:pPr>
          </w:p>
        </w:tc>
        <w:tc>
          <w:tcPr>
            <w:tcW w:w="15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Owned</w:t>
            </w:r>
          </w:p>
        </w:tc>
      </w:tr>
      <w:tr>
        <w:trPr>
          <w:trHeight w:val="22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1E1E1E"/>
              </w:rPr>
              <w:t>Adairsville, GA</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Fulfillment center</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1E1E1E"/>
                <w:w w:val="99"/>
              </w:rPr>
              <w:t>494,144</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r>
        <w:trPr>
          <w:trHeight w:val="226"/>
        </w:trPr>
        <w:tc>
          <w:tcPr>
            <w:tcW w:w="2360" w:type="dxa"/>
            <w:vAlign w:val="bottom"/>
            <w:shd w:val="clear" w:color="auto" w:fill="E2E2E2"/>
          </w:tcPr>
          <w:p>
            <w:pPr>
              <w:spacing w:after="0"/>
              <w:rPr>
                <w:sz w:val="20"/>
                <w:szCs w:val="20"/>
                <w:color w:val="auto"/>
              </w:rPr>
            </w:pPr>
            <w:r>
              <w:rPr>
                <w:rFonts w:ascii="Times New Roman" w:cs="Times New Roman" w:eastAsia="Times New Roman" w:hAnsi="Times New Roman"/>
                <w:sz w:val="18"/>
                <w:szCs w:val="18"/>
                <w:color w:val="1E1E1E"/>
              </w:rPr>
              <w:t>Salt Lake City, UT</w:t>
            </w:r>
          </w:p>
        </w:tc>
        <w:tc>
          <w:tcPr>
            <w:tcW w:w="120" w:type="dxa"/>
            <w:vAlign w:val="bottom"/>
            <w:shd w:val="clear" w:color="auto" w:fill="E2E2E2"/>
          </w:tcPr>
          <w:p>
            <w:pPr>
              <w:spacing w:after="0"/>
              <w:rPr>
                <w:sz w:val="19"/>
                <w:szCs w:val="19"/>
                <w:color w:val="auto"/>
              </w:rPr>
            </w:pPr>
          </w:p>
        </w:tc>
        <w:tc>
          <w:tcPr>
            <w:tcW w:w="1620" w:type="dxa"/>
            <w:vAlign w:val="bottom"/>
            <w:shd w:val="clear" w:color="auto" w:fill="E2E2E2"/>
          </w:tcPr>
          <w:p>
            <w:pPr>
              <w:spacing w:after="0"/>
              <w:rPr>
                <w:sz w:val="19"/>
                <w:szCs w:val="19"/>
                <w:color w:val="auto"/>
              </w:rPr>
            </w:pPr>
          </w:p>
        </w:tc>
        <w:tc>
          <w:tcPr>
            <w:tcW w:w="220" w:type="dxa"/>
            <w:vAlign w:val="bottom"/>
            <w:shd w:val="clear" w:color="auto" w:fill="E2E2E2"/>
          </w:tcPr>
          <w:p>
            <w:pPr>
              <w:spacing w:after="0"/>
              <w:rPr>
                <w:sz w:val="19"/>
                <w:szCs w:val="19"/>
                <w:color w:val="auto"/>
              </w:rPr>
            </w:pPr>
          </w:p>
        </w:tc>
        <w:tc>
          <w:tcPr>
            <w:tcW w:w="120" w:type="dxa"/>
            <w:vAlign w:val="bottom"/>
            <w:shd w:val="clear" w:color="auto" w:fill="E2E2E2"/>
          </w:tcPr>
          <w:p>
            <w:pPr>
              <w:spacing w:after="0"/>
              <w:rPr>
                <w:sz w:val="19"/>
                <w:szCs w:val="19"/>
                <w:color w:val="auto"/>
              </w:rPr>
            </w:pPr>
          </w:p>
        </w:tc>
        <w:tc>
          <w:tcPr>
            <w:tcW w:w="27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Fulfillment center</w:t>
            </w:r>
          </w:p>
        </w:tc>
        <w:tc>
          <w:tcPr>
            <w:tcW w:w="144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228,800</w:t>
            </w:r>
          </w:p>
        </w:tc>
        <w:tc>
          <w:tcPr>
            <w:tcW w:w="120" w:type="dxa"/>
            <w:vAlign w:val="bottom"/>
            <w:shd w:val="clear" w:color="auto" w:fill="E2E2E2"/>
          </w:tcPr>
          <w:p>
            <w:pPr>
              <w:spacing w:after="0"/>
              <w:rPr>
                <w:sz w:val="19"/>
                <w:szCs w:val="19"/>
                <w:color w:val="auto"/>
              </w:rPr>
            </w:pPr>
          </w:p>
        </w:tc>
        <w:tc>
          <w:tcPr>
            <w:tcW w:w="15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Leased</w:t>
            </w:r>
          </w:p>
        </w:tc>
      </w:tr>
    </w:tbl>
    <w:p>
      <w:pPr>
        <w:spacing w:after="0" w:line="179" w:lineRule="exact"/>
        <w:rPr>
          <w:sz w:val="20"/>
          <w:szCs w:val="20"/>
          <w:color w:val="auto"/>
        </w:rPr>
      </w:pPr>
    </w:p>
    <w:p>
      <w:pPr>
        <w:ind w:right="160" w:firstLine="450"/>
        <w:spacing w:after="0" w:line="270" w:lineRule="auto"/>
        <w:rPr>
          <w:sz w:val="20"/>
          <w:szCs w:val="20"/>
          <w:color w:val="auto"/>
        </w:rPr>
      </w:pPr>
      <w:r>
        <w:rPr>
          <w:rFonts w:ascii="Times New Roman" w:cs="Times New Roman" w:eastAsia="Times New Roman" w:hAnsi="Times New Roman"/>
          <w:sz w:val="19"/>
          <w:szCs w:val="19"/>
          <w:color w:val="1E1E1E"/>
        </w:rPr>
        <w:t>We consider these properties to be in good condition and believe that our facilities are adequate for our operations and provide sufficient capacity to meet our anticipated requirements. The leases on our retail stores expire at various times and are subject to renewal options and rent escalation provisions. As we approach lease renewals for about 25% of our stores through 2026, we are thoroughly evaluating each location for remodel, relocation, or exit based on enhance performance standards.</w:t>
      </w:r>
    </w:p>
    <w:p>
      <w:pPr>
        <w:sectPr>
          <w:pgSz w:w="11880" w:h="15480" w:orient="portrait"/>
          <w:cols w:equalWidth="0" w:num="1">
            <w:col w:w="10240"/>
          </w:cols>
          <w:pgMar w:left="820" w:top="877"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24</w:t>
      </w:r>
    </w:p>
    <w:p>
      <w:pPr>
        <w:sectPr>
          <w:pgSz w:w="11880" w:h="15480" w:orient="portrait"/>
          <w:cols w:equalWidth="0" w:num="1">
            <w:col w:w="10240"/>
          </w:cols>
          <w:pgMar w:left="820" w:top="877" w:right="820" w:bottom="0" w:gutter="0" w:footer="0" w:header="0"/>
          <w:type w:val="continuous"/>
        </w:sectPr>
      </w:pPr>
    </w:p>
    <w:bookmarkStart w:id="30" w:name="page31"/>
    <w:bookmarkEnd w:id="30"/>
    <w:p>
      <w:pPr>
        <w:spacing w:after="0"/>
        <w:tabs>
          <w:tab w:leader="none" w:pos="1160" w:val="left"/>
        </w:tabs>
        <w:rPr>
          <w:sz w:val="20"/>
          <w:szCs w:val="20"/>
          <w:color w:val="auto"/>
        </w:rPr>
      </w:pPr>
      <w:r>
        <w:rPr>
          <w:rFonts w:ascii="Times New Roman" w:cs="Times New Roman" w:eastAsia="Times New Roman" w:hAnsi="Times New Roman"/>
          <w:sz w:val="20"/>
          <w:szCs w:val="20"/>
          <w:color w:val="1E1E1E"/>
        </w:rPr>
        <w:t>ITEM 3.</w:t>
      </w:r>
      <w:r>
        <w:rPr>
          <w:sz w:val="20"/>
          <w:szCs w:val="20"/>
          <w:color w:val="auto"/>
        </w:rPr>
        <w:tab/>
      </w:r>
      <w:r>
        <w:rPr>
          <w:rFonts w:ascii="Times New Roman" w:cs="Times New Roman" w:eastAsia="Times New Roman" w:hAnsi="Times New Roman"/>
          <w:sz w:val="19"/>
          <w:szCs w:val="19"/>
          <w:color w:val="1E1E1E"/>
        </w:rPr>
        <w:t>LEGAL PROCEEDINGS</w:t>
      </w:r>
    </w:p>
    <w:p>
      <w:pPr>
        <w:spacing w:after="0" w:line="269"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1E1E1E"/>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39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1E1E1E"/>
        </w:rPr>
        <w:t>ITEM 4.</w:t>
      </w:r>
      <w:r>
        <w:rPr>
          <w:sz w:val="20"/>
          <w:szCs w:val="20"/>
          <w:color w:val="auto"/>
        </w:rPr>
        <w:tab/>
      </w:r>
      <w:r>
        <w:rPr>
          <w:rFonts w:ascii="Times New Roman" w:cs="Times New Roman" w:eastAsia="Times New Roman" w:hAnsi="Times New Roman"/>
          <w:sz w:val="20"/>
          <w:szCs w:val="20"/>
          <w:color w:val="1E1E1E"/>
        </w:rPr>
        <w:t>MINE SAFETY DISCLOSURES</w:t>
      </w:r>
    </w:p>
    <w:p>
      <w:pPr>
        <w:spacing w:after="0" w:line="2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E1E1E"/>
        </w:rPr>
        <w:t>Not applicable.</w:t>
      </w:r>
    </w:p>
    <w:p>
      <w:pPr>
        <w:sectPr>
          <w:pgSz w:w="11880" w:h="15480" w:orient="portrait"/>
          <w:cols w:equalWidth="0" w:num="1">
            <w:col w:w="10060"/>
          </w:cols>
          <w:pgMar w:left="820" w:top="89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1E1E1E"/>
        </w:rPr>
        <w:t>25</w:t>
      </w:r>
    </w:p>
    <w:p>
      <w:pPr>
        <w:sectPr>
          <w:pgSz w:w="11880" w:h="15480" w:orient="portrait"/>
          <w:cols w:equalWidth="0" w:num="1">
            <w:col w:w="10060"/>
          </w:cols>
          <w:pgMar w:left="820" w:top="896" w:right="1000" w:bottom="0" w:gutter="0" w:footer="0" w:header="0"/>
          <w:type w:val="continuous"/>
        </w:sectPr>
      </w:pPr>
    </w:p>
    <w:bookmarkStart w:id="31" w:name="page32"/>
    <w:bookmarkEnd w:id="31"/>
    <w:p>
      <w:pPr>
        <w:ind w:left="20"/>
        <w:spacing w:after="0"/>
        <w:rPr>
          <w:sz w:val="20"/>
          <w:szCs w:val="20"/>
          <w:color w:val="auto"/>
        </w:rPr>
      </w:pPr>
      <w:r>
        <w:rPr>
          <w:rFonts w:ascii="Times New Roman" w:cs="Times New Roman" w:eastAsia="Times New Roman" w:hAnsi="Times New Roman"/>
          <w:sz w:val="20"/>
          <w:szCs w:val="20"/>
          <w:b w:val="1"/>
          <w:bCs w:val="1"/>
          <w:color w:val="1E1E1E"/>
        </w:rPr>
        <w:t>Information about our Executive Officers</w:t>
      </w:r>
    </w:p>
    <w:p>
      <w:pPr>
        <w:spacing w:after="0" w:line="200" w:lineRule="exact"/>
        <w:rPr>
          <w:sz w:val="20"/>
          <w:szCs w:val="20"/>
          <w:color w:val="auto"/>
        </w:rPr>
      </w:pPr>
    </w:p>
    <w:p>
      <w:pPr>
        <w:ind w:left="20" w:firstLine="490"/>
        <w:spacing w:after="0" w:line="248" w:lineRule="auto"/>
        <w:rPr>
          <w:sz w:val="20"/>
          <w:szCs w:val="20"/>
          <w:color w:val="auto"/>
        </w:rPr>
      </w:pPr>
      <w:r>
        <w:rPr>
          <w:rFonts w:ascii="Times New Roman" w:cs="Times New Roman" w:eastAsia="Times New Roman" w:hAnsi="Times New Roman"/>
          <w:sz w:val="20"/>
          <w:szCs w:val="20"/>
          <w:color w:val="1E1E1E"/>
        </w:rPr>
        <w:t>The following is a list of names and ages of executive officers of Duluth Trading indicating all positions and offices held by each such person and each such person’s principal occupation(s) or employment during the past five years. Officers are appointed annually by the Board of Directors at the meeting of directors immediately following the annual meeting of shareholders. There are no family relationships among any officers or director, except as disclosed below, or arrangements or understandings between any officer and any other person pursuant to which the officer was selected. The information presented below is as of March 21, 2025.</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060" w:type="dxa"/>
            <w:vAlign w:val="bottom"/>
            <w:tcBorders>
              <w:top w:val="single" w:sz="8" w:color="1E1E1E"/>
              <w:left w:val="single" w:sz="8" w:color="1E1E1E"/>
              <w:bottom w:val="single" w:sz="8" w:color="1E1E1E"/>
              <w:right w:val="single" w:sz="8" w:color="1E1E1E"/>
            </w:tcBorders>
          </w:tcPr>
          <w:p>
            <w:pPr>
              <w:ind w:left="120"/>
              <w:spacing w:after="0"/>
              <w:rPr>
                <w:sz w:val="20"/>
                <w:szCs w:val="20"/>
                <w:color w:val="auto"/>
              </w:rPr>
            </w:pPr>
            <w:r>
              <w:rPr>
                <w:rFonts w:ascii="Times New Roman" w:cs="Times New Roman" w:eastAsia="Times New Roman" w:hAnsi="Times New Roman"/>
                <w:sz w:val="20"/>
                <w:szCs w:val="20"/>
                <w:b w:val="1"/>
                <w:bCs w:val="1"/>
                <w:color w:val="1E1E1E"/>
              </w:rPr>
              <w:t>Name</w:t>
            </w:r>
          </w:p>
        </w:tc>
        <w:tc>
          <w:tcPr>
            <w:tcW w:w="560" w:type="dxa"/>
            <w:vAlign w:val="bottom"/>
            <w:tcBorders>
              <w:top w:val="single" w:sz="8" w:color="1E1E1E"/>
              <w:bottom w:val="single" w:sz="8" w:color="1E1E1E"/>
              <w:right w:val="single" w:sz="8" w:color="1E1E1E"/>
            </w:tcBorders>
          </w:tcPr>
          <w:p>
            <w:pPr>
              <w:ind w:left="100"/>
              <w:spacing w:after="0"/>
              <w:rPr>
                <w:sz w:val="20"/>
                <w:szCs w:val="20"/>
                <w:color w:val="auto"/>
              </w:rPr>
            </w:pPr>
            <w:r>
              <w:rPr>
                <w:rFonts w:ascii="Times New Roman" w:cs="Times New Roman" w:eastAsia="Times New Roman" w:hAnsi="Times New Roman"/>
                <w:sz w:val="20"/>
                <w:szCs w:val="20"/>
                <w:b w:val="1"/>
                <w:bCs w:val="1"/>
                <w:color w:val="1E1E1E"/>
              </w:rPr>
              <w:t>Age</w:t>
            </w:r>
          </w:p>
        </w:tc>
        <w:tc>
          <w:tcPr>
            <w:tcW w:w="7580" w:type="dxa"/>
            <w:vAlign w:val="bottom"/>
            <w:tcBorders>
              <w:top w:val="single" w:sz="8" w:color="1E1E1E"/>
              <w:bottom w:val="single" w:sz="8" w:color="1E1E1E"/>
              <w:right w:val="single" w:sz="8" w:color="1E1E1E"/>
            </w:tcBorders>
          </w:tcPr>
          <w:p>
            <w:pPr>
              <w:ind w:left="100"/>
              <w:spacing w:after="0"/>
              <w:rPr>
                <w:sz w:val="20"/>
                <w:szCs w:val="20"/>
                <w:color w:val="auto"/>
              </w:rPr>
            </w:pPr>
            <w:r>
              <w:rPr>
                <w:rFonts w:ascii="Times New Roman" w:cs="Times New Roman" w:eastAsia="Times New Roman" w:hAnsi="Times New Roman"/>
                <w:sz w:val="20"/>
                <w:szCs w:val="20"/>
                <w:b w:val="1"/>
                <w:bCs w:val="1"/>
                <w:color w:val="1E1E1E"/>
              </w:rPr>
              <w:t>Office</w:t>
            </w:r>
          </w:p>
        </w:tc>
      </w:tr>
      <w:tr>
        <w:trPr>
          <w:trHeight w:val="198"/>
        </w:trPr>
        <w:tc>
          <w:tcPr>
            <w:tcW w:w="2060" w:type="dxa"/>
            <w:vAlign w:val="bottom"/>
            <w:tcBorders>
              <w:left w:val="single" w:sz="8" w:color="1E1E1E"/>
              <w:right w:val="single" w:sz="8" w:color="1E1E1E"/>
            </w:tcBorders>
          </w:tcPr>
          <w:p>
            <w:pPr>
              <w:ind w:left="120"/>
              <w:spacing w:after="0" w:line="198" w:lineRule="exact"/>
              <w:rPr>
                <w:sz w:val="20"/>
                <w:szCs w:val="20"/>
                <w:color w:val="auto"/>
              </w:rPr>
            </w:pPr>
            <w:r>
              <w:rPr>
                <w:rFonts w:ascii="Times New Roman" w:cs="Times New Roman" w:eastAsia="Times New Roman" w:hAnsi="Times New Roman"/>
                <w:sz w:val="20"/>
                <w:szCs w:val="20"/>
                <w:color w:val="1E1E1E"/>
              </w:rPr>
              <w:t>Stephen L. Schlecht</w:t>
            </w:r>
          </w:p>
        </w:tc>
        <w:tc>
          <w:tcPr>
            <w:tcW w:w="560" w:type="dxa"/>
            <w:vAlign w:val="bottom"/>
            <w:tcBorders>
              <w:right w:val="single" w:sz="8" w:color="1E1E1E"/>
            </w:tcBorders>
          </w:tcPr>
          <w:p>
            <w:pPr>
              <w:ind w:left="100"/>
              <w:spacing w:after="0" w:line="198" w:lineRule="exact"/>
              <w:rPr>
                <w:sz w:val="20"/>
                <w:szCs w:val="20"/>
                <w:color w:val="auto"/>
              </w:rPr>
            </w:pPr>
            <w:r>
              <w:rPr>
                <w:rFonts w:ascii="Times New Roman" w:cs="Times New Roman" w:eastAsia="Times New Roman" w:hAnsi="Times New Roman"/>
                <w:sz w:val="20"/>
                <w:szCs w:val="20"/>
                <w:color w:val="1E1E1E"/>
              </w:rPr>
              <w:t>77</w:t>
            </w:r>
          </w:p>
        </w:tc>
        <w:tc>
          <w:tcPr>
            <w:tcW w:w="7580" w:type="dxa"/>
            <w:vAlign w:val="bottom"/>
            <w:tcBorders>
              <w:right w:val="single" w:sz="8" w:color="1E1E1E"/>
            </w:tcBorders>
          </w:tcPr>
          <w:p>
            <w:pPr>
              <w:ind w:left="100"/>
              <w:spacing w:after="0" w:line="198" w:lineRule="exact"/>
              <w:rPr>
                <w:sz w:val="20"/>
                <w:szCs w:val="20"/>
                <w:color w:val="auto"/>
              </w:rPr>
            </w:pPr>
            <w:r>
              <w:rPr>
                <w:rFonts w:ascii="Times New Roman" w:cs="Times New Roman" w:eastAsia="Times New Roman" w:hAnsi="Times New Roman"/>
                <w:sz w:val="20"/>
                <w:szCs w:val="20"/>
                <w:color w:val="1E1E1E"/>
              </w:rPr>
              <w:t>Mr. Schlecht is the founder of our Company and has served as Chairman of the Board of</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Directors and Senior Advisor since May 2021. Mr. Schlecht has served on our Board of</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Directors since our founding in 1986.  Mr. Schlecht previously served as Executive</w:t>
            </w:r>
          </w:p>
        </w:tc>
      </w:tr>
      <w:tr>
        <w:trPr>
          <w:trHeight w:val="226"/>
        </w:trPr>
        <w:tc>
          <w:tcPr>
            <w:tcW w:w="2060" w:type="dxa"/>
            <w:vAlign w:val="bottom"/>
            <w:tcBorders>
              <w:left w:val="single" w:sz="8" w:color="1E1E1E"/>
              <w:right w:val="single" w:sz="8" w:color="1E1E1E"/>
            </w:tcBorders>
          </w:tcPr>
          <w:p>
            <w:pPr>
              <w:spacing w:after="0"/>
              <w:rPr>
                <w:sz w:val="19"/>
                <w:szCs w:val="19"/>
                <w:color w:val="auto"/>
              </w:rPr>
            </w:pPr>
          </w:p>
        </w:tc>
        <w:tc>
          <w:tcPr>
            <w:tcW w:w="560" w:type="dxa"/>
            <w:vAlign w:val="bottom"/>
            <w:tcBorders>
              <w:right w:val="single" w:sz="8" w:color="1E1E1E"/>
            </w:tcBorders>
          </w:tcPr>
          <w:p>
            <w:pPr>
              <w:spacing w:after="0"/>
              <w:rPr>
                <w:sz w:val="19"/>
                <w:szCs w:val="19"/>
                <w:color w:val="auto"/>
              </w:rPr>
            </w:pPr>
          </w:p>
        </w:tc>
        <w:tc>
          <w:tcPr>
            <w:tcW w:w="7580" w:type="dxa"/>
            <w:vAlign w:val="bottom"/>
            <w:tcBorders>
              <w:right w:val="single" w:sz="8" w:color="1E1E1E"/>
            </w:tcBorders>
          </w:tcPr>
          <w:p>
            <w:pPr>
              <w:ind w:left="100"/>
              <w:spacing w:after="0" w:line="226" w:lineRule="exact"/>
              <w:rPr>
                <w:sz w:val="20"/>
                <w:szCs w:val="20"/>
                <w:color w:val="auto"/>
              </w:rPr>
            </w:pPr>
            <w:r>
              <w:rPr>
                <w:rFonts w:ascii="Times New Roman" w:cs="Times New Roman" w:eastAsia="Times New Roman" w:hAnsi="Times New Roman"/>
                <w:sz w:val="20"/>
                <w:szCs w:val="20"/>
                <w:color w:val="1E1E1E"/>
              </w:rPr>
              <w:t>Chairman from February 2015 to May 2021, and as Chief Executive Officer from August</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2019 to May 2021.  Prior to that, Mr. Schlecht served as Chairman of the Board of</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Directors and Chief Executive Officer from February 2003 to February 2015 and as</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President from February 2003 to February 2012.  He also served as President and Chief</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Executive Officer of GEMPLER’S, Inc., which he founded in 1986, until February</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2003.  Mr. Schlecht holds a B.S.B.A. degree and an M.B.A. from Northwestern</w:t>
            </w:r>
          </w:p>
        </w:tc>
      </w:tr>
      <w:tr>
        <w:trPr>
          <w:trHeight w:val="270"/>
        </w:trPr>
        <w:tc>
          <w:tcPr>
            <w:tcW w:w="2060" w:type="dxa"/>
            <w:vAlign w:val="bottom"/>
            <w:tcBorders>
              <w:left w:val="single" w:sz="8" w:color="1E1E1E"/>
              <w:right w:val="single" w:sz="8" w:color="1E1E1E"/>
            </w:tcBorders>
          </w:tcPr>
          <w:p>
            <w:pPr>
              <w:spacing w:after="0"/>
              <w:rPr>
                <w:sz w:val="23"/>
                <w:szCs w:val="23"/>
                <w:color w:val="auto"/>
              </w:rPr>
            </w:pPr>
          </w:p>
        </w:tc>
        <w:tc>
          <w:tcPr>
            <w:tcW w:w="560" w:type="dxa"/>
            <w:vAlign w:val="bottom"/>
            <w:tcBorders>
              <w:right w:val="single" w:sz="8" w:color="1E1E1E"/>
            </w:tcBorders>
          </w:tcPr>
          <w:p>
            <w:pPr>
              <w:spacing w:after="0"/>
              <w:rPr>
                <w:sz w:val="23"/>
                <w:szCs w:val="23"/>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University.</w:t>
            </w:r>
          </w:p>
        </w:tc>
      </w:tr>
      <w:tr>
        <w:trPr>
          <w:trHeight w:val="422"/>
        </w:trPr>
        <w:tc>
          <w:tcPr>
            <w:tcW w:w="2060" w:type="dxa"/>
            <w:vAlign w:val="bottom"/>
            <w:tcBorders>
              <w:left w:val="single" w:sz="8" w:color="1E1E1E"/>
              <w:right w:val="single" w:sz="8" w:color="1E1E1E"/>
            </w:tcBorders>
          </w:tcPr>
          <w:p>
            <w:pPr>
              <w:spacing w:after="0"/>
              <w:rPr>
                <w:sz w:val="24"/>
                <w:szCs w:val="24"/>
                <w:color w:val="auto"/>
              </w:rPr>
            </w:pPr>
          </w:p>
        </w:tc>
        <w:tc>
          <w:tcPr>
            <w:tcW w:w="560" w:type="dxa"/>
            <w:vAlign w:val="bottom"/>
            <w:tcBorders>
              <w:right w:val="single" w:sz="8" w:color="1E1E1E"/>
            </w:tcBorders>
          </w:tcPr>
          <w:p>
            <w:pPr>
              <w:spacing w:after="0"/>
              <w:rPr>
                <w:sz w:val="24"/>
                <w:szCs w:val="24"/>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As previously announced, the Board of Directors of the Company appointed Mr. Schlecht</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as Interim Chief Executive Officer of the Company in addition to his role as Senior Advisor</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to the Company, effective April 25, 2025, unless the Board appoints a permanent Chief</w:t>
            </w:r>
          </w:p>
        </w:tc>
      </w:tr>
      <w:tr>
        <w:trPr>
          <w:trHeight w:val="226"/>
        </w:trPr>
        <w:tc>
          <w:tcPr>
            <w:tcW w:w="2060" w:type="dxa"/>
            <w:vAlign w:val="bottom"/>
            <w:tcBorders>
              <w:left w:val="single" w:sz="8" w:color="1E1E1E"/>
              <w:right w:val="single" w:sz="8" w:color="1E1E1E"/>
            </w:tcBorders>
          </w:tcPr>
          <w:p>
            <w:pPr>
              <w:spacing w:after="0"/>
              <w:rPr>
                <w:sz w:val="19"/>
                <w:szCs w:val="19"/>
                <w:color w:val="auto"/>
              </w:rPr>
            </w:pPr>
          </w:p>
        </w:tc>
        <w:tc>
          <w:tcPr>
            <w:tcW w:w="560" w:type="dxa"/>
            <w:vAlign w:val="bottom"/>
            <w:tcBorders>
              <w:right w:val="single" w:sz="8" w:color="1E1E1E"/>
            </w:tcBorders>
          </w:tcPr>
          <w:p>
            <w:pPr>
              <w:spacing w:after="0"/>
              <w:rPr>
                <w:sz w:val="19"/>
                <w:szCs w:val="19"/>
                <w:color w:val="auto"/>
              </w:rPr>
            </w:pPr>
          </w:p>
        </w:tc>
        <w:tc>
          <w:tcPr>
            <w:tcW w:w="7580" w:type="dxa"/>
            <w:vAlign w:val="bottom"/>
            <w:tcBorders>
              <w:right w:val="single" w:sz="8" w:color="1E1E1E"/>
            </w:tcBorders>
          </w:tcPr>
          <w:p>
            <w:pPr>
              <w:ind w:left="100"/>
              <w:spacing w:after="0" w:line="226" w:lineRule="exact"/>
              <w:rPr>
                <w:sz w:val="20"/>
                <w:szCs w:val="20"/>
                <w:color w:val="auto"/>
              </w:rPr>
            </w:pPr>
            <w:r>
              <w:rPr>
                <w:rFonts w:ascii="Times New Roman" w:cs="Times New Roman" w:eastAsia="Times New Roman" w:hAnsi="Times New Roman"/>
                <w:sz w:val="20"/>
                <w:szCs w:val="20"/>
                <w:color w:val="1E1E1E"/>
              </w:rPr>
              <w:t>Executive Officer prior to such date. During the transition period between the</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announcement of Mr. Sato’s retirement and April 25, 2025, Mr. Schlecht will assume day-</w:t>
            </w:r>
          </w:p>
        </w:tc>
      </w:tr>
      <w:tr>
        <w:trPr>
          <w:trHeight w:val="253"/>
        </w:trPr>
        <w:tc>
          <w:tcPr>
            <w:tcW w:w="2060" w:type="dxa"/>
            <w:vAlign w:val="bottom"/>
            <w:tcBorders>
              <w:left w:val="single" w:sz="8" w:color="1E1E1E"/>
              <w:bottom w:val="single" w:sz="8" w:color="1E1E1E"/>
              <w:right w:val="single" w:sz="8" w:color="1E1E1E"/>
            </w:tcBorders>
          </w:tcPr>
          <w:p>
            <w:pPr>
              <w:spacing w:after="0"/>
              <w:rPr>
                <w:sz w:val="21"/>
                <w:szCs w:val="21"/>
                <w:color w:val="auto"/>
              </w:rPr>
            </w:pPr>
          </w:p>
        </w:tc>
        <w:tc>
          <w:tcPr>
            <w:tcW w:w="560" w:type="dxa"/>
            <w:vAlign w:val="bottom"/>
            <w:tcBorders>
              <w:bottom w:val="single" w:sz="8" w:color="1E1E1E"/>
              <w:right w:val="single" w:sz="8" w:color="1E1E1E"/>
            </w:tcBorders>
          </w:tcPr>
          <w:p>
            <w:pPr>
              <w:spacing w:after="0"/>
              <w:rPr>
                <w:sz w:val="21"/>
                <w:szCs w:val="21"/>
                <w:color w:val="auto"/>
              </w:rPr>
            </w:pPr>
          </w:p>
        </w:tc>
        <w:tc>
          <w:tcPr>
            <w:tcW w:w="7580" w:type="dxa"/>
            <w:vAlign w:val="bottom"/>
            <w:tcBorders>
              <w:bottom w:val="single" w:sz="8" w:color="1E1E1E"/>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to-day leadership of the Company.</w:t>
            </w:r>
          </w:p>
        </w:tc>
      </w:tr>
      <w:tr>
        <w:trPr>
          <w:trHeight w:val="198"/>
        </w:trPr>
        <w:tc>
          <w:tcPr>
            <w:tcW w:w="2060" w:type="dxa"/>
            <w:vAlign w:val="bottom"/>
            <w:tcBorders>
              <w:left w:val="single" w:sz="8" w:color="1E1E1E"/>
              <w:right w:val="single" w:sz="8" w:color="1E1E1E"/>
            </w:tcBorders>
          </w:tcPr>
          <w:p>
            <w:pPr>
              <w:ind w:left="120"/>
              <w:spacing w:after="0" w:line="198" w:lineRule="exact"/>
              <w:rPr>
                <w:sz w:val="20"/>
                <w:szCs w:val="20"/>
                <w:color w:val="auto"/>
              </w:rPr>
            </w:pPr>
            <w:r>
              <w:rPr>
                <w:rFonts w:ascii="Times New Roman" w:cs="Times New Roman" w:eastAsia="Times New Roman" w:hAnsi="Times New Roman"/>
                <w:sz w:val="20"/>
                <w:szCs w:val="20"/>
                <w:color w:val="1E1E1E"/>
              </w:rPr>
              <w:t>Samuel M. Sato</w:t>
            </w:r>
          </w:p>
        </w:tc>
        <w:tc>
          <w:tcPr>
            <w:tcW w:w="560" w:type="dxa"/>
            <w:vAlign w:val="bottom"/>
            <w:tcBorders>
              <w:right w:val="single" w:sz="8" w:color="1E1E1E"/>
            </w:tcBorders>
          </w:tcPr>
          <w:p>
            <w:pPr>
              <w:ind w:left="100"/>
              <w:spacing w:after="0" w:line="198" w:lineRule="exact"/>
              <w:rPr>
                <w:sz w:val="20"/>
                <w:szCs w:val="20"/>
                <w:color w:val="auto"/>
              </w:rPr>
            </w:pPr>
            <w:r>
              <w:rPr>
                <w:rFonts w:ascii="Times New Roman" w:cs="Times New Roman" w:eastAsia="Times New Roman" w:hAnsi="Times New Roman"/>
                <w:sz w:val="20"/>
                <w:szCs w:val="20"/>
                <w:color w:val="1E1E1E"/>
              </w:rPr>
              <w:t>61</w:t>
            </w:r>
          </w:p>
        </w:tc>
        <w:tc>
          <w:tcPr>
            <w:tcW w:w="7580" w:type="dxa"/>
            <w:vAlign w:val="bottom"/>
            <w:tcBorders>
              <w:right w:val="single" w:sz="8" w:color="1E1E1E"/>
            </w:tcBorders>
          </w:tcPr>
          <w:p>
            <w:pPr>
              <w:ind w:left="100"/>
              <w:spacing w:after="0" w:line="198" w:lineRule="exact"/>
              <w:rPr>
                <w:sz w:val="20"/>
                <w:szCs w:val="20"/>
                <w:color w:val="auto"/>
              </w:rPr>
            </w:pPr>
            <w:r>
              <w:rPr>
                <w:rFonts w:ascii="Times New Roman" w:cs="Times New Roman" w:eastAsia="Times New Roman" w:hAnsi="Times New Roman"/>
                <w:sz w:val="20"/>
                <w:szCs w:val="20"/>
                <w:color w:val="1E1E1E"/>
              </w:rPr>
              <w:t>Mr. Sato was appointed to our Board of Directors in May 2021, and since that time has</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served as President and Chief Executive Officer. He previously served as the Chief</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Executive Officer of The Finish Line, Inc., from February 2016 to February 2019, and also</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served on the Board of Directors of The Finish Line, Inc. from October 2014 to February</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2019. Mr. Sato previously served as President of The Finish Line, Inc. from October 2014</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to February 2016, President, Finish Line Brand, from October 2012 to October 2014, and</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President and Chief Merchandising Officer from October 2010 to September 2012, as well</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as The Finish Line, Inc.’s Executive Vice President, Chief Merchandising Officer from to</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March 2007 to October 2010. Mr. Sato began his career in 1985 at Nordstrom Inc., where</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he held various leadership roles within merchandising. Mr. Sato has been involved in the</w:t>
            </w:r>
          </w:p>
        </w:tc>
      </w:tr>
      <w:tr>
        <w:trPr>
          <w:trHeight w:val="258"/>
        </w:trPr>
        <w:tc>
          <w:tcPr>
            <w:tcW w:w="2060" w:type="dxa"/>
            <w:vAlign w:val="bottom"/>
            <w:tcBorders>
              <w:left w:val="single" w:sz="8" w:color="1E1E1E"/>
              <w:bottom w:val="single" w:sz="8" w:color="1E1E1E"/>
              <w:right w:val="single" w:sz="8" w:color="1E1E1E"/>
            </w:tcBorders>
          </w:tcPr>
          <w:p>
            <w:pPr>
              <w:spacing w:after="0"/>
              <w:rPr>
                <w:sz w:val="22"/>
                <w:szCs w:val="22"/>
                <w:color w:val="auto"/>
              </w:rPr>
            </w:pPr>
          </w:p>
        </w:tc>
        <w:tc>
          <w:tcPr>
            <w:tcW w:w="560" w:type="dxa"/>
            <w:vAlign w:val="bottom"/>
            <w:tcBorders>
              <w:bottom w:val="single" w:sz="8" w:color="1E1E1E"/>
              <w:right w:val="single" w:sz="8" w:color="1E1E1E"/>
            </w:tcBorders>
          </w:tcPr>
          <w:p>
            <w:pPr>
              <w:spacing w:after="0"/>
              <w:rPr>
                <w:sz w:val="22"/>
                <w:szCs w:val="22"/>
                <w:color w:val="auto"/>
              </w:rPr>
            </w:pPr>
          </w:p>
        </w:tc>
        <w:tc>
          <w:tcPr>
            <w:tcW w:w="7580" w:type="dxa"/>
            <w:vAlign w:val="bottom"/>
            <w:tcBorders>
              <w:bottom w:val="single" w:sz="8" w:color="1E1E1E"/>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retail industry for over 30 years.</w:t>
            </w:r>
          </w:p>
        </w:tc>
      </w:tr>
      <w:tr>
        <w:trPr>
          <w:trHeight w:val="198"/>
        </w:trPr>
        <w:tc>
          <w:tcPr>
            <w:tcW w:w="2060" w:type="dxa"/>
            <w:vAlign w:val="bottom"/>
            <w:tcBorders>
              <w:left w:val="single" w:sz="8" w:color="1E1E1E"/>
              <w:right w:val="single" w:sz="8" w:color="1E1E1E"/>
            </w:tcBorders>
          </w:tcPr>
          <w:p>
            <w:pPr>
              <w:ind w:left="120"/>
              <w:spacing w:after="0" w:line="198" w:lineRule="exact"/>
              <w:rPr>
                <w:sz w:val="20"/>
                <w:szCs w:val="20"/>
                <w:color w:val="auto"/>
              </w:rPr>
            </w:pPr>
            <w:r>
              <w:rPr>
                <w:rFonts w:ascii="Times New Roman" w:cs="Times New Roman" w:eastAsia="Times New Roman" w:hAnsi="Times New Roman"/>
                <w:sz w:val="20"/>
                <w:szCs w:val="20"/>
                <w:color w:val="1E1E1E"/>
              </w:rPr>
              <w:t>Heena K. Agrawal</w:t>
            </w:r>
          </w:p>
        </w:tc>
        <w:tc>
          <w:tcPr>
            <w:tcW w:w="560" w:type="dxa"/>
            <w:vAlign w:val="bottom"/>
            <w:tcBorders>
              <w:right w:val="single" w:sz="8" w:color="1E1E1E"/>
            </w:tcBorders>
          </w:tcPr>
          <w:p>
            <w:pPr>
              <w:ind w:left="100"/>
              <w:spacing w:after="0" w:line="198" w:lineRule="exact"/>
              <w:rPr>
                <w:sz w:val="20"/>
                <w:szCs w:val="20"/>
                <w:color w:val="auto"/>
              </w:rPr>
            </w:pPr>
            <w:r>
              <w:rPr>
                <w:rFonts w:ascii="Times New Roman" w:cs="Times New Roman" w:eastAsia="Times New Roman" w:hAnsi="Times New Roman"/>
                <w:sz w:val="20"/>
                <w:szCs w:val="20"/>
                <w:color w:val="1E1E1E"/>
              </w:rPr>
              <w:t>49</w:t>
            </w:r>
          </w:p>
        </w:tc>
        <w:tc>
          <w:tcPr>
            <w:tcW w:w="7580" w:type="dxa"/>
            <w:vAlign w:val="bottom"/>
            <w:tcBorders>
              <w:right w:val="single" w:sz="8" w:color="1E1E1E"/>
            </w:tcBorders>
          </w:tcPr>
          <w:p>
            <w:pPr>
              <w:ind w:left="100"/>
              <w:spacing w:after="0" w:line="198" w:lineRule="exact"/>
              <w:rPr>
                <w:sz w:val="20"/>
                <w:szCs w:val="20"/>
                <w:color w:val="auto"/>
              </w:rPr>
            </w:pPr>
            <w:r>
              <w:rPr>
                <w:rFonts w:ascii="Times New Roman" w:cs="Times New Roman" w:eastAsia="Times New Roman" w:hAnsi="Times New Roman"/>
                <w:sz w:val="20"/>
                <w:szCs w:val="20"/>
                <w:color w:val="1E1E1E"/>
              </w:rPr>
              <w:t>Ms. Agrawal has served as our Senior Vice President and Chief Financial Officer since</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February 2024. Ms. Agrawal previously served as the Chief Financial Officer, Global</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Wrangler and Global Kontoor Supply Chain of Kontoor Brands, Inc. from January 2023 to</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January 2024, and Chief Financial Officer of Global Wrangler from September 2021 to</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January 2024. Prior to that, Ms. Agrawal served as the Global Segment Chief Financial</w:t>
            </w:r>
          </w:p>
        </w:tc>
      </w:tr>
      <w:tr>
        <w:trPr>
          <w:trHeight w:val="226"/>
        </w:trPr>
        <w:tc>
          <w:tcPr>
            <w:tcW w:w="2060" w:type="dxa"/>
            <w:vAlign w:val="bottom"/>
            <w:tcBorders>
              <w:left w:val="single" w:sz="8" w:color="1E1E1E"/>
              <w:right w:val="single" w:sz="8" w:color="1E1E1E"/>
            </w:tcBorders>
          </w:tcPr>
          <w:p>
            <w:pPr>
              <w:spacing w:after="0"/>
              <w:rPr>
                <w:sz w:val="19"/>
                <w:szCs w:val="19"/>
                <w:color w:val="auto"/>
              </w:rPr>
            </w:pPr>
          </w:p>
        </w:tc>
        <w:tc>
          <w:tcPr>
            <w:tcW w:w="560" w:type="dxa"/>
            <w:vAlign w:val="bottom"/>
            <w:tcBorders>
              <w:right w:val="single" w:sz="8" w:color="1E1E1E"/>
            </w:tcBorders>
          </w:tcPr>
          <w:p>
            <w:pPr>
              <w:spacing w:after="0"/>
              <w:rPr>
                <w:sz w:val="19"/>
                <w:szCs w:val="19"/>
                <w:color w:val="auto"/>
              </w:rPr>
            </w:pPr>
          </w:p>
        </w:tc>
        <w:tc>
          <w:tcPr>
            <w:tcW w:w="7580" w:type="dxa"/>
            <w:vAlign w:val="bottom"/>
            <w:tcBorders>
              <w:right w:val="single" w:sz="8" w:color="1E1E1E"/>
            </w:tcBorders>
          </w:tcPr>
          <w:p>
            <w:pPr>
              <w:ind w:left="100"/>
              <w:spacing w:after="0" w:line="226" w:lineRule="exact"/>
              <w:rPr>
                <w:sz w:val="20"/>
                <w:szCs w:val="20"/>
                <w:color w:val="auto"/>
              </w:rPr>
            </w:pPr>
            <w:r>
              <w:rPr>
                <w:rFonts w:ascii="Times New Roman" w:cs="Times New Roman" w:eastAsia="Times New Roman" w:hAnsi="Times New Roman"/>
                <w:sz w:val="20"/>
                <w:szCs w:val="20"/>
                <w:color w:val="1E1E1E"/>
              </w:rPr>
              <w:t>Officer, Industrial Segment for Underwriters Laboratories from February 2021 to</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September 2021, and Connected Technology Appliances &amp; Lighting Global Division Chief</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Financial Officer for Underwriters Laboratories from October 2019 to February 2021, as</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well as various leadership positions at Walgreens Boots Alliance from January 2012 to</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September 2019, most recently serving as Synergy Leader M&amp;A Integration: Rite Aid from</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2018 to September 2019 and at Procter &amp; Gamble from 2001 to 2011. Ms. Agrawal holds a</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Bachelor of Commerce, Accounting, and Taxation degree from Narsee Monjee College of</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Commerce and Economics, an M.B.A. from the Kelley School of Business at Indiana</w:t>
            </w:r>
          </w:p>
        </w:tc>
      </w:tr>
      <w:tr>
        <w:trPr>
          <w:trHeight w:val="253"/>
        </w:trPr>
        <w:tc>
          <w:tcPr>
            <w:tcW w:w="2060" w:type="dxa"/>
            <w:vAlign w:val="bottom"/>
            <w:tcBorders>
              <w:left w:val="single" w:sz="8" w:color="1E1E1E"/>
              <w:bottom w:val="single" w:sz="8" w:color="1E1E1E"/>
              <w:right w:val="single" w:sz="8" w:color="1E1E1E"/>
            </w:tcBorders>
          </w:tcPr>
          <w:p>
            <w:pPr>
              <w:spacing w:after="0"/>
              <w:rPr>
                <w:sz w:val="21"/>
                <w:szCs w:val="21"/>
                <w:color w:val="auto"/>
              </w:rPr>
            </w:pPr>
          </w:p>
        </w:tc>
        <w:tc>
          <w:tcPr>
            <w:tcW w:w="560" w:type="dxa"/>
            <w:vAlign w:val="bottom"/>
            <w:tcBorders>
              <w:bottom w:val="single" w:sz="8" w:color="1E1E1E"/>
              <w:right w:val="single" w:sz="8" w:color="1E1E1E"/>
            </w:tcBorders>
          </w:tcPr>
          <w:p>
            <w:pPr>
              <w:spacing w:after="0"/>
              <w:rPr>
                <w:sz w:val="21"/>
                <w:szCs w:val="21"/>
                <w:color w:val="auto"/>
              </w:rPr>
            </w:pPr>
          </w:p>
        </w:tc>
        <w:tc>
          <w:tcPr>
            <w:tcW w:w="7580" w:type="dxa"/>
            <w:vAlign w:val="bottom"/>
            <w:tcBorders>
              <w:bottom w:val="single" w:sz="8" w:color="1E1E1E"/>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University, CPA (inactive), and is a CFA charter holder.</w:t>
            </w:r>
          </w:p>
        </w:tc>
      </w:tr>
      <w:tr>
        <w:trPr>
          <w:trHeight w:val="198"/>
        </w:trPr>
        <w:tc>
          <w:tcPr>
            <w:tcW w:w="2060" w:type="dxa"/>
            <w:vAlign w:val="bottom"/>
            <w:tcBorders>
              <w:left w:val="single" w:sz="8" w:color="1E1E1E"/>
              <w:right w:val="single" w:sz="8" w:color="1E1E1E"/>
            </w:tcBorders>
          </w:tcPr>
          <w:p>
            <w:pPr>
              <w:ind w:left="120"/>
              <w:spacing w:after="0" w:line="198" w:lineRule="exact"/>
              <w:rPr>
                <w:sz w:val="20"/>
                <w:szCs w:val="20"/>
                <w:color w:val="auto"/>
              </w:rPr>
            </w:pPr>
            <w:r>
              <w:rPr>
                <w:rFonts w:ascii="Times New Roman" w:cs="Times New Roman" w:eastAsia="Times New Roman" w:hAnsi="Times New Roman"/>
                <w:sz w:val="20"/>
                <w:szCs w:val="20"/>
                <w:color w:val="1E1E1E"/>
              </w:rPr>
              <w:t>Eli M. Getson</w:t>
            </w:r>
          </w:p>
        </w:tc>
        <w:tc>
          <w:tcPr>
            <w:tcW w:w="560" w:type="dxa"/>
            <w:vAlign w:val="bottom"/>
            <w:tcBorders>
              <w:right w:val="single" w:sz="8" w:color="1E1E1E"/>
            </w:tcBorders>
          </w:tcPr>
          <w:p>
            <w:pPr>
              <w:ind w:left="100"/>
              <w:spacing w:after="0" w:line="198" w:lineRule="exact"/>
              <w:rPr>
                <w:sz w:val="20"/>
                <w:szCs w:val="20"/>
                <w:color w:val="auto"/>
              </w:rPr>
            </w:pPr>
            <w:r>
              <w:rPr>
                <w:rFonts w:ascii="Times New Roman" w:cs="Times New Roman" w:eastAsia="Times New Roman" w:hAnsi="Times New Roman"/>
                <w:sz w:val="20"/>
                <w:szCs w:val="20"/>
                <w:color w:val="1E1E1E"/>
              </w:rPr>
              <w:t>54</w:t>
            </w:r>
          </w:p>
        </w:tc>
        <w:tc>
          <w:tcPr>
            <w:tcW w:w="7580" w:type="dxa"/>
            <w:vAlign w:val="bottom"/>
            <w:tcBorders>
              <w:right w:val="single" w:sz="8" w:color="1E1E1E"/>
            </w:tcBorders>
          </w:tcPr>
          <w:p>
            <w:pPr>
              <w:ind w:left="100"/>
              <w:spacing w:after="0" w:line="198" w:lineRule="exact"/>
              <w:rPr>
                <w:sz w:val="20"/>
                <w:szCs w:val="20"/>
                <w:color w:val="auto"/>
              </w:rPr>
            </w:pPr>
            <w:r>
              <w:rPr>
                <w:rFonts w:ascii="Times New Roman" w:cs="Times New Roman" w:eastAsia="Times New Roman" w:hAnsi="Times New Roman"/>
                <w:sz w:val="20"/>
                <w:szCs w:val="20"/>
                <w:color w:val="1E1E1E"/>
              </w:rPr>
              <w:t>Mr. Getson has served as our Senior Vice President and Chief Merchandising Officer since</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August 2024. From December 2016 through April 2024, Mr. Getson served as Senior Vice</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President and General Merchandise Manager at Academy Sports and Outdoors, a retailer of</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trending outdoor and sports categories. From June 2010 through November 2016, Mr.</w:t>
            </w:r>
          </w:p>
        </w:tc>
      </w:tr>
      <w:tr>
        <w:trPr>
          <w:trHeight w:val="226"/>
        </w:trPr>
        <w:tc>
          <w:tcPr>
            <w:tcW w:w="2060" w:type="dxa"/>
            <w:vAlign w:val="bottom"/>
            <w:tcBorders>
              <w:left w:val="single" w:sz="8" w:color="1E1E1E"/>
              <w:right w:val="single" w:sz="8" w:color="1E1E1E"/>
            </w:tcBorders>
          </w:tcPr>
          <w:p>
            <w:pPr>
              <w:spacing w:after="0"/>
              <w:rPr>
                <w:sz w:val="19"/>
                <w:szCs w:val="19"/>
                <w:color w:val="auto"/>
              </w:rPr>
            </w:pPr>
          </w:p>
        </w:tc>
        <w:tc>
          <w:tcPr>
            <w:tcW w:w="560" w:type="dxa"/>
            <w:vAlign w:val="bottom"/>
            <w:tcBorders>
              <w:right w:val="single" w:sz="8" w:color="1E1E1E"/>
            </w:tcBorders>
          </w:tcPr>
          <w:p>
            <w:pPr>
              <w:spacing w:after="0"/>
              <w:rPr>
                <w:sz w:val="19"/>
                <w:szCs w:val="19"/>
                <w:color w:val="auto"/>
              </w:rPr>
            </w:pPr>
          </w:p>
        </w:tc>
        <w:tc>
          <w:tcPr>
            <w:tcW w:w="7580" w:type="dxa"/>
            <w:vAlign w:val="bottom"/>
            <w:tcBorders>
              <w:right w:val="single" w:sz="8" w:color="1E1E1E"/>
            </w:tcBorders>
          </w:tcPr>
          <w:p>
            <w:pPr>
              <w:ind w:left="100"/>
              <w:spacing w:after="0" w:line="226" w:lineRule="exact"/>
              <w:rPr>
                <w:sz w:val="20"/>
                <w:szCs w:val="20"/>
                <w:color w:val="auto"/>
              </w:rPr>
            </w:pPr>
            <w:r>
              <w:rPr>
                <w:rFonts w:ascii="Times New Roman" w:cs="Times New Roman" w:eastAsia="Times New Roman" w:hAnsi="Times New Roman"/>
                <w:sz w:val="20"/>
                <w:szCs w:val="20"/>
                <w:color w:val="1E1E1E"/>
              </w:rPr>
              <w:t>Getson served as Executive Vice President and General Merchandise Manager at Golfsmith</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International. Prior to that, Mr. Getson served in various roles at Cabela’s, Bon-Ton</w:t>
            </w:r>
          </w:p>
        </w:tc>
      </w:tr>
      <w:tr>
        <w:trPr>
          <w:trHeight w:val="253"/>
        </w:trPr>
        <w:tc>
          <w:tcPr>
            <w:tcW w:w="2060" w:type="dxa"/>
            <w:vAlign w:val="bottom"/>
            <w:tcBorders>
              <w:left w:val="single" w:sz="8" w:color="1E1E1E"/>
              <w:bottom w:val="single" w:sz="8" w:color="1E1E1E"/>
              <w:right w:val="single" w:sz="8" w:color="1E1E1E"/>
            </w:tcBorders>
          </w:tcPr>
          <w:p>
            <w:pPr>
              <w:spacing w:after="0"/>
              <w:rPr>
                <w:sz w:val="21"/>
                <w:szCs w:val="21"/>
                <w:color w:val="auto"/>
              </w:rPr>
            </w:pPr>
          </w:p>
        </w:tc>
        <w:tc>
          <w:tcPr>
            <w:tcW w:w="560" w:type="dxa"/>
            <w:vAlign w:val="bottom"/>
            <w:tcBorders>
              <w:bottom w:val="single" w:sz="8" w:color="1E1E1E"/>
              <w:right w:val="single" w:sz="8" w:color="1E1E1E"/>
            </w:tcBorders>
          </w:tcPr>
          <w:p>
            <w:pPr>
              <w:spacing w:after="0"/>
              <w:rPr>
                <w:sz w:val="21"/>
                <w:szCs w:val="21"/>
                <w:color w:val="auto"/>
              </w:rPr>
            </w:pPr>
          </w:p>
        </w:tc>
        <w:tc>
          <w:tcPr>
            <w:tcW w:w="7580" w:type="dxa"/>
            <w:vAlign w:val="bottom"/>
            <w:tcBorders>
              <w:bottom w:val="single" w:sz="8" w:color="1E1E1E"/>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Corporation, Perry Ellis International, and Polo Ralph Lauren.</w:t>
            </w:r>
          </w:p>
        </w:tc>
      </w:tr>
    </w:tbl>
    <w:p>
      <w:pPr>
        <w:spacing w:after="0" w:line="118" w:lineRule="exact"/>
        <w:rPr>
          <w:sz w:val="20"/>
          <w:szCs w:val="20"/>
          <w:color w:val="auto"/>
        </w:rPr>
      </w:pPr>
    </w:p>
    <w:p>
      <w:pPr>
        <w:sectPr>
          <w:pgSz w:w="11880" w:h="15480" w:orient="portrait"/>
          <w:cols w:equalWidth="0" w:num="1">
            <w:col w:w="10220"/>
          </w:cols>
          <w:pgMar w:left="800" w:top="874" w:right="860" w:bottom="0" w:gutter="0" w:footer="0" w:header="0"/>
        </w:sectPr>
      </w:pPr>
    </w:p>
    <w:p>
      <w:pPr>
        <w:jc w:val="center"/>
        <w:ind w:right="-59"/>
        <w:spacing w:after="0"/>
        <w:rPr>
          <w:sz w:val="20"/>
          <w:szCs w:val="20"/>
          <w:color w:val="auto"/>
        </w:rPr>
      </w:pPr>
      <w:r>
        <w:rPr>
          <w:rFonts w:ascii="Times New Roman" w:cs="Times New Roman" w:eastAsia="Times New Roman" w:hAnsi="Times New Roman"/>
          <w:sz w:val="16"/>
          <w:szCs w:val="16"/>
          <w:color w:val="1E1E1E"/>
        </w:rPr>
        <w:t>26</w:t>
      </w:r>
    </w:p>
    <w:p>
      <w:pPr>
        <w:sectPr>
          <w:pgSz w:w="11880" w:h="15480" w:orient="portrait"/>
          <w:cols w:equalWidth="0" w:num="1">
            <w:col w:w="10220"/>
          </w:cols>
          <w:pgMar w:left="800" w:top="874" w:right="860" w:bottom="0" w:gutter="0" w:footer="0" w:header="0"/>
          <w:type w:val="continuous"/>
        </w:sectPr>
      </w:pPr>
    </w:p>
    <w:bookmarkStart w:id="32" w:name="page33"/>
    <w:bookmarkEnd w:id="32"/>
    <w:tbl>
      <w:tblPr>
        <w:tblLayout w:type="fixed"/>
        <w:tblInd w:w="10" w:type="dxa"/>
        <w:tblCellMar>
          <w:top w:w="0" w:type="dxa"/>
          <w:left w:w="0" w:type="dxa"/>
          <w:bottom w:w="0" w:type="dxa"/>
          <w:right w:w="0" w:type="dxa"/>
        </w:tblCellMar>
      </w:tblPr>
      <w:tr>
        <w:trPr>
          <w:trHeight w:val="230"/>
        </w:trPr>
        <w:tc>
          <w:tcPr>
            <w:tcW w:w="2060" w:type="dxa"/>
            <w:vAlign w:val="bottom"/>
            <w:tcBorders>
              <w:top w:val="single" w:sz="8" w:color="1E1E1E"/>
              <w:left w:val="single" w:sz="8" w:color="1E1E1E"/>
              <w:right w:val="single" w:sz="8" w:color="1E1E1E"/>
            </w:tcBorders>
          </w:tcPr>
          <w:p>
            <w:pPr>
              <w:ind w:left="120"/>
              <w:spacing w:after="0"/>
              <w:rPr>
                <w:sz w:val="20"/>
                <w:szCs w:val="20"/>
                <w:color w:val="auto"/>
              </w:rPr>
            </w:pPr>
            <w:r>
              <w:rPr>
                <w:rFonts w:ascii="Times New Roman" w:cs="Times New Roman" w:eastAsia="Times New Roman" w:hAnsi="Times New Roman"/>
                <w:sz w:val="20"/>
                <w:szCs w:val="20"/>
                <w:color w:val="1E1E1E"/>
              </w:rPr>
              <w:t>David S. Homolka</w:t>
            </w:r>
          </w:p>
        </w:tc>
        <w:tc>
          <w:tcPr>
            <w:tcW w:w="560" w:type="dxa"/>
            <w:vAlign w:val="bottom"/>
            <w:tcBorders>
              <w:top w:val="single" w:sz="8" w:color="1E1E1E"/>
              <w:right w:val="single" w:sz="8" w:color="1E1E1E"/>
            </w:tcBorders>
          </w:tcPr>
          <w:p>
            <w:pPr>
              <w:jc w:val="right"/>
              <w:ind w:right="159"/>
              <w:spacing w:after="0"/>
              <w:rPr>
                <w:sz w:val="20"/>
                <w:szCs w:val="20"/>
                <w:color w:val="auto"/>
              </w:rPr>
            </w:pPr>
            <w:r>
              <w:rPr>
                <w:rFonts w:ascii="Times New Roman" w:cs="Times New Roman" w:eastAsia="Times New Roman" w:hAnsi="Times New Roman"/>
                <w:sz w:val="20"/>
                <w:szCs w:val="20"/>
                <w:color w:val="1E1E1E"/>
              </w:rPr>
              <w:t>58</w:t>
            </w:r>
          </w:p>
        </w:tc>
        <w:tc>
          <w:tcPr>
            <w:tcW w:w="7580" w:type="dxa"/>
            <w:vAlign w:val="bottom"/>
            <w:tcBorders>
              <w:top w:val="single" w:sz="8" w:color="1E1E1E"/>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Mr. Homolka has served as our Senior Vice President of Talent, Retail Store Operations,</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Contact Center Operations, Asset Protection &amp; Safety since February 2020 and previously</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served as our Vice President of Human Resources, Store Operations and Asset Protection</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from January 2019 to February 2020, and Vice President of Human Resources from</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February 2017 to January 2019. Mr. Homolka previously served as Chief Property and</w:t>
            </w:r>
          </w:p>
        </w:tc>
      </w:tr>
      <w:tr>
        <w:trPr>
          <w:trHeight w:val="226"/>
        </w:trPr>
        <w:tc>
          <w:tcPr>
            <w:tcW w:w="2060" w:type="dxa"/>
            <w:vAlign w:val="bottom"/>
            <w:tcBorders>
              <w:left w:val="single" w:sz="8" w:color="1E1E1E"/>
              <w:right w:val="single" w:sz="8" w:color="1E1E1E"/>
            </w:tcBorders>
          </w:tcPr>
          <w:p>
            <w:pPr>
              <w:spacing w:after="0"/>
              <w:rPr>
                <w:sz w:val="19"/>
                <w:szCs w:val="19"/>
                <w:color w:val="auto"/>
              </w:rPr>
            </w:pPr>
          </w:p>
        </w:tc>
        <w:tc>
          <w:tcPr>
            <w:tcW w:w="560" w:type="dxa"/>
            <w:vAlign w:val="bottom"/>
            <w:tcBorders>
              <w:right w:val="single" w:sz="8" w:color="1E1E1E"/>
            </w:tcBorders>
          </w:tcPr>
          <w:p>
            <w:pPr>
              <w:spacing w:after="0"/>
              <w:rPr>
                <w:sz w:val="19"/>
                <w:szCs w:val="19"/>
                <w:color w:val="auto"/>
              </w:rPr>
            </w:pPr>
          </w:p>
        </w:tc>
        <w:tc>
          <w:tcPr>
            <w:tcW w:w="7580" w:type="dxa"/>
            <w:vAlign w:val="bottom"/>
            <w:tcBorders>
              <w:right w:val="single" w:sz="8" w:color="1E1E1E"/>
            </w:tcBorders>
          </w:tcPr>
          <w:p>
            <w:pPr>
              <w:ind w:left="100"/>
              <w:spacing w:after="0" w:line="226" w:lineRule="exact"/>
              <w:rPr>
                <w:sz w:val="20"/>
                <w:szCs w:val="20"/>
                <w:color w:val="auto"/>
              </w:rPr>
            </w:pPr>
            <w:r>
              <w:rPr>
                <w:rFonts w:ascii="Times New Roman" w:cs="Times New Roman" w:eastAsia="Times New Roman" w:hAnsi="Times New Roman"/>
                <w:sz w:val="20"/>
                <w:szCs w:val="20"/>
                <w:color w:val="1E1E1E"/>
              </w:rPr>
              <w:t>Design Officer and Vice President of Real Estate, Store Design and Construction at</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Cabela’s from October 2015 to February 2017 and Vice President of Human Resources and</w:t>
            </w:r>
          </w:p>
        </w:tc>
      </w:tr>
      <w:tr>
        <w:trPr>
          <w:trHeight w:val="253"/>
        </w:trPr>
        <w:tc>
          <w:tcPr>
            <w:tcW w:w="2060" w:type="dxa"/>
            <w:vAlign w:val="bottom"/>
            <w:tcBorders>
              <w:left w:val="single" w:sz="8" w:color="1E1E1E"/>
              <w:bottom w:val="single" w:sz="8" w:color="1E1E1E"/>
              <w:right w:val="single" w:sz="8" w:color="1E1E1E"/>
            </w:tcBorders>
          </w:tcPr>
          <w:p>
            <w:pPr>
              <w:spacing w:after="0"/>
              <w:rPr>
                <w:sz w:val="21"/>
                <w:szCs w:val="21"/>
                <w:color w:val="auto"/>
              </w:rPr>
            </w:pPr>
          </w:p>
        </w:tc>
        <w:tc>
          <w:tcPr>
            <w:tcW w:w="560" w:type="dxa"/>
            <w:vAlign w:val="bottom"/>
            <w:tcBorders>
              <w:bottom w:val="single" w:sz="8" w:color="1E1E1E"/>
              <w:right w:val="single" w:sz="8" w:color="1E1E1E"/>
            </w:tcBorders>
          </w:tcPr>
          <w:p>
            <w:pPr>
              <w:spacing w:after="0"/>
              <w:rPr>
                <w:sz w:val="21"/>
                <w:szCs w:val="21"/>
                <w:color w:val="auto"/>
              </w:rPr>
            </w:pPr>
          </w:p>
        </w:tc>
        <w:tc>
          <w:tcPr>
            <w:tcW w:w="7580" w:type="dxa"/>
            <w:vAlign w:val="bottom"/>
            <w:tcBorders>
              <w:bottom w:val="single" w:sz="8" w:color="1E1E1E"/>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Asset Protection from January 2012 to October 2015.</w:t>
            </w:r>
          </w:p>
        </w:tc>
      </w:tr>
      <w:tr>
        <w:trPr>
          <w:trHeight w:val="198"/>
        </w:trPr>
        <w:tc>
          <w:tcPr>
            <w:tcW w:w="2060" w:type="dxa"/>
            <w:vAlign w:val="bottom"/>
            <w:tcBorders>
              <w:left w:val="single" w:sz="8" w:color="1E1E1E"/>
              <w:right w:val="single" w:sz="8" w:color="1E1E1E"/>
            </w:tcBorders>
          </w:tcPr>
          <w:p>
            <w:pPr>
              <w:ind w:left="120"/>
              <w:spacing w:after="0" w:line="198" w:lineRule="exact"/>
              <w:rPr>
                <w:sz w:val="20"/>
                <w:szCs w:val="20"/>
                <w:color w:val="auto"/>
              </w:rPr>
            </w:pPr>
            <w:r>
              <w:rPr>
                <w:rFonts w:ascii="Times New Roman" w:cs="Times New Roman" w:eastAsia="Times New Roman" w:hAnsi="Times New Roman"/>
                <w:sz w:val="20"/>
                <w:szCs w:val="20"/>
                <w:color w:val="1E1E1E"/>
              </w:rPr>
              <w:t>Richard W. Schlecht</w:t>
            </w:r>
          </w:p>
        </w:tc>
        <w:tc>
          <w:tcPr>
            <w:tcW w:w="560" w:type="dxa"/>
            <w:vAlign w:val="bottom"/>
            <w:tcBorders>
              <w:right w:val="single" w:sz="8" w:color="1E1E1E"/>
            </w:tcBorders>
          </w:tcPr>
          <w:p>
            <w:pPr>
              <w:jc w:val="right"/>
              <w:ind w:right="159"/>
              <w:spacing w:after="0" w:line="198" w:lineRule="exact"/>
              <w:rPr>
                <w:sz w:val="20"/>
                <w:szCs w:val="20"/>
                <w:color w:val="auto"/>
              </w:rPr>
            </w:pPr>
            <w:r>
              <w:rPr>
                <w:rFonts w:ascii="Times New Roman" w:cs="Times New Roman" w:eastAsia="Times New Roman" w:hAnsi="Times New Roman"/>
                <w:sz w:val="20"/>
                <w:szCs w:val="20"/>
                <w:color w:val="1E1E1E"/>
              </w:rPr>
              <w:t>44</w:t>
            </w:r>
          </w:p>
        </w:tc>
        <w:tc>
          <w:tcPr>
            <w:tcW w:w="7580" w:type="dxa"/>
            <w:vAlign w:val="bottom"/>
            <w:tcBorders>
              <w:right w:val="single" w:sz="8" w:color="1E1E1E"/>
            </w:tcBorders>
          </w:tcPr>
          <w:p>
            <w:pPr>
              <w:ind w:left="100"/>
              <w:spacing w:after="0" w:line="198" w:lineRule="exact"/>
              <w:rPr>
                <w:sz w:val="20"/>
                <w:szCs w:val="20"/>
                <w:color w:val="auto"/>
              </w:rPr>
            </w:pPr>
            <w:r>
              <w:rPr>
                <w:rFonts w:ascii="Times New Roman" w:cs="Times New Roman" w:eastAsia="Times New Roman" w:hAnsi="Times New Roman"/>
                <w:sz w:val="20"/>
                <w:szCs w:val="20"/>
                <w:color w:val="1E1E1E"/>
              </w:rPr>
              <w:t>Mr. Schlecht has served as our Senior Vice President of Product Development and</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Sourcing since October 2023, and has previously served as our Senior Vice President of</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Product, Merchandise and Inventory from March 2022 to October 2023, Senior Vice</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President of Product, Visual and Creative from February 2020 to March 2022, Vice</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President of Product Development from March 2016 to February 2020 and Director of</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Product Development from September 2013 to March 2016. Mr. Schlecht holds a BSBA</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degree with a minor in Statistics from Denver University. Mr. Schlecht is the son of</w:t>
            </w:r>
          </w:p>
        </w:tc>
      </w:tr>
      <w:tr>
        <w:trPr>
          <w:trHeight w:val="253"/>
        </w:trPr>
        <w:tc>
          <w:tcPr>
            <w:tcW w:w="2060" w:type="dxa"/>
            <w:vAlign w:val="bottom"/>
            <w:tcBorders>
              <w:left w:val="single" w:sz="8" w:color="1E1E1E"/>
              <w:bottom w:val="single" w:sz="8" w:color="1E1E1E"/>
              <w:right w:val="single" w:sz="8" w:color="1E1E1E"/>
            </w:tcBorders>
          </w:tcPr>
          <w:p>
            <w:pPr>
              <w:spacing w:after="0"/>
              <w:rPr>
                <w:sz w:val="21"/>
                <w:szCs w:val="21"/>
                <w:color w:val="auto"/>
              </w:rPr>
            </w:pPr>
          </w:p>
        </w:tc>
        <w:tc>
          <w:tcPr>
            <w:tcW w:w="560" w:type="dxa"/>
            <w:vAlign w:val="bottom"/>
            <w:tcBorders>
              <w:bottom w:val="single" w:sz="8" w:color="1E1E1E"/>
              <w:right w:val="single" w:sz="8" w:color="1E1E1E"/>
            </w:tcBorders>
          </w:tcPr>
          <w:p>
            <w:pPr>
              <w:spacing w:after="0"/>
              <w:rPr>
                <w:sz w:val="21"/>
                <w:szCs w:val="21"/>
                <w:color w:val="auto"/>
              </w:rPr>
            </w:pPr>
          </w:p>
        </w:tc>
        <w:tc>
          <w:tcPr>
            <w:tcW w:w="7580" w:type="dxa"/>
            <w:vAlign w:val="bottom"/>
            <w:tcBorders>
              <w:bottom w:val="single" w:sz="8" w:color="1E1E1E"/>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Stephen L. Schlecht, the Chairman of the Board of Directors of Duluth Holdings Inc.</w:t>
            </w:r>
          </w:p>
        </w:tc>
      </w:tr>
      <w:tr>
        <w:trPr>
          <w:trHeight w:val="198"/>
        </w:trPr>
        <w:tc>
          <w:tcPr>
            <w:tcW w:w="2060" w:type="dxa"/>
            <w:vAlign w:val="bottom"/>
            <w:tcBorders>
              <w:left w:val="single" w:sz="8" w:color="1E1E1E"/>
              <w:right w:val="single" w:sz="8" w:color="1E1E1E"/>
            </w:tcBorders>
          </w:tcPr>
          <w:p>
            <w:pPr>
              <w:ind w:left="120"/>
              <w:spacing w:after="0" w:line="198" w:lineRule="exact"/>
              <w:rPr>
                <w:sz w:val="20"/>
                <w:szCs w:val="20"/>
                <w:color w:val="auto"/>
              </w:rPr>
            </w:pPr>
            <w:r>
              <w:rPr>
                <w:rFonts w:ascii="Times New Roman" w:cs="Times New Roman" w:eastAsia="Times New Roman" w:hAnsi="Times New Roman"/>
                <w:sz w:val="20"/>
                <w:szCs w:val="20"/>
                <w:color w:val="1E1E1E"/>
              </w:rPr>
              <w:t>Albert J. Sutera</w:t>
            </w:r>
          </w:p>
        </w:tc>
        <w:tc>
          <w:tcPr>
            <w:tcW w:w="560" w:type="dxa"/>
            <w:vAlign w:val="bottom"/>
            <w:tcBorders>
              <w:right w:val="single" w:sz="8" w:color="1E1E1E"/>
            </w:tcBorders>
          </w:tcPr>
          <w:p>
            <w:pPr>
              <w:jc w:val="right"/>
              <w:ind w:right="159"/>
              <w:spacing w:after="0" w:line="198" w:lineRule="exact"/>
              <w:rPr>
                <w:sz w:val="20"/>
                <w:szCs w:val="20"/>
                <w:color w:val="auto"/>
              </w:rPr>
            </w:pPr>
            <w:r>
              <w:rPr>
                <w:rFonts w:ascii="Times New Roman" w:cs="Times New Roman" w:eastAsia="Times New Roman" w:hAnsi="Times New Roman"/>
                <w:sz w:val="20"/>
                <w:szCs w:val="20"/>
                <w:color w:val="1E1E1E"/>
              </w:rPr>
              <w:t>59</w:t>
            </w:r>
          </w:p>
        </w:tc>
        <w:tc>
          <w:tcPr>
            <w:tcW w:w="7580" w:type="dxa"/>
            <w:vAlign w:val="bottom"/>
            <w:tcBorders>
              <w:right w:val="single" w:sz="8" w:color="1E1E1E"/>
            </w:tcBorders>
          </w:tcPr>
          <w:p>
            <w:pPr>
              <w:ind w:left="100"/>
              <w:spacing w:after="0" w:line="198" w:lineRule="exact"/>
              <w:rPr>
                <w:sz w:val="20"/>
                <w:szCs w:val="20"/>
                <w:color w:val="auto"/>
              </w:rPr>
            </w:pPr>
            <w:r>
              <w:rPr>
                <w:rFonts w:ascii="Times New Roman" w:cs="Times New Roman" w:eastAsia="Times New Roman" w:hAnsi="Times New Roman"/>
                <w:sz w:val="20"/>
                <w:szCs w:val="20"/>
                <w:color w:val="1E1E1E"/>
              </w:rPr>
              <w:t>Mr. Sutera has served as our Senior Vice President, Chief Technology Officer and Logistics</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since August 2022. He previously served as US Chief Technology &amp; Operations Officer of</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Signa Sports United from January 2022 to August 2022, as Executive Vice President/Chief</w:t>
            </w:r>
          </w:p>
        </w:tc>
      </w:tr>
      <w:tr>
        <w:trPr>
          <w:trHeight w:val="226"/>
        </w:trPr>
        <w:tc>
          <w:tcPr>
            <w:tcW w:w="2060" w:type="dxa"/>
            <w:vAlign w:val="bottom"/>
            <w:tcBorders>
              <w:left w:val="single" w:sz="8" w:color="1E1E1E"/>
              <w:right w:val="single" w:sz="8" w:color="1E1E1E"/>
            </w:tcBorders>
          </w:tcPr>
          <w:p>
            <w:pPr>
              <w:spacing w:after="0"/>
              <w:rPr>
                <w:sz w:val="19"/>
                <w:szCs w:val="19"/>
                <w:color w:val="auto"/>
              </w:rPr>
            </w:pPr>
          </w:p>
        </w:tc>
        <w:tc>
          <w:tcPr>
            <w:tcW w:w="560" w:type="dxa"/>
            <w:vAlign w:val="bottom"/>
            <w:tcBorders>
              <w:right w:val="single" w:sz="8" w:color="1E1E1E"/>
            </w:tcBorders>
          </w:tcPr>
          <w:p>
            <w:pPr>
              <w:spacing w:after="0"/>
              <w:rPr>
                <w:sz w:val="19"/>
                <w:szCs w:val="19"/>
                <w:color w:val="auto"/>
              </w:rPr>
            </w:pPr>
          </w:p>
        </w:tc>
        <w:tc>
          <w:tcPr>
            <w:tcW w:w="7580" w:type="dxa"/>
            <w:vAlign w:val="bottom"/>
            <w:tcBorders>
              <w:right w:val="single" w:sz="8" w:color="1E1E1E"/>
            </w:tcBorders>
          </w:tcPr>
          <w:p>
            <w:pPr>
              <w:ind w:left="100"/>
              <w:spacing w:after="0" w:line="226" w:lineRule="exact"/>
              <w:rPr>
                <w:sz w:val="20"/>
                <w:szCs w:val="20"/>
                <w:color w:val="auto"/>
              </w:rPr>
            </w:pPr>
            <w:r>
              <w:rPr>
                <w:rFonts w:ascii="Times New Roman" w:cs="Times New Roman" w:eastAsia="Times New Roman" w:hAnsi="Times New Roman"/>
                <w:sz w:val="20"/>
                <w:szCs w:val="20"/>
                <w:color w:val="1E1E1E"/>
              </w:rPr>
              <w:t>Technology &amp; Information Officer of JD Sports Fashion from March 2016 to August 2021,</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as Senior Vice President/CTO for Hudson Bay Corporation from November 2013 to</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February 2016 and as Senior Vice President of Digital Technology &amp; Operations of Saks</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Fifth Avenue from March 2007 to November 2013. Mr. Sutera holds a B.S. in Finance and</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Accounting from Montclair State University and a Master’s Certificate in Computer</w:t>
            </w:r>
          </w:p>
        </w:tc>
      </w:tr>
      <w:tr>
        <w:trPr>
          <w:trHeight w:val="262"/>
        </w:trPr>
        <w:tc>
          <w:tcPr>
            <w:tcW w:w="2060" w:type="dxa"/>
            <w:vAlign w:val="bottom"/>
            <w:tcBorders>
              <w:left w:val="single" w:sz="8" w:color="1E1E1E"/>
              <w:bottom w:val="single" w:sz="8" w:color="1E1E1E"/>
              <w:right w:val="single" w:sz="8" w:color="1E1E1E"/>
            </w:tcBorders>
          </w:tcPr>
          <w:p>
            <w:pPr>
              <w:spacing w:after="0"/>
              <w:rPr>
                <w:sz w:val="22"/>
                <w:szCs w:val="22"/>
                <w:color w:val="auto"/>
              </w:rPr>
            </w:pPr>
          </w:p>
        </w:tc>
        <w:tc>
          <w:tcPr>
            <w:tcW w:w="560" w:type="dxa"/>
            <w:vAlign w:val="bottom"/>
            <w:tcBorders>
              <w:bottom w:val="single" w:sz="8" w:color="1E1E1E"/>
              <w:right w:val="single" w:sz="8" w:color="1E1E1E"/>
            </w:tcBorders>
          </w:tcPr>
          <w:p>
            <w:pPr>
              <w:spacing w:after="0"/>
              <w:rPr>
                <w:sz w:val="22"/>
                <w:szCs w:val="22"/>
                <w:color w:val="auto"/>
              </w:rPr>
            </w:pPr>
          </w:p>
        </w:tc>
        <w:tc>
          <w:tcPr>
            <w:tcW w:w="7580" w:type="dxa"/>
            <w:vAlign w:val="bottom"/>
            <w:tcBorders>
              <w:bottom w:val="single" w:sz="8" w:color="1E1E1E"/>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Science and Project Management from Stevens Institute of Technology.</w:t>
            </w:r>
          </w:p>
        </w:tc>
      </w:tr>
      <w:tr>
        <w:trPr>
          <w:trHeight w:val="198"/>
        </w:trPr>
        <w:tc>
          <w:tcPr>
            <w:tcW w:w="2060" w:type="dxa"/>
            <w:vAlign w:val="bottom"/>
            <w:tcBorders>
              <w:left w:val="single" w:sz="8" w:color="1E1E1E"/>
              <w:right w:val="single" w:sz="8" w:color="1E1E1E"/>
            </w:tcBorders>
          </w:tcPr>
          <w:p>
            <w:pPr>
              <w:ind w:left="120"/>
              <w:spacing w:after="0" w:line="198" w:lineRule="exact"/>
              <w:rPr>
                <w:sz w:val="20"/>
                <w:szCs w:val="20"/>
                <w:color w:val="auto"/>
              </w:rPr>
            </w:pPr>
            <w:r>
              <w:rPr>
                <w:rFonts w:ascii="Times New Roman" w:cs="Times New Roman" w:eastAsia="Times New Roman" w:hAnsi="Times New Roman"/>
                <w:sz w:val="20"/>
                <w:szCs w:val="20"/>
                <w:color w:val="1E1E1E"/>
              </w:rPr>
              <w:t>Garth N. Weber</w:t>
            </w:r>
          </w:p>
        </w:tc>
        <w:tc>
          <w:tcPr>
            <w:tcW w:w="560" w:type="dxa"/>
            <w:vAlign w:val="bottom"/>
            <w:tcBorders>
              <w:right w:val="single" w:sz="8" w:color="1E1E1E"/>
            </w:tcBorders>
          </w:tcPr>
          <w:p>
            <w:pPr>
              <w:jc w:val="right"/>
              <w:ind w:right="159"/>
              <w:spacing w:after="0" w:line="198" w:lineRule="exact"/>
              <w:rPr>
                <w:sz w:val="20"/>
                <w:szCs w:val="20"/>
                <w:color w:val="auto"/>
              </w:rPr>
            </w:pPr>
            <w:r>
              <w:rPr>
                <w:rFonts w:ascii="Times New Roman" w:cs="Times New Roman" w:eastAsia="Times New Roman" w:hAnsi="Times New Roman"/>
                <w:sz w:val="20"/>
                <w:szCs w:val="20"/>
                <w:color w:val="1E1E1E"/>
              </w:rPr>
              <w:t>55</w:t>
            </w:r>
          </w:p>
        </w:tc>
        <w:tc>
          <w:tcPr>
            <w:tcW w:w="7580" w:type="dxa"/>
            <w:vAlign w:val="bottom"/>
            <w:tcBorders>
              <w:right w:val="single" w:sz="8" w:color="1E1E1E"/>
            </w:tcBorders>
          </w:tcPr>
          <w:p>
            <w:pPr>
              <w:ind w:left="100"/>
              <w:spacing w:after="0" w:line="198" w:lineRule="exact"/>
              <w:rPr>
                <w:sz w:val="20"/>
                <w:szCs w:val="20"/>
                <w:color w:val="auto"/>
              </w:rPr>
            </w:pPr>
            <w:r>
              <w:rPr>
                <w:rFonts w:ascii="Times New Roman" w:cs="Times New Roman" w:eastAsia="Times New Roman" w:hAnsi="Times New Roman"/>
                <w:sz w:val="20"/>
                <w:szCs w:val="20"/>
                <w:color w:val="1E1E1E"/>
              </w:rPr>
              <w:t>Mr. Weber has served as our Senior Vice President of Brand and Marketing since August</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2024, serving as caretaker of brand and marketing across all facets of the company. From</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July 2023 to August 2024, Mr. Weber served as our Vice President of Brand and</w:t>
            </w:r>
          </w:p>
        </w:tc>
      </w:tr>
      <w:tr>
        <w:trPr>
          <w:trHeight w:val="226"/>
        </w:trPr>
        <w:tc>
          <w:tcPr>
            <w:tcW w:w="2060" w:type="dxa"/>
            <w:vAlign w:val="bottom"/>
            <w:tcBorders>
              <w:left w:val="single" w:sz="8" w:color="1E1E1E"/>
              <w:right w:val="single" w:sz="8" w:color="1E1E1E"/>
            </w:tcBorders>
          </w:tcPr>
          <w:p>
            <w:pPr>
              <w:spacing w:after="0"/>
              <w:rPr>
                <w:sz w:val="19"/>
                <w:szCs w:val="19"/>
                <w:color w:val="auto"/>
              </w:rPr>
            </w:pPr>
          </w:p>
        </w:tc>
        <w:tc>
          <w:tcPr>
            <w:tcW w:w="560" w:type="dxa"/>
            <w:vAlign w:val="bottom"/>
            <w:tcBorders>
              <w:right w:val="single" w:sz="8" w:color="1E1E1E"/>
            </w:tcBorders>
          </w:tcPr>
          <w:p>
            <w:pPr>
              <w:spacing w:after="0"/>
              <w:rPr>
                <w:sz w:val="19"/>
                <w:szCs w:val="19"/>
                <w:color w:val="auto"/>
              </w:rPr>
            </w:pPr>
          </w:p>
        </w:tc>
        <w:tc>
          <w:tcPr>
            <w:tcW w:w="7580" w:type="dxa"/>
            <w:vAlign w:val="bottom"/>
            <w:tcBorders>
              <w:right w:val="single" w:sz="8" w:color="1E1E1E"/>
            </w:tcBorders>
          </w:tcPr>
          <w:p>
            <w:pPr>
              <w:ind w:left="100"/>
              <w:spacing w:after="0" w:line="226" w:lineRule="exact"/>
              <w:rPr>
                <w:sz w:val="20"/>
                <w:szCs w:val="20"/>
                <w:color w:val="auto"/>
              </w:rPr>
            </w:pPr>
            <w:r>
              <w:rPr>
                <w:rFonts w:ascii="Times New Roman" w:cs="Times New Roman" w:eastAsia="Times New Roman" w:hAnsi="Times New Roman"/>
                <w:sz w:val="20"/>
                <w:szCs w:val="20"/>
                <w:color w:val="1E1E1E"/>
              </w:rPr>
              <w:t>Marketing, taking on successively greater responsibility of the company’s brand,</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marketing, and customer analytics functions. Prior to joining Duluth Trading, he served as</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Vice President of Brand and Creative at Wilson Sporting Goods from 2021 to 2023, a</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leading manufacturer and retailer in high-performance sports equipment, apparel, footwear</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and accessories. Previously, he spent nearly 5 years at adidas as Senior Director of Global</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Brand Design. Mr. Weber earned a Bachelor of Arts degree in Philosophy from Wheaton</w:t>
            </w:r>
          </w:p>
        </w:tc>
      </w:tr>
      <w:tr>
        <w:trPr>
          <w:trHeight w:val="230"/>
        </w:trPr>
        <w:tc>
          <w:tcPr>
            <w:tcW w:w="2060" w:type="dxa"/>
            <w:vAlign w:val="bottom"/>
            <w:tcBorders>
              <w:left w:val="single" w:sz="8" w:color="1E1E1E"/>
              <w:right w:val="single" w:sz="8" w:color="1E1E1E"/>
            </w:tcBorders>
          </w:tcPr>
          <w:p>
            <w:pPr>
              <w:spacing w:after="0"/>
              <w:rPr>
                <w:sz w:val="20"/>
                <w:szCs w:val="20"/>
                <w:color w:val="auto"/>
              </w:rPr>
            </w:pPr>
          </w:p>
        </w:tc>
        <w:tc>
          <w:tcPr>
            <w:tcW w:w="560" w:type="dxa"/>
            <w:vAlign w:val="bottom"/>
            <w:tcBorders>
              <w:right w:val="single" w:sz="8" w:color="1E1E1E"/>
            </w:tcBorders>
          </w:tcPr>
          <w:p>
            <w:pPr>
              <w:spacing w:after="0"/>
              <w:rPr>
                <w:sz w:val="20"/>
                <w:szCs w:val="20"/>
                <w:color w:val="auto"/>
              </w:rPr>
            </w:pPr>
          </w:p>
        </w:tc>
        <w:tc>
          <w:tcPr>
            <w:tcW w:w="7580" w:type="dxa"/>
            <w:vAlign w:val="bottom"/>
            <w:tcBorders>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College and a Master of Fine Arts degree in Fiction from the State University of New York</w:t>
            </w:r>
          </w:p>
        </w:tc>
      </w:tr>
      <w:tr>
        <w:trPr>
          <w:trHeight w:val="253"/>
        </w:trPr>
        <w:tc>
          <w:tcPr>
            <w:tcW w:w="2060" w:type="dxa"/>
            <w:vAlign w:val="bottom"/>
            <w:tcBorders>
              <w:left w:val="single" w:sz="8" w:color="1E1E1E"/>
              <w:bottom w:val="single" w:sz="8" w:color="1E1E1E"/>
              <w:right w:val="single" w:sz="8" w:color="1E1E1E"/>
            </w:tcBorders>
          </w:tcPr>
          <w:p>
            <w:pPr>
              <w:spacing w:after="0"/>
              <w:rPr>
                <w:sz w:val="21"/>
                <w:szCs w:val="21"/>
                <w:color w:val="auto"/>
              </w:rPr>
            </w:pPr>
          </w:p>
        </w:tc>
        <w:tc>
          <w:tcPr>
            <w:tcW w:w="560" w:type="dxa"/>
            <w:vAlign w:val="bottom"/>
            <w:tcBorders>
              <w:bottom w:val="single" w:sz="8" w:color="1E1E1E"/>
              <w:right w:val="single" w:sz="8" w:color="1E1E1E"/>
            </w:tcBorders>
          </w:tcPr>
          <w:p>
            <w:pPr>
              <w:spacing w:after="0"/>
              <w:rPr>
                <w:sz w:val="21"/>
                <w:szCs w:val="21"/>
                <w:color w:val="auto"/>
              </w:rPr>
            </w:pPr>
          </w:p>
        </w:tc>
        <w:tc>
          <w:tcPr>
            <w:tcW w:w="7580" w:type="dxa"/>
            <w:vAlign w:val="bottom"/>
            <w:tcBorders>
              <w:bottom w:val="single" w:sz="8" w:color="1E1E1E"/>
              <w:right w:val="single" w:sz="8" w:color="1E1E1E"/>
            </w:tcBorders>
          </w:tcPr>
          <w:p>
            <w:pPr>
              <w:ind w:left="100"/>
              <w:spacing w:after="0"/>
              <w:rPr>
                <w:sz w:val="20"/>
                <w:szCs w:val="20"/>
                <w:color w:val="auto"/>
              </w:rPr>
            </w:pPr>
            <w:r>
              <w:rPr>
                <w:rFonts w:ascii="Times New Roman" w:cs="Times New Roman" w:eastAsia="Times New Roman" w:hAnsi="Times New Roman"/>
                <w:sz w:val="20"/>
                <w:szCs w:val="20"/>
                <w:color w:val="1E1E1E"/>
              </w:rPr>
              <w:t>Brockport.</w:t>
            </w:r>
          </w:p>
        </w:tc>
      </w:tr>
    </w:tbl>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1E1E1E"/>
        </w:rPr>
        <w:t>PART II</w:t>
      </w:r>
    </w:p>
    <w:p>
      <w:pPr>
        <w:spacing w:after="0" w:line="229" w:lineRule="exact"/>
        <w:rPr>
          <w:sz w:val="20"/>
          <w:szCs w:val="20"/>
          <w:color w:val="auto"/>
        </w:rPr>
      </w:pPr>
    </w:p>
    <w:p>
      <w:pPr>
        <w:ind w:left="1200" w:right="60" w:hanging="1189"/>
        <w:spacing w:after="0" w:line="281" w:lineRule="auto"/>
        <w:tabs>
          <w:tab w:leader="none" w:pos="1180" w:val="left"/>
        </w:tabs>
        <w:rPr>
          <w:sz w:val="20"/>
          <w:szCs w:val="20"/>
          <w:color w:val="auto"/>
        </w:rPr>
      </w:pPr>
      <w:r>
        <w:rPr>
          <w:rFonts w:ascii="Times New Roman" w:cs="Times New Roman" w:eastAsia="Times New Roman" w:hAnsi="Times New Roman"/>
          <w:sz w:val="20"/>
          <w:szCs w:val="20"/>
          <w:color w:val="1E1E1E"/>
        </w:rPr>
        <w:t>ITEM 5.</w:t>
      </w:r>
      <w:r>
        <w:rPr>
          <w:sz w:val="20"/>
          <w:szCs w:val="20"/>
          <w:color w:val="auto"/>
        </w:rPr>
        <w:tab/>
      </w:r>
      <w:r>
        <w:rPr>
          <w:rFonts w:ascii="Times New Roman" w:cs="Times New Roman" w:eastAsia="Times New Roman" w:hAnsi="Times New Roman"/>
          <w:sz w:val="20"/>
          <w:szCs w:val="20"/>
          <w:color w:val="1E1E1E"/>
        </w:rPr>
        <w:t>MARKET FOR THE REGISTRANT’S COMMON EQUITY, RELATED SHAREHOLDER MATTERS AND ISSUER PURCHASES OF EQUITY SECURITIES</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Common Stock Listing and Trading</w:t>
      </w:r>
    </w:p>
    <w:p>
      <w:pPr>
        <w:spacing w:after="0" w:line="205" w:lineRule="exact"/>
        <w:rPr>
          <w:sz w:val="20"/>
          <w:szCs w:val="20"/>
          <w:color w:val="auto"/>
        </w:rPr>
      </w:pPr>
    </w:p>
    <w:p>
      <w:pPr>
        <w:jc w:val="both"/>
        <w:ind w:left="20" w:firstLine="490"/>
        <w:spacing w:after="0" w:line="281" w:lineRule="auto"/>
        <w:rPr>
          <w:sz w:val="20"/>
          <w:szCs w:val="20"/>
          <w:color w:val="auto"/>
        </w:rPr>
      </w:pPr>
      <w:r>
        <w:rPr>
          <w:rFonts w:ascii="Times New Roman" w:cs="Times New Roman" w:eastAsia="Times New Roman" w:hAnsi="Times New Roman"/>
          <w:sz w:val="20"/>
          <w:szCs w:val="20"/>
          <w:color w:val="1E1E1E"/>
        </w:rPr>
        <w:t>Our Class B common stock has been traded on the NASDAQ Global Select Market under the symbol “DLTH,” since our initial public offering on November 19, 2015. Our Class A common stock is neither listed nor traded on an exchange.</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Shareholders of Record</w:t>
      </w:r>
    </w:p>
    <w:p>
      <w:pPr>
        <w:spacing w:after="0" w:line="205" w:lineRule="exact"/>
        <w:rPr>
          <w:sz w:val="20"/>
          <w:szCs w:val="20"/>
          <w:color w:val="auto"/>
        </w:rPr>
      </w:pPr>
    </w:p>
    <w:p>
      <w:pPr>
        <w:jc w:val="both"/>
        <w:ind w:left="20" w:firstLine="490"/>
        <w:spacing w:after="0" w:line="261" w:lineRule="auto"/>
        <w:rPr>
          <w:sz w:val="20"/>
          <w:szCs w:val="20"/>
          <w:color w:val="auto"/>
        </w:rPr>
      </w:pPr>
      <w:r>
        <w:rPr>
          <w:rFonts w:ascii="Times New Roman" w:cs="Times New Roman" w:eastAsia="Times New Roman" w:hAnsi="Times New Roman"/>
          <w:sz w:val="20"/>
          <w:szCs w:val="20"/>
          <w:color w:val="1E1E1E"/>
        </w:rPr>
        <w:t>Based upon data provided by our transfer agent, as of March 21, 2025, there were approximately 107 holders of record of our Class B common stock, one of whom is the sole holder of our Class A common stock. We believe the number of beneficial holders of the Company’s Class B common stock is in excess of this amount.</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Dividends</w:t>
      </w:r>
    </w:p>
    <w:p>
      <w:pPr>
        <w:spacing w:after="0" w:line="205" w:lineRule="exact"/>
        <w:rPr>
          <w:sz w:val="20"/>
          <w:szCs w:val="20"/>
          <w:color w:val="auto"/>
        </w:rPr>
      </w:pPr>
    </w:p>
    <w:p>
      <w:pPr>
        <w:ind w:left="20" w:right="640" w:firstLine="490"/>
        <w:spacing w:after="0" w:line="281" w:lineRule="auto"/>
        <w:rPr>
          <w:sz w:val="20"/>
          <w:szCs w:val="20"/>
          <w:color w:val="auto"/>
        </w:rPr>
      </w:pPr>
      <w:r>
        <w:rPr>
          <w:rFonts w:ascii="Times New Roman" w:cs="Times New Roman" w:eastAsia="Times New Roman" w:hAnsi="Times New Roman"/>
          <w:sz w:val="20"/>
          <w:szCs w:val="20"/>
          <w:color w:val="1E1E1E"/>
        </w:rPr>
        <w:t>Our Class B common stock began trading on November 19, 2015. Since that time, we have not declared any cash dividends, and we do not anticipate declaring any cash dividends in the foreseeable future.</w:t>
      </w:r>
    </w:p>
    <w:p>
      <w:pPr>
        <w:sectPr>
          <w:pgSz w:w="11880" w:h="15480" w:orient="portrait"/>
          <w:cols w:equalWidth="0" w:num="1">
            <w:col w:w="10220"/>
          </w:cols>
          <w:pgMar w:left="800" w:top="867" w:right="860" w:bottom="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1E1E1E"/>
        </w:rPr>
        <w:t>27</w:t>
      </w:r>
    </w:p>
    <w:p>
      <w:pPr>
        <w:sectPr>
          <w:pgSz w:w="11880" w:h="15480" w:orient="portrait"/>
          <w:cols w:equalWidth="0" w:num="1">
            <w:col w:w="10220"/>
          </w:cols>
          <w:pgMar w:left="800" w:top="867" w:right="86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color w:val="1E1E1E"/>
        </w:rPr>
        <w:t>Securities Authorized for Issuance Under Equity Compensation Plans</w:t>
      </w:r>
    </w:p>
    <w:p>
      <w:pPr>
        <w:spacing w:after="0" w:line="200" w:lineRule="exact"/>
        <w:rPr>
          <w:sz w:val="20"/>
          <w:szCs w:val="20"/>
          <w:color w:val="auto"/>
        </w:rPr>
      </w:pPr>
    </w:p>
    <w:p>
      <w:pPr>
        <w:ind w:firstLine="490"/>
        <w:spacing w:after="0" w:line="281" w:lineRule="auto"/>
        <w:rPr>
          <w:sz w:val="20"/>
          <w:szCs w:val="20"/>
          <w:color w:val="auto"/>
        </w:rPr>
      </w:pPr>
      <w:r>
        <w:rPr>
          <w:rFonts w:ascii="Times New Roman" w:cs="Times New Roman" w:eastAsia="Times New Roman" w:hAnsi="Times New Roman"/>
          <w:sz w:val="20"/>
          <w:szCs w:val="20"/>
          <w:color w:val="1E1E1E"/>
        </w:rPr>
        <w:t>Information regarding our equity compensation plans is set forth in Part III, Item 12. Security Ownership of Beneficial Owners and Management and Related Shareholder Matters.</w:t>
      </w:r>
    </w:p>
    <w:p>
      <w:pPr>
        <w:spacing w:after="0" w:line="37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1E1E1E"/>
        </w:rPr>
        <w:t>ITEM 6.</w:t>
      </w:r>
      <w:r>
        <w:rPr>
          <w:sz w:val="20"/>
          <w:szCs w:val="20"/>
          <w:color w:val="auto"/>
        </w:rPr>
        <w:tab/>
      </w:r>
      <w:r>
        <w:rPr>
          <w:rFonts w:ascii="Times New Roman" w:cs="Times New Roman" w:eastAsia="Times New Roman" w:hAnsi="Times New Roman"/>
          <w:sz w:val="20"/>
          <w:szCs w:val="20"/>
          <w:color w:val="1E1E1E"/>
        </w:rPr>
        <w:t>[RESERVED]</w:t>
      </w:r>
    </w:p>
    <w:p>
      <w:pPr>
        <w:sectPr>
          <w:pgSz w:w="11880" w:h="15480" w:orient="portrait"/>
          <w:cols w:equalWidth="0" w:num="1">
            <w:col w:w="9980"/>
          </w:cols>
          <w:pgMar w:left="820" w:top="87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1E1E1E"/>
        </w:rPr>
        <w:t>28</w:t>
      </w:r>
    </w:p>
    <w:p>
      <w:pPr>
        <w:sectPr>
          <w:pgSz w:w="11880" w:h="15480" w:orient="portrait"/>
          <w:cols w:equalWidth="0" w:num="1">
            <w:col w:w="9980"/>
          </w:cols>
          <w:pgMar w:left="820" w:top="874" w:right="1080" w:bottom="0" w:gutter="0" w:footer="0" w:header="0"/>
          <w:type w:val="continuous"/>
        </w:sectPr>
      </w:pPr>
    </w:p>
    <w:bookmarkStart w:id="34" w:name="page35"/>
    <w:bookmarkEnd w:id="34"/>
    <w:p>
      <w:pPr>
        <w:ind w:left="1180" w:right="380" w:hanging="1189"/>
        <w:spacing w:after="0" w:line="281" w:lineRule="auto"/>
        <w:tabs>
          <w:tab w:leader="none" w:pos="1160" w:val="left"/>
        </w:tabs>
        <w:rPr>
          <w:sz w:val="20"/>
          <w:szCs w:val="20"/>
          <w:color w:val="auto"/>
        </w:rPr>
      </w:pPr>
      <w:r>
        <w:rPr>
          <w:rFonts w:ascii="Times New Roman" w:cs="Times New Roman" w:eastAsia="Times New Roman" w:hAnsi="Times New Roman"/>
          <w:sz w:val="20"/>
          <w:szCs w:val="20"/>
          <w:color w:val="1E1E1E"/>
        </w:rPr>
        <w:t>ITEM 7.</w:t>
      </w:r>
      <w:r>
        <w:rPr>
          <w:sz w:val="20"/>
          <w:szCs w:val="20"/>
          <w:color w:val="auto"/>
        </w:rPr>
        <w:tab/>
      </w:r>
      <w:r>
        <w:rPr>
          <w:rFonts w:ascii="Times New Roman" w:cs="Times New Roman" w:eastAsia="Times New Roman" w:hAnsi="Times New Roman"/>
          <w:sz w:val="20"/>
          <w:szCs w:val="20"/>
          <w:color w:val="1E1E1E"/>
        </w:rPr>
        <w:t>MANAGEMENT’S DISCUSSION AND ANALYSIS OF FINANCIAL CONDITION AND RESULTS OF OPERATIONS</w:t>
      </w:r>
    </w:p>
    <w:p>
      <w:pPr>
        <w:spacing w:after="0" w:line="194"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i w:val="1"/>
          <w:iCs w:val="1"/>
          <w:color w:val="1E1E1E"/>
        </w:rPr>
        <w:t>The following discussion and analysis of the financial condition and results of operations should be read in conjunction with the consolidated financial statements and the accompanying notes and information contained in other sections included elsewhere in this annual report, particularly, “Risk Factors,”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166" w:lineRule="exact"/>
        <w:rPr>
          <w:sz w:val="20"/>
          <w:szCs w:val="20"/>
          <w:color w:val="auto"/>
        </w:rPr>
      </w:pPr>
    </w:p>
    <w:p>
      <w:pPr>
        <w:ind w:right="40" w:firstLine="490"/>
        <w:spacing w:after="0" w:line="259" w:lineRule="auto"/>
        <w:rPr>
          <w:sz w:val="20"/>
          <w:szCs w:val="20"/>
          <w:color w:val="auto"/>
        </w:rPr>
      </w:pPr>
      <w:r>
        <w:rPr>
          <w:rFonts w:ascii="Times New Roman" w:cs="Times New Roman" w:eastAsia="Times New Roman" w:hAnsi="Times New Roman"/>
          <w:sz w:val="20"/>
          <w:szCs w:val="20"/>
          <w:i w:val="1"/>
          <w:iCs w:val="1"/>
          <w:color w:val="1E1E1E"/>
        </w:rPr>
        <w:t>Management’s discussion focuses on fiscal 2024 results compared to fiscal 2023. Fiscal year 2024 was a 53-week period and 2023 was a 52-week period. For a discussion of fiscal 2023 results compared to fiscal 2022, refer to the Company’s Annual Report on Form 10-K for the year ended January 28,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Overview</w:t>
      </w:r>
    </w:p>
    <w:p>
      <w:pPr>
        <w:spacing w:after="0" w:line="205"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1E1E1E"/>
        </w:rPr>
        <w:t>We are a lifestyle brand of men’s and women’s workwear, casual wear, outdoor apparel and accessories sold primarily through our own omnichannel platform. We offer products nationwide through our website and catalog. In 2010, we initiated our omnichannel platform with the opening of our first store. Since then, we have expanded our retail presence, and as of February 2, 2025, we operated 62 retail stores and three outlet stores.</w:t>
      </w:r>
    </w:p>
    <w:p>
      <w:pPr>
        <w:spacing w:after="0" w:line="152" w:lineRule="exact"/>
        <w:rPr>
          <w:sz w:val="20"/>
          <w:szCs w:val="20"/>
          <w:color w:val="auto"/>
        </w:rPr>
      </w:pPr>
    </w:p>
    <w:p>
      <w:pPr>
        <w:ind w:right="20" w:firstLine="490"/>
        <w:spacing w:after="0" w:line="222" w:lineRule="auto"/>
        <w:rPr>
          <w:sz w:val="20"/>
          <w:szCs w:val="20"/>
          <w:color w:val="auto"/>
        </w:rPr>
      </w:pPr>
      <w:r>
        <w:rPr>
          <w:rFonts w:ascii="Times New Roman" w:cs="Times New Roman" w:eastAsia="Times New Roman" w:hAnsi="Times New Roman"/>
          <w:sz w:val="20"/>
          <w:szCs w:val="20"/>
          <w:color w:val="1E1E1E"/>
        </w:rPr>
        <w:t>We offer a comprehensive line of innovative, durable and functional products, such as our Longtail T</w:t>
      </w:r>
      <w:r>
        <w:rPr>
          <w:rFonts w:ascii="Times New Roman" w:cs="Times New Roman" w:eastAsia="Times New Roman" w:hAnsi="Times New Roman"/>
          <w:sz w:val="25"/>
          <w:szCs w:val="25"/>
          <w:color w:val="1E1E1E"/>
          <w:vertAlign w:val="superscript"/>
        </w:rPr>
        <w:t>®</w:t>
      </w:r>
      <w:r>
        <w:rPr>
          <w:rFonts w:ascii="Times New Roman" w:cs="Times New Roman" w:eastAsia="Times New Roman" w:hAnsi="Times New Roman"/>
          <w:sz w:val="20"/>
          <w:szCs w:val="20"/>
          <w:color w:val="1E1E1E"/>
        </w:rPr>
        <w:t xml:space="preserve"> shirts, Buck Naked</w:t>
      </w:r>
      <w:r>
        <w:rPr>
          <w:rFonts w:ascii="Times New Roman" w:cs="Times New Roman" w:eastAsia="Times New Roman" w:hAnsi="Times New Roman"/>
          <w:sz w:val="25"/>
          <w:szCs w:val="25"/>
          <w:color w:val="1E1E1E"/>
          <w:vertAlign w:val="superscript"/>
        </w:rPr>
        <w:t>®</w:t>
      </w:r>
      <w:r>
        <w:rPr>
          <w:rFonts w:ascii="Times New Roman" w:cs="Times New Roman" w:eastAsia="Times New Roman" w:hAnsi="Times New Roman"/>
          <w:sz w:val="20"/>
          <w:szCs w:val="20"/>
          <w:color w:val="1E1E1E"/>
        </w:rPr>
        <w:t xml:space="preserve"> underwear, Fire Hose</w:t>
      </w:r>
      <w:r>
        <w:rPr>
          <w:rFonts w:ascii="Times New Roman" w:cs="Times New Roman" w:eastAsia="Times New Roman" w:hAnsi="Times New Roman"/>
          <w:sz w:val="25"/>
          <w:szCs w:val="25"/>
          <w:color w:val="1E1E1E"/>
          <w:vertAlign w:val="superscript"/>
        </w:rPr>
        <w:t>®</w:t>
      </w:r>
      <w:r>
        <w:rPr>
          <w:rFonts w:ascii="Times New Roman" w:cs="Times New Roman" w:eastAsia="Times New Roman" w:hAnsi="Times New Roman"/>
          <w:sz w:val="20"/>
          <w:szCs w:val="20"/>
          <w:color w:val="1E1E1E"/>
        </w:rPr>
        <w:t xml:space="preserve"> work pants and No-Yank</w:t>
      </w:r>
      <w:r>
        <w:rPr>
          <w:rFonts w:ascii="Times New Roman" w:cs="Times New Roman" w:eastAsia="Times New Roman" w:hAnsi="Times New Roman"/>
          <w:sz w:val="25"/>
          <w:szCs w:val="25"/>
          <w:color w:val="1E1E1E"/>
          <w:vertAlign w:val="superscript"/>
        </w:rPr>
        <w:t>®</w:t>
      </w:r>
      <w:r>
        <w:rPr>
          <w:rFonts w:ascii="Times New Roman" w:cs="Times New Roman" w:eastAsia="Times New Roman" w:hAnsi="Times New Roman"/>
          <w:sz w:val="20"/>
          <w:szCs w:val="20"/>
          <w:color w:val="1E1E1E"/>
        </w:rPr>
        <w:t xml:space="preserve"> Tank, which reflect our position as the Modern, Self-Reliant American Lifestyle brand. Our brand has a heritage in workwear that transcends tradesmen and appeals to a broad demographic for everyday and on-the-job use.</w:t>
      </w:r>
    </w:p>
    <w:p>
      <w:pPr>
        <w:spacing w:after="0" w:line="161" w:lineRule="exact"/>
        <w:rPr>
          <w:sz w:val="20"/>
          <w:szCs w:val="20"/>
          <w:color w:val="auto"/>
        </w:rPr>
      </w:pPr>
    </w:p>
    <w:p>
      <w:pPr>
        <w:ind w:right="120" w:firstLine="490"/>
        <w:spacing w:after="0" w:line="254" w:lineRule="auto"/>
        <w:rPr>
          <w:sz w:val="20"/>
          <w:szCs w:val="20"/>
          <w:color w:val="auto"/>
        </w:rPr>
      </w:pPr>
      <w:r>
        <w:rPr>
          <w:rFonts w:ascii="Times New Roman" w:cs="Times New Roman" w:eastAsia="Times New Roman" w:hAnsi="Times New Roman"/>
          <w:sz w:val="20"/>
          <w:szCs w:val="20"/>
          <w:color w:val="1E1E1E"/>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sales growth. We have done so by sticking to our roots of “there’s gotta be a better way” and through our relentless focus on providing our customers with quality, functional products.</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E1E1E"/>
        </w:rPr>
        <w:t>A summary of our financial results is as follows:</w:t>
      </w:r>
    </w:p>
    <w:p>
      <w:pPr>
        <w:spacing w:after="0" w:line="96" w:lineRule="exact"/>
        <w:rPr>
          <w:sz w:val="20"/>
          <w:szCs w:val="20"/>
          <w:color w:val="auto"/>
        </w:rPr>
      </w:pPr>
    </w:p>
    <w:p>
      <w:pPr>
        <w:ind w:left="980" w:hanging="496"/>
        <w:spacing w:after="0"/>
        <w:tabs>
          <w:tab w:leader="none" w:pos="980" w:val="left"/>
        </w:tabs>
        <w:numPr>
          <w:ilvl w:val="0"/>
          <w:numId w:val="20"/>
        </w:numPr>
        <w:rPr>
          <w:rFonts w:ascii="Arial" w:cs="Arial" w:eastAsia="Arial" w:hAnsi="Arial"/>
          <w:sz w:val="16"/>
          <w:szCs w:val="16"/>
          <w:color w:val="1E1E1E"/>
        </w:rPr>
      </w:pPr>
      <w:r>
        <w:rPr>
          <w:rFonts w:ascii="Times New Roman" w:cs="Times New Roman" w:eastAsia="Times New Roman" w:hAnsi="Times New Roman"/>
          <w:sz w:val="20"/>
          <w:szCs w:val="20"/>
          <w:color w:val="1E1E1E"/>
        </w:rPr>
        <w:t>Net sales in fiscal 2024 decreased by 3.1% compared to the prior year to $626.6 million;</w:t>
      </w:r>
    </w:p>
    <w:p>
      <w:pPr>
        <w:spacing w:after="0" w:line="101" w:lineRule="exact"/>
        <w:rPr>
          <w:rFonts w:ascii="Arial" w:cs="Arial" w:eastAsia="Arial" w:hAnsi="Arial"/>
          <w:sz w:val="16"/>
          <w:szCs w:val="16"/>
          <w:color w:val="1E1E1E"/>
        </w:rPr>
      </w:pPr>
    </w:p>
    <w:p>
      <w:pPr>
        <w:ind w:left="980" w:hanging="496"/>
        <w:spacing w:after="0"/>
        <w:tabs>
          <w:tab w:leader="none" w:pos="980" w:val="left"/>
        </w:tabs>
        <w:numPr>
          <w:ilvl w:val="0"/>
          <w:numId w:val="20"/>
        </w:numPr>
        <w:rPr>
          <w:rFonts w:ascii="Arial" w:cs="Arial" w:eastAsia="Arial" w:hAnsi="Arial"/>
          <w:sz w:val="16"/>
          <w:szCs w:val="16"/>
          <w:color w:val="1E1E1E"/>
        </w:rPr>
      </w:pPr>
      <w:r>
        <w:rPr>
          <w:rFonts w:ascii="Times New Roman" w:cs="Times New Roman" w:eastAsia="Times New Roman" w:hAnsi="Times New Roman"/>
          <w:sz w:val="20"/>
          <w:szCs w:val="20"/>
          <w:color w:val="1E1E1E"/>
        </w:rPr>
        <w:t>Net loss in fiscal 2024 was ($43.6) million compared to prior year net loss of ($9.9) million; and</w:t>
      </w:r>
    </w:p>
    <w:p>
      <w:pPr>
        <w:spacing w:after="0" w:line="101" w:lineRule="exact"/>
        <w:rPr>
          <w:rFonts w:ascii="Arial" w:cs="Arial" w:eastAsia="Arial" w:hAnsi="Arial"/>
          <w:sz w:val="16"/>
          <w:szCs w:val="16"/>
          <w:color w:val="1E1E1E"/>
        </w:rPr>
      </w:pPr>
    </w:p>
    <w:p>
      <w:pPr>
        <w:ind w:left="980" w:hanging="496"/>
        <w:spacing w:after="0"/>
        <w:tabs>
          <w:tab w:leader="none" w:pos="980" w:val="left"/>
        </w:tabs>
        <w:numPr>
          <w:ilvl w:val="0"/>
          <w:numId w:val="20"/>
        </w:numPr>
        <w:rPr>
          <w:rFonts w:ascii="Arial" w:cs="Arial" w:eastAsia="Arial" w:hAnsi="Arial"/>
          <w:sz w:val="16"/>
          <w:szCs w:val="16"/>
          <w:color w:val="1E1E1E"/>
        </w:rPr>
      </w:pPr>
      <w:r>
        <w:rPr>
          <w:rFonts w:ascii="Times New Roman" w:cs="Times New Roman" w:eastAsia="Times New Roman" w:hAnsi="Times New Roman"/>
          <w:sz w:val="20"/>
          <w:szCs w:val="20"/>
          <w:color w:val="1E1E1E"/>
        </w:rPr>
        <w:t>Adjusted EBITDA in fiscal 2024 decreased $18.0 million compared to the prior year to $14.6 million.</w:t>
      </w:r>
    </w:p>
    <w:p>
      <w:pPr>
        <w:spacing w:after="0" w:line="197" w:lineRule="exact"/>
        <w:rPr>
          <w:sz w:val="20"/>
          <w:szCs w:val="20"/>
          <w:color w:val="auto"/>
        </w:rPr>
      </w:pPr>
    </w:p>
    <w:p>
      <w:pPr>
        <w:ind w:right="40" w:firstLine="490"/>
        <w:spacing w:after="0" w:line="254" w:lineRule="auto"/>
        <w:rPr>
          <w:sz w:val="20"/>
          <w:szCs w:val="20"/>
          <w:color w:val="auto"/>
        </w:rPr>
      </w:pPr>
      <w:r>
        <w:rPr>
          <w:rFonts w:ascii="Times New Roman" w:cs="Times New Roman" w:eastAsia="Times New Roman" w:hAnsi="Times New Roman"/>
          <w:sz w:val="20"/>
          <w:szCs w:val="20"/>
          <w:color w:val="1E1E1E"/>
        </w:rPr>
        <w:t>See “Reconciliation of Net (Loss) Income to EBITDA and EBITDA to Adjusted EBITDA” section for a reconciliation of our net loss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79"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1E1E1E"/>
        </w:rPr>
        <w:t>Our management’s discussion and analysis includes market sales metrics for our stores, website and catalog sales. Market areas are determined by a third-party that divides the United States and Puerto Rico into 280 unique geographical areas. Our store market sales metrics include sales from our stores, website and catalog. Our non-store market sales metrics include sales from our website, catalog and orders placed through the call center.</w:t>
      </w:r>
    </w:p>
    <w:p>
      <w:pPr>
        <w:sectPr>
          <w:pgSz w:w="11880" w:h="15480" w:orient="portrait"/>
          <w:cols w:equalWidth="0" w:num="1">
            <w:col w:w="10240"/>
          </w:cols>
          <w:pgMar w:left="820" w:top="1127"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29</w:t>
      </w:r>
    </w:p>
    <w:p>
      <w:pPr>
        <w:sectPr>
          <w:pgSz w:w="11880" w:h="15480" w:orient="portrait"/>
          <w:cols w:equalWidth="0" w:num="1">
            <w:col w:w="10240"/>
          </w:cols>
          <w:pgMar w:left="820" w:top="1127" w:right="82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1E1E1E"/>
        </w:rPr>
        <w:t>How We Assess the Performance of Our Business</w:t>
      </w:r>
    </w:p>
    <w:p>
      <w:pPr>
        <w:spacing w:after="0" w:line="200" w:lineRule="exact"/>
        <w:rPr>
          <w:sz w:val="20"/>
          <w:szCs w:val="20"/>
          <w:color w:val="auto"/>
        </w:rPr>
      </w:pPr>
    </w:p>
    <w:p>
      <w:pPr>
        <w:ind w:right="300" w:firstLine="490"/>
        <w:spacing w:after="0" w:line="281" w:lineRule="auto"/>
        <w:rPr>
          <w:sz w:val="20"/>
          <w:szCs w:val="20"/>
          <w:color w:val="auto"/>
        </w:rPr>
      </w:pPr>
      <w:r>
        <w:rPr>
          <w:rFonts w:ascii="Times New Roman" w:cs="Times New Roman" w:eastAsia="Times New Roman" w:hAnsi="Times New Roman"/>
          <w:sz w:val="20"/>
          <w:szCs w:val="20"/>
          <w:color w:val="1E1E1E"/>
        </w:rPr>
        <w:t>In assessing the performance of our business, we consider a variety of financial and operating measures that affect our operating results.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Net Sales</w:t>
      </w:r>
    </w:p>
    <w:p>
      <w:pPr>
        <w:spacing w:after="0" w:line="200"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1E1E1E"/>
        </w:rPr>
        <w:t>Net sales reflect our sale of merchandise plus shipping and handling revenue collected from our customers, less returns and discounts. Direct-to-consumer sales are recognized upon shipment to a customer, while store sales are recognized at the point of sale.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Gross Profit</w:t>
      </w:r>
    </w:p>
    <w:p>
      <w:pPr>
        <w:spacing w:after="0" w:line="20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fulfillment centers to our retail stores. The primary drivers of the costs of individual goods are raw material costs. Depreciation and amortization are excluded from gross profit. Shipping and handling revenue is also reflected in our gross profit and gross profit margin. Our gross profit may not be comparable to other retailers, as we do not include distribution network and store occupancy expenses in calculating gross profit, but instead we include them in selling, general and administrative expenses.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Selling, General and Administrative Expenses</w:t>
      </w:r>
    </w:p>
    <w:p>
      <w:pPr>
        <w:spacing w:after="0" w:line="196"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1E1E1E"/>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television, digital and social media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53" w:lineRule="exact"/>
        <w:rPr>
          <w:sz w:val="20"/>
          <w:szCs w:val="20"/>
          <w:color w:val="auto"/>
        </w:rPr>
      </w:pPr>
    </w:p>
    <w:p>
      <w:pPr>
        <w:jc w:val="both"/>
        <w:ind w:right="340" w:firstLine="490"/>
        <w:spacing w:after="0" w:line="281" w:lineRule="auto"/>
        <w:rPr>
          <w:sz w:val="20"/>
          <w:szCs w:val="20"/>
          <w:color w:val="auto"/>
        </w:rPr>
      </w:pPr>
      <w:r>
        <w:rPr>
          <w:rFonts w:ascii="Times New Roman" w:cs="Times New Roman" w:eastAsia="Times New Roman" w:hAnsi="Times New Roman"/>
          <w:sz w:val="19"/>
          <w:szCs w:val="19"/>
          <w:color w:val="1E1E1E"/>
        </w:rPr>
        <w:t>While we expect these expenses to increase as we continue to increase brand awareness and invest in infrastructure to support our business, we believe these expenses will decrease as a percentage of sales over time. Our shipping and handling expenses typically increase during the second half of the year due to additional surcharges during our peak selling season.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Adjusted EBITDA</w:t>
      </w:r>
    </w:p>
    <w:p>
      <w:pPr>
        <w:spacing w:after="0" w:line="196" w:lineRule="exact"/>
        <w:rPr>
          <w:sz w:val="20"/>
          <w:szCs w:val="20"/>
          <w:color w:val="auto"/>
        </w:rPr>
      </w:pPr>
    </w:p>
    <w:p>
      <w:pPr>
        <w:ind w:right="80" w:firstLine="490"/>
        <w:spacing w:after="0" w:line="250" w:lineRule="auto"/>
        <w:rPr>
          <w:sz w:val="20"/>
          <w:szCs w:val="20"/>
          <w:color w:val="auto"/>
        </w:rPr>
      </w:pPr>
      <w:r>
        <w:rPr>
          <w:rFonts w:ascii="Times New Roman" w:cs="Times New Roman" w:eastAsia="Times New Roman" w:hAnsi="Times New Roman"/>
          <w:sz w:val="20"/>
          <w:szCs w:val="20"/>
          <w:color w:val="1E1E1E"/>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51" w:lineRule="exact"/>
        <w:rPr>
          <w:sz w:val="20"/>
          <w:szCs w:val="20"/>
          <w:color w:val="auto"/>
        </w:rPr>
      </w:pPr>
    </w:p>
    <w:p>
      <w:pPr>
        <w:ind w:right="120" w:firstLine="490"/>
        <w:spacing w:after="0" w:line="250" w:lineRule="auto"/>
        <w:rPr>
          <w:sz w:val="20"/>
          <w:szCs w:val="20"/>
          <w:color w:val="auto"/>
        </w:rPr>
      </w:pPr>
      <w:r>
        <w:rPr>
          <w:rFonts w:ascii="Times New Roman" w:cs="Times New Roman" w:eastAsia="Times New Roman" w:hAnsi="Times New Roman"/>
          <w:sz w:val="20"/>
          <w:szCs w:val="20"/>
          <w:color w:val="1E1E1E"/>
        </w:rPr>
        <w:t>We define Adjusted EBITDA as consolidated net (loss) income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 This non-GAAP measure may not be comparable to similarly titled measures used by other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Free Cash Flow</w:t>
      </w:r>
    </w:p>
    <w:p>
      <w:pPr>
        <w:spacing w:after="0" w:line="196"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1E1E1E"/>
        </w:rPr>
        <w:t>We believe Free Cash Flow is a useful measure of performance as an indication of the Company’s ability to generate cash and provides additional perspective on our ability to efficiently use capital in executing our growth strategy. We use Free Cash Flow to facilitate a comparison of our operating performance on a consistent basis from period-to-period and our ability to generate cash.</w:t>
      </w:r>
    </w:p>
    <w:p>
      <w:pPr>
        <w:spacing w:after="0" w:line="145" w:lineRule="exact"/>
        <w:rPr>
          <w:sz w:val="20"/>
          <w:szCs w:val="20"/>
          <w:color w:val="auto"/>
        </w:rPr>
      </w:pPr>
    </w:p>
    <w:p>
      <w:pPr>
        <w:ind w:right="360" w:firstLine="490"/>
        <w:spacing w:after="0" w:line="281" w:lineRule="auto"/>
        <w:rPr>
          <w:sz w:val="20"/>
          <w:szCs w:val="20"/>
          <w:color w:val="auto"/>
        </w:rPr>
      </w:pPr>
      <w:r>
        <w:rPr>
          <w:rFonts w:ascii="Times New Roman" w:cs="Times New Roman" w:eastAsia="Times New Roman" w:hAnsi="Times New Roman"/>
          <w:sz w:val="20"/>
          <w:szCs w:val="20"/>
          <w:color w:val="1E1E1E"/>
        </w:rPr>
        <w:t>We define Free Cash Flow as net cash provided by operating activities less purchase of property and equipment. This non-GAAP measure may not be comparable to similarly titled measures used by other companies.</w:t>
      </w:r>
    </w:p>
    <w:p>
      <w:pPr>
        <w:sectPr>
          <w:pgSz w:w="11880" w:h="15480" w:orient="portrait"/>
          <w:cols w:equalWidth="0" w:num="1">
            <w:col w:w="10240"/>
          </w:cols>
          <w:pgMar w:left="820" w:top="87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30</w:t>
      </w:r>
    </w:p>
    <w:p>
      <w:pPr>
        <w:sectPr>
          <w:pgSz w:w="11880" w:h="15480" w:orient="portrait"/>
          <w:cols w:equalWidth="0" w:num="1">
            <w:col w:w="10240"/>
          </w:cols>
          <w:pgMar w:left="820" w:top="874" w:right="82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1E1E1E"/>
        </w:rPr>
        <w:t>Results of Operations</w:t>
      </w:r>
    </w:p>
    <w:p>
      <w:pPr>
        <w:spacing w:after="0" w:line="200" w:lineRule="exact"/>
        <w:rPr>
          <w:sz w:val="20"/>
          <w:szCs w:val="20"/>
          <w:color w:val="auto"/>
        </w:rPr>
      </w:pPr>
    </w:p>
    <w:p>
      <w:pPr>
        <w:ind w:right="180" w:firstLine="490"/>
        <w:spacing w:after="0" w:line="281" w:lineRule="auto"/>
        <w:rPr>
          <w:sz w:val="20"/>
          <w:szCs w:val="20"/>
          <w:color w:val="auto"/>
        </w:rPr>
      </w:pPr>
      <w:r>
        <w:rPr>
          <w:rFonts w:ascii="Times New Roman" w:cs="Times New Roman" w:eastAsia="Times New Roman" w:hAnsi="Times New Roman"/>
          <w:sz w:val="20"/>
          <w:szCs w:val="20"/>
          <w:color w:val="1E1E1E"/>
        </w:rPr>
        <w:t>The following table summarizes our consolidated results of operations for the periods indicated, both in dollars and as a percentage of net sales.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3780" w:type="dxa"/>
            <w:vAlign w:val="bottom"/>
            <w:tcBorders>
              <w:bottom w:val="single" w:sz="8" w:color="1E1E1E"/>
            </w:tcBorders>
            <w:gridSpan w:val="5"/>
          </w:tcPr>
          <w:p>
            <w:pPr>
              <w:jc w:val="right"/>
              <w:ind w:right="1259"/>
              <w:spacing w:after="0"/>
              <w:rPr>
                <w:sz w:val="20"/>
                <w:szCs w:val="20"/>
                <w:color w:val="auto"/>
              </w:rPr>
            </w:pPr>
            <w:r>
              <w:rPr>
                <w:rFonts w:ascii="Times New Roman" w:cs="Times New Roman" w:eastAsia="Times New Roman" w:hAnsi="Times New Roman"/>
                <w:sz w:val="16"/>
                <w:szCs w:val="16"/>
                <w:b w:val="1"/>
                <w:bCs w:val="1"/>
                <w:color w:val="1E1E1E"/>
              </w:rPr>
              <w:t>Fiscal Year Ended</w:t>
            </w:r>
          </w:p>
        </w:tc>
        <w:tc>
          <w:tcPr>
            <w:tcW w:w="0" w:type="dxa"/>
            <w:vAlign w:val="bottom"/>
          </w:tcPr>
          <w:p>
            <w:pPr>
              <w:spacing w:after="0"/>
              <w:rPr>
                <w:sz w:val="1"/>
                <w:szCs w:val="1"/>
                <w:color w:val="auto"/>
              </w:rPr>
            </w:pPr>
          </w:p>
        </w:tc>
      </w:tr>
      <w:tr>
        <w:trPr>
          <w:trHeight w:val="206"/>
        </w:trPr>
        <w:tc>
          <w:tcPr>
            <w:tcW w:w="6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1E1E1E"/>
              </w:rPr>
              <w:t>February 2, 2025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1E1E1E"/>
              </w:rPr>
              <w:t>January 28, 2024</w:t>
            </w:r>
          </w:p>
        </w:tc>
        <w:tc>
          <w:tcPr>
            <w:tcW w:w="0" w:type="dxa"/>
            <w:vAlign w:val="bottom"/>
          </w:tcPr>
          <w:p>
            <w:pPr>
              <w:spacing w:after="0"/>
              <w:rPr>
                <w:sz w:val="1"/>
                <w:szCs w:val="1"/>
                <w:color w:val="auto"/>
              </w:rPr>
            </w:pPr>
          </w:p>
        </w:tc>
      </w:tr>
      <w:tr>
        <w:trPr>
          <w:trHeight w:val="206"/>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1E1E1E"/>
              </w:rPr>
              <w:t>(in thousands)</w:t>
            </w:r>
          </w:p>
        </w:tc>
        <w:tc>
          <w:tcPr>
            <w:tcW w:w="200" w:type="dxa"/>
            <w:vAlign w:val="bottom"/>
            <w:tcBorders>
              <w:top w:val="single" w:sz="8" w:color="1E1E1E"/>
            </w:tcBorders>
          </w:tcPr>
          <w:p>
            <w:pPr>
              <w:spacing w:after="0"/>
              <w:rPr>
                <w:sz w:val="17"/>
                <w:szCs w:val="17"/>
                <w:color w:val="auto"/>
              </w:rPr>
            </w:pPr>
          </w:p>
        </w:tc>
        <w:tc>
          <w:tcPr>
            <w:tcW w:w="1580" w:type="dxa"/>
            <w:vAlign w:val="bottom"/>
            <w:tcBorders>
              <w:top w:val="single" w:sz="8" w:color="1E1E1E"/>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1E1E1E"/>
            </w:tcBorders>
          </w:tcPr>
          <w:p>
            <w:pPr>
              <w:spacing w:after="0"/>
              <w:rPr>
                <w:sz w:val="17"/>
                <w:szCs w:val="17"/>
                <w:color w:val="auto"/>
              </w:rPr>
            </w:pPr>
          </w:p>
        </w:tc>
        <w:tc>
          <w:tcPr>
            <w:tcW w:w="1580" w:type="dxa"/>
            <w:vAlign w:val="bottom"/>
            <w:tcBorders>
              <w:top w:val="single" w:sz="8" w:color="1E1E1E"/>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04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Net sales</w:t>
            </w:r>
          </w:p>
        </w:tc>
        <w:tc>
          <w:tcPr>
            <w:tcW w:w="220" w:type="dxa"/>
            <w:vAlign w:val="bottom"/>
            <w:tcBorders>
              <w:right w:val="single" w:sz="8" w:color="E2E2E2"/>
            </w:tcBorders>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15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626,629</w:t>
            </w:r>
          </w:p>
        </w:tc>
        <w:tc>
          <w:tcPr>
            <w:tcW w:w="200" w:type="dxa"/>
            <w:vAlign w:val="bottom"/>
            <w:shd w:val="clear" w:color="auto" w:fill="E2E2E2"/>
          </w:tcPr>
          <w:p>
            <w:pPr>
              <w:spacing w:after="0"/>
              <w:rPr>
                <w:sz w:val="19"/>
                <w:szCs w:val="19"/>
                <w:color w:val="auto"/>
              </w:rPr>
            </w:pPr>
          </w:p>
        </w:tc>
        <w:tc>
          <w:tcPr>
            <w:tcW w:w="220" w:type="dxa"/>
            <w:vAlign w:val="bottom"/>
            <w:shd w:val="clear" w:color="auto" w:fill="E2E2E2"/>
          </w:tcPr>
          <w:p>
            <w:pPr>
              <w:spacing w:after="0"/>
              <w:rPr>
                <w:sz w:val="19"/>
                <w:szCs w:val="19"/>
                <w:color w:val="auto"/>
              </w:rPr>
            </w:pPr>
          </w:p>
        </w:tc>
        <w:tc>
          <w:tcPr>
            <w:tcW w:w="15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646,681</w:t>
            </w:r>
          </w:p>
        </w:tc>
        <w:tc>
          <w:tcPr>
            <w:tcW w:w="200" w:type="dxa"/>
            <w:vAlign w:val="bottom"/>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40" w:type="dxa"/>
            <w:vAlign w:val="bottom"/>
            <w:tcBorders>
              <w:bottom w:val="single" w:sz="8" w:color="E2E2E2"/>
            </w:tcBorders>
          </w:tcPr>
          <w:p>
            <w:pPr>
              <w:spacing w:after="0" w:line="226" w:lineRule="exact"/>
              <w:rPr>
                <w:sz w:val="20"/>
                <w:szCs w:val="20"/>
                <w:color w:val="auto"/>
              </w:rPr>
            </w:pPr>
            <w:r>
              <w:rPr>
                <w:rFonts w:ascii="Times New Roman" w:cs="Times New Roman" w:eastAsia="Times New Roman" w:hAnsi="Times New Roman"/>
                <w:sz w:val="20"/>
                <w:szCs w:val="20"/>
                <w:color w:val="1E1E1E"/>
              </w:rPr>
              <w:t>Cost of goods sold (excluding depreciation and amortization)</w:t>
            </w:r>
          </w:p>
        </w:tc>
        <w:tc>
          <w:tcPr>
            <w:tcW w:w="220" w:type="dxa"/>
            <w:vAlign w:val="bottom"/>
            <w:tcBorders>
              <w:bottom w:val="single" w:sz="8" w:color="E2E2E2"/>
            </w:tcBorders>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158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318,119</w:t>
            </w:r>
          </w:p>
        </w:tc>
        <w:tc>
          <w:tcPr>
            <w:tcW w:w="20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158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321,710</w:t>
            </w:r>
          </w:p>
        </w:tc>
        <w:tc>
          <w:tcPr>
            <w:tcW w:w="200" w:type="dxa"/>
            <w:vAlign w:val="bottom"/>
            <w:tcBorders>
              <w:bottom w:val="single" w:sz="8" w:color="E2E2E2"/>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040" w:type="dxa"/>
            <w:vAlign w:val="bottom"/>
            <w:shd w:val="clear" w:color="auto" w:fill="E2E2E2"/>
          </w:tcPr>
          <w:p>
            <w:pPr>
              <w:spacing w:after="0" w:line="206" w:lineRule="exact"/>
              <w:rPr>
                <w:sz w:val="20"/>
                <w:szCs w:val="20"/>
                <w:color w:val="auto"/>
              </w:rPr>
            </w:pPr>
            <w:r>
              <w:rPr>
                <w:rFonts w:ascii="Times New Roman" w:cs="Times New Roman" w:eastAsia="Times New Roman" w:hAnsi="Times New Roman"/>
                <w:sz w:val="20"/>
                <w:szCs w:val="20"/>
                <w:color w:val="1E1E1E"/>
              </w:rPr>
              <w:t>Gross profit</w:t>
            </w:r>
          </w:p>
        </w:tc>
        <w:tc>
          <w:tcPr>
            <w:tcW w:w="220" w:type="dxa"/>
            <w:vAlign w:val="bottom"/>
            <w:tcBorders>
              <w:right w:val="single" w:sz="8" w:color="E2E2E2"/>
            </w:tcBorders>
            <w:shd w:val="clear" w:color="auto" w:fill="E2E2E2"/>
          </w:tcPr>
          <w:p>
            <w:pPr>
              <w:spacing w:after="0"/>
              <w:rPr>
                <w:sz w:val="17"/>
                <w:szCs w:val="17"/>
                <w:color w:val="auto"/>
              </w:rPr>
            </w:pPr>
          </w:p>
        </w:tc>
        <w:tc>
          <w:tcPr>
            <w:tcW w:w="200" w:type="dxa"/>
            <w:vAlign w:val="bottom"/>
            <w:shd w:val="clear" w:color="auto" w:fill="E2E2E2"/>
          </w:tcPr>
          <w:p>
            <w:pPr>
              <w:spacing w:after="0"/>
              <w:rPr>
                <w:sz w:val="17"/>
                <w:szCs w:val="17"/>
                <w:color w:val="auto"/>
              </w:rPr>
            </w:pPr>
          </w:p>
        </w:tc>
        <w:tc>
          <w:tcPr>
            <w:tcW w:w="158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308,510</w:t>
            </w:r>
          </w:p>
        </w:tc>
        <w:tc>
          <w:tcPr>
            <w:tcW w:w="200" w:type="dxa"/>
            <w:vAlign w:val="bottom"/>
            <w:shd w:val="clear" w:color="auto" w:fill="E2E2E2"/>
          </w:tcPr>
          <w:p>
            <w:pPr>
              <w:spacing w:after="0"/>
              <w:rPr>
                <w:sz w:val="17"/>
                <w:szCs w:val="17"/>
                <w:color w:val="auto"/>
              </w:rPr>
            </w:pPr>
          </w:p>
        </w:tc>
        <w:tc>
          <w:tcPr>
            <w:tcW w:w="220" w:type="dxa"/>
            <w:vAlign w:val="bottom"/>
            <w:shd w:val="clear" w:color="auto" w:fill="E2E2E2"/>
          </w:tcPr>
          <w:p>
            <w:pPr>
              <w:spacing w:after="0"/>
              <w:rPr>
                <w:sz w:val="17"/>
                <w:szCs w:val="17"/>
                <w:color w:val="auto"/>
              </w:rPr>
            </w:pPr>
          </w:p>
        </w:tc>
        <w:tc>
          <w:tcPr>
            <w:tcW w:w="158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324,971</w:t>
            </w:r>
          </w:p>
        </w:tc>
        <w:tc>
          <w:tcPr>
            <w:tcW w:w="200" w:type="dxa"/>
            <w:vAlign w:val="bottom"/>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260" w:type="dxa"/>
            <w:vAlign w:val="bottom"/>
            <w:gridSpan w:val="2"/>
          </w:tcPr>
          <w:p>
            <w:pPr>
              <w:spacing w:after="0" w:line="221" w:lineRule="exact"/>
              <w:rPr>
                <w:sz w:val="20"/>
                <w:szCs w:val="20"/>
                <w:color w:val="auto"/>
              </w:rPr>
            </w:pPr>
            <w:r>
              <w:rPr>
                <w:rFonts w:ascii="Times New Roman" w:cs="Times New Roman" w:eastAsia="Times New Roman" w:hAnsi="Times New Roman"/>
                <w:sz w:val="20"/>
                <w:szCs w:val="20"/>
                <w:color w:val="1E1E1E"/>
              </w:rPr>
              <w:t>Selling, general and administrative expenses</w:t>
            </w:r>
          </w:p>
        </w:tc>
        <w:tc>
          <w:tcPr>
            <w:tcW w:w="200" w:type="dxa"/>
            <w:vAlign w:val="bottom"/>
          </w:tcPr>
          <w:p>
            <w:pPr>
              <w:spacing w:after="0"/>
              <w:rPr>
                <w:sz w:val="19"/>
                <w:szCs w:val="19"/>
                <w:color w:val="auto"/>
              </w:rPr>
            </w:pPr>
          </w:p>
        </w:tc>
        <w:tc>
          <w:tcPr>
            <w:tcW w:w="15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1E1E1E"/>
              </w:rPr>
              <w:t>337,623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1E1E1E"/>
              </w:rPr>
              <w:t>334,540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60" w:type="dxa"/>
            <w:vAlign w:val="bottom"/>
            <w:tcBorders>
              <w:right w:val="single" w:sz="8" w:color="E2E2E2"/>
            </w:tcBorders>
            <w:gridSpan w:val="2"/>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Restructuring expense</w:t>
            </w:r>
          </w:p>
        </w:tc>
        <w:tc>
          <w:tcPr>
            <w:tcW w:w="200" w:type="dxa"/>
            <w:vAlign w:val="bottom"/>
            <w:shd w:val="clear" w:color="auto" w:fill="E2E2E2"/>
          </w:tcPr>
          <w:p>
            <w:pPr>
              <w:spacing w:after="0"/>
              <w:rPr>
                <w:sz w:val="19"/>
                <w:szCs w:val="19"/>
                <w:color w:val="auto"/>
              </w:rPr>
            </w:pPr>
          </w:p>
        </w:tc>
        <w:tc>
          <w:tcPr>
            <w:tcW w:w="15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7,748</w:t>
            </w:r>
          </w:p>
        </w:tc>
        <w:tc>
          <w:tcPr>
            <w:tcW w:w="200" w:type="dxa"/>
            <w:vAlign w:val="bottom"/>
            <w:shd w:val="clear" w:color="auto" w:fill="E2E2E2"/>
          </w:tcPr>
          <w:p>
            <w:pPr>
              <w:spacing w:after="0"/>
              <w:rPr>
                <w:sz w:val="19"/>
                <w:szCs w:val="19"/>
                <w:color w:val="auto"/>
              </w:rPr>
            </w:pPr>
          </w:p>
        </w:tc>
        <w:tc>
          <w:tcPr>
            <w:tcW w:w="220" w:type="dxa"/>
            <w:vAlign w:val="bottom"/>
            <w:shd w:val="clear" w:color="auto" w:fill="E2E2E2"/>
          </w:tcPr>
          <w:p>
            <w:pPr>
              <w:spacing w:after="0"/>
              <w:rPr>
                <w:sz w:val="19"/>
                <w:szCs w:val="19"/>
                <w:color w:val="auto"/>
              </w:rPr>
            </w:pPr>
          </w:p>
        </w:tc>
        <w:tc>
          <w:tcPr>
            <w:tcW w:w="1780" w:type="dxa"/>
            <w:vAlign w:val="bottom"/>
            <w:gridSpan w:val="2"/>
            <w:shd w:val="clear" w:color="auto" w:fill="E2E2E2"/>
          </w:tcPr>
          <w:p>
            <w:pPr>
              <w:jc w:val="right"/>
              <w:ind w:right="159"/>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06"/>
        </w:trPr>
        <w:tc>
          <w:tcPr>
            <w:tcW w:w="6260" w:type="dxa"/>
            <w:vAlign w:val="bottom"/>
            <w:gridSpan w:val="2"/>
          </w:tcPr>
          <w:p>
            <w:pPr>
              <w:spacing w:after="0" w:line="206" w:lineRule="exact"/>
              <w:rPr>
                <w:sz w:val="20"/>
                <w:szCs w:val="20"/>
                <w:color w:val="auto"/>
              </w:rPr>
            </w:pPr>
            <w:r>
              <w:rPr>
                <w:rFonts w:ascii="Times New Roman" w:cs="Times New Roman" w:eastAsia="Times New Roman" w:hAnsi="Times New Roman"/>
                <w:sz w:val="20"/>
                <w:szCs w:val="20"/>
                <w:color w:val="1E1E1E"/>
              </w:rPr>
              <w:t>Operating loss</w:t>
            </w:r>
          </w:p>
        </w:tc>
        <w:tc>
          <w:tcPr>
            <w:tcW w:w="200" w:type="dxa"/>
            <w:vAlign w:val="bottom"/>
            <w:tcBorders>
              <w:top w:val="single" w:sz="8" w:color="1E1E1E"/>
            </w:tcBorders>
          </w:tcPr>
          <w:p>
            <w:pPr>
              <w:spacing w:after="0"/>
              <w:rPr>
                <w:sz w:val="17"/>
                <w:szCs w:val="17"/>
                <w:color w:val="auto"/>
              </w:rPr>
            </w:pPr>
          </w:p>
        </w:tc>
        <w:tc>
          <w:tcPr>
            <w:tcW w:w="1580" w:type="dxa"/>
            <w:vAlign w:val="bottom"/>
            <w:tcBorders>
              <w:top w:val="single" w:sz="8" w:color="1E1E1E"/>
            </w:tcBorders>
          </w:tcPr>
          <w:p>
            <w:pPr>
              <w:jc w:val="right"/>
              <w:spacing w:after="0" w:line="206" w:lineRule="exact"/>
              <w:rPr>
                <w:sz w:val="20"/>
                <w:szCs w:val="20"/>
                <w:color w:val="auto"/>
              </w:rPr>
            </w:pPr>
            <w:r>
              <w:rPr>
                <w:rFonts w:ascii="Times New Roman" w:cs="Times New Roman" w:eastAsia="Times New Roman" w:hAnsi="Times New Roman"/>
                <w:sz w:val="20"/>
                <w:szCs w:val="20"/>
                <w:color w:val="1E1E1E"/>
              </w:rPr>
              <w:t>(36,861)</w:t>
            </w:r>
          </w:p>
        </w:tc>
        <w:tc>
          <w:tcPr>
            <w:tcW w:w="200" w:type="dxa"/>
            <w:vAlign w:val="bottom"/>
          </w:tcPr>
          <w:p>
            <w:pPr>
              <w:spacing w:after="0"/>
              <w:rPr>
                <w:sz w:val="17"/>
                <w:szCs w:val="17"/>
                <w:color w:val="auto"/>
              </w:rPr>
            </w:pPr>
          </w:p>
        </w:tc>
        <w:tc>
          <w:tcPr>
            <w:tcW w:w="220" w:type="dxa"/>
            <w:vAlign w:val="bottom"/>
            <w:tcBorders>
              <w:top w:val="single" w:sz="8" w:color="1E1E1E"/>
            </w:tcBorders>
          </w:tcPr>
          <w:p>
            <w:pPr>
              <w:spacing w:after="0"/>
              <w:rPr>
                <w:sz w:val="17"/>
                <w:szCs w:val="17"/>
                <w:color w:val="auto"/>
              </w:rPr>
            </w:pPr>
          </w:p>
        </w:tc>
        <w:tc>
          <w:tcPr>
            <w:tcW w:w="1580" w:type="dxa"/>
            <w:vAlign w:val="bottom"/>
            <w:tcBorders>
              <w:top w:val="single" w:sz="8" w:color="1E1E1E"/>
            </w:tcBorders>
          </w:tcPr>
          <w:p>
            <w:pPr>
              <w:jc w:val="right"/>
              <w:spacing w:after="0" w:line="206" w:lineRule="exact"/>
              <w:rPr>
                <w:sz w:val="20"/>
                <w:szCs w:val="20"/>
                <w:color w:val="auto"/>
              </w:rPr>
            </w:pPr>
            <w:r>
              <w:rPr>
                <w:rFonts w:ascii="Times New Roman" w:cs="Times New Roman" w:eastAsia="Times New Roman" w:hAnsi="Times New Roman"/>
                <w:sz w:val="20"/>
                <w:szCs w:val="20"/>
                <w:color w:val="1E1E1E"/>
              </w:rPr>
              <w:t>(9,569)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260" w:type="dxa"/>
            <w:vAlign w:val="bottom"/>
            <w:tcBorders>
              <w:right w:val="single" w:sz="8" w:color="E2E2E2"/>
            </w:tcBorders>
            <w:gridSpan w:val="2"/>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Interest expense</w:t>
            </w:r>
          </w:p>
        </w:tc>
        <w:tc>
          <w:tcPr>
            <w:tcW w:w="200" w:type="dxa"/>
            <w:vAlign w:val="bottom"/>
            <w:shd w:val="clear" w:color="auto" w:fill="E2E2E2"/>
          </w:tcPr>
          <w:p>
            <w:pPr>
              <w:spacing w:after="0"/>
              <w:rPr>
                <w:sz w:val="19"/>
                <w:szCs w:val="19"/>
                <w:color w:val="auto"/>
              </w:rPr>
            </w:pPr>
          </w:p>
        </w:tc>
        <w:tc>
          <w:tcPr>
            <w:tcW w:w="15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4,554</w:t>
            </w:r>
          </w:p>
        </w:tc>
        <w:tc>
          <w:tcPr>
            <w:tcW w:w="200" w:type="dxa"/>
            <w:vAlign w:val="bottom"/>
            <w:shd w:val="clear" w:color="auto" w:fill="E2E2E2"/>
          </w:tcPr>
          <w:p>
            <w:pPr>
              <w:spacing w:after="0"/>
              <w:rPr>
                <w:sz w:val="19"/>
                <w:szCs w:val="19"/>
                <w:color w:val="auto"/>
              </w:rPr>
            </w:pPr>
          </w:p>
        </w:tc>
        <w:tc>
          <w:tcPr>
            <w:tcW w:w="220" w:type="dxa"/>
            <w:vAlign w:val="bottom"/>
            <w:shd w:val="clear" w:color="auto" w:fill="E2E2E2"/>
          </w:tcPr>
          <w:p>
            <w:pPr>
              <w:spacing w:after="0"/>
              <w:rPr>
                <w:sz w:val="19"/>
                <w:szCs w:val="19"/>
                <w:color w:val="auto"/>
              </w:rPr>
            </w:pPr>
          </w:p>
        </w:tc>
        <w:tc>
          <w:tcPr>
            <w:tcW w:w="15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4,156</w:t>
            </w:r>
          </w:p>
        </w:tc>
        <w:tc>
          <w:tcPr>
            <w:tcW w:w="200" w:type="dxa"/>
            <w:vAlign w:val="bottom"/>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60" w:type="dxa"/>
            <w:vAlign w:val="bottom"/>
            <w:tcBorders>
              <w:bottom w:val="single" w:sz="8" w:color="E2E2E2"/>
            </w:tcBorders>
            <w:gridSpan w:val="2"/>
          </w:tcPr>
          <w:p>
            <w:pPr>
              <w:spacing w:after="0" w:line="226" w:lineRule="exact"/>
              <w:rPr>
                <w:sz w:val="20"/>
                <w:szCs w:val="20"/>
                <w:color w:val="auto"/>
              </w:rPr>
            </w:pPr>
            <w:r>
              <w:rPr>
                <w:rFonts w:ascii="Times New Roman" w:cs="Times New Roman" w:eastAsia="Times New Roman" w:hAnsi="Times New Roman"/>
                <w:sz w:val="20"/>
                <w:szCs w:val="20"/>
                <w:color w:val="1E1E1E"/>
              </w:rPr>
              <w:t>Other income, net</w:t>
            </w:r>
          </w:p>
        </w:tc>
        <w:tc>
          <w:tcPr>
            <w:tcW w:w="200" w:type="dxa"/>
            <w:vAlign w:val="bottom"/>
            <w:tcBorders>
              <w:bottom w:val="single" w:sz="8" w:color="1E1E1E"/>
            </w:tcBorders>
          </w:tcPr>
          <w:p>
            <w:pPr>
              <w:spacing w:after="0"/>
              <w:rPr>
                <w:sz w:val="19"/>
                <w:szCs w:val="19"/>
                <w:color w:val="auto"/>
              </w:rPr>
            </w:pPr>
          </w:p>
        </w:tc>
        <w:tc>
          <w:tcPr>
            <w:tcW w:w="158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173</w:t>
            </w:r>
          </w:p>
        </w:tc>
        <w:tc>
          <w:tcPr>
            <w:tcW w:w="20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158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923</w:t>
            </w:r>
          </w:p>
        </w:tc>
        <w:tc>
          <w:tcPr>
            <w:tcW w:w="200" w:type="dxa"/>
            <w:vAlign w:val="bottom"/>
            <w:tcBorders>
              <w:bottom w:val="single" w:sz="8" w:color="E2E2E2"/>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040" w:type="dxa"/>
            <w:vAlign w:val="bottom"/>
            <w:shd w:val="clear" w:color="auto" w:fill="E2E2E2"/>
          </w:tcPr>
          <w:p>
            <w:pPr>
              <w:spacing w:after="0" w:line="206" w:lineRule="exact"/>
              <w:rPr>
                <w:sz w:val="20"/>
                <w:szCs w:val="20"/>
                <w:color w:val="auto"/>
              </w:rPr>
            </w:pPr>
            <w:r>
              <w:rPr>
                <w:rFonts w:ascii="Times New Roman" w:cs="Times New Roman" w:eastAsia="Times New Roman" w:hAnsi="Times New Roman"/>
                <w:sz w:val="20"/>
                <w:szCs w:val="20"/>
                <w:color w:val="1E1E1E"/>
              </w:rPr>
              <w:t>Loss before income taxes</w:t>
            </w:r>
          </w:p>
        </w:tc>
        <w:tc>
          <w:tcPr>
            <w:tcW w:w="220" w:type="dxa"/>
            <w:vAlign w:val="bottom"/>
            <w:tcBorders>
              <w:right w:val="single" w:sz="8" w:color="E2E2E2"/>
            </w:tcBorders>
            <w:shd w:val="clear" w:color="auto" w:fill="E2E2E2"/>
          </w:tcPr>
          <w:p>
            <w:pPr>
              <w:spacing w:after="0"/>
              <w:rPr>
                <w:sz w:val="17"/>
                <w:szCs w:val="17"/>
                <w:color w:val="auto"/>
              </w:rPr>
            </w:pPr>
          </w:p>
        </w:tc>
        <w:tc>
          <w:tcPr>
            <w:tcW w:w="200" w:type="dxa"/>
            <w:vAlign w:val="bottom"/>
            <w:shd w:val="clear" w:color="auto" w:fill="E2E2E2"/>
          </w:tcPr>
          <w:p>
            <w:pPr>
              <w:spacing w:after="0"/>
              <w:rPr>
                <w:sz w:val="17"/>
                <w:szCs w:val="17"/>
                <w:color w:val="auto"/>
              </w:rPr>
            </w:pPr>
          </w:p>
        </w:tc>
        <w:tc>
          <w:tcPr>
            <w:tcW w:w="158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(41,242)</w:t>
            </w:r>
          </w:p>
        </w:tc>
        <w:tc>
          <w:tcPr>
            <w:tcW w:w="200" w:type="dxa"/>
            <w:vAlign w:val="bottom"/>
            <w:shd w:val="clear" w:color="auto" w:fill="E2E2E2"/>
          </w:tcPr>
          <w:p>
            <w:pPr>
              <w:spacing w:after="0"/>
              <w:rPr>
                <w:sz w:val="17"/>
                <w:szCs w:val="17"/>
                <w:color w:val="auto"/>
              </w:rPr>
            </w:pPr>
          </w:p>
        </w:tc>
        <w:tc>
          <w:tcPr>
            <w:tcW w:w="220" w:type="dxa"/>
            <w:vAlign w:val="bottom"/>
            <w:shd w:val="clear" w:color="auto" w:fill="E2E2E2"/>
          </w:tcPr>
          <w:p>
            <w:pPr>
              <w:spacing w:after="0"/>
              <w:rPr>
                <w:sz w:val="17"/>
                <w:szCs w:val="17"/>
                <w:color w:val="auto"/>
              </w:rPr>
            </w:pPr>
          </w:p>
        </w:tc>
        <w:tc>
          <w:tcPr>
            <w:tcW w:w="158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(12,802)</w:t>
            </w:r>
          </w:p>
        </w:tc>
        <w:tc>
          <w:tcPr>
            <w:tcW w:w="200" w:type="dxa"/>
            <w:vAlign w:val="bottom"/>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260" w:type="dxa"/>
            <w:vAlign w:val="bottom"/>
            <w:tcBorders>
              <w:bottom w:val="single" w:sz="8" w:color="E2E2E2"/>
            </w:tcBorders>
            <w:gridSpan w:val="2"/>
          </w:tcPr>
          <w:p>
            <w:pPr>
              <w:spacing w:after="0" w:line="226" w:lineRule="exact"/>
              <w:rPr>
                <w:sz w:val="20"/>
                <w:szCs w:val="20"/>
                <w:color w:val="auto"/>
              </w:rPr>
            </w:pPr>
            <w:r>
              <w:rPr>
                <w:rFonts w:ascii="Times New Roman" w:cs="Times New Roman" w:eastAsia="Times New Roman" w:hAnsi="Times New Roman"/>
                <w:sz w:val="20"/>
                <w:szCs w:val="20"/>
                <w:color w:val="1E1E1E"/>
              </w:rPr>
              <w:t>Income tax expense (benefit)</w:t>
            </w:r>
          </w:p>
        </w:tc>
        <w:tc>
          <w:tcPr>
            <w:tcW w:w="200" w:type="dxa"/>
            <w:vAlign w:val="bottom"/>
            <w:tcBorders>
              <w:bottom w:val="single" w:sz="8" w:color="1E1E1E"/>
            </w:tcBorders>
          </w:tcPr>
          <w:p>
            <w:pPr>
              <w:spacing w:after="0"/>
              <w:rPr>
                <w:sz w:val="19"/>
                <w:szCs w:val="19"/>
                <w:color w:val="auto"/>
              </w:rPr>
            </w:pPr>
          </w:p>
        </w:tc>
        <w:tc>
          <w:tcPr>
            <w:tcW w:w="158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2,370</w:t>
            </w:r>
          </w:p>
        </w:tc>
        <w:tc>
          <w:tcPr>
            <w:tcW w:w="20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158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(2,862)</w:t>
            </w:r>
          </w:p>
        </w:tc>
        <w:tc>
          <w:tcPr>
            <w:tcW w:w="200" w:type="dxa"/>
            <w:vAlign w:val="bottom"/>
            <w:tcBorders>
              <w:bottom w:val="single" w:sz="8" w:color="E2E2E2"/>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040" w:type="dxa"/>
            <w:vAlign w:val="bottom"/>
            <w:shd w:val="clear" w:color="auto" w:fill="E2E2E2"/>
          </w:tcPr>
          <w:p>
            <w:pPr>
              <w:spacing w:after="0" w:line="206" w:lineRule="exact"/>
              <w:rPr>
                <w:sz w:val="20"/>
                <w:szCs w:val="20"/>
                <w:color w:val="auto"/>
              </w:rPr>
            </w:pPr>
            <w:r>
              <w:rPr>
                <w:rFonts w:ascii="Times New Roman" w:cs="Times New Roman" w:eastAsia="Times New Roman" w:hAnsi="Times New Roman"/>
                <w:sz w:val="20"/>
                <w:szCs w:val="20"/>
                <w:color w:val="1E1E1E"/>
              </w:rPr>
              <w:t>Net loss</w:t>
            </w:r>
          </w:p>
        </w:tc>
        <w:tc>
          <w:tcPr>
            <w:tcW w:w="220" w:type="dxa"/>
            <w:vAlign w:val="bottom"/>
            <w:tcBorders>
              <w:right w:val="single" w:sz="8" w:color="E2E2E2"/>
            </w:tcBorders>
            <w:shd w:val="clear" w:color="auto" w:fill="E2E2E2"/>
          </w:tcPr>
          <w:p>
            <w:pPr>
              <w:spacing w:after="0"/>
              <w:rPr>
                <w:sz w:val="17"/>
                <w:szCs w:val="17"/>
                <w:color w:val="auto"/>
              </w:rPr>
            </w:pPr>
          </w:p>
        </w:tc>
        <w:tc>
          <w:tcPr>
            <w:tcW w:w="200" w:type="dxa"/>
            <w:vAlign w:val="bottom"/>
            <w:shd w:val="clear" w:color="auto" w:fill="E2E2E2"/>
          </w:tcPr>
          <w:p>
            <w:pPr>
              <w:spacing w:after="0"/>
              <w:rPr>
                <w:sz w:val="17"/>
                <w:szCs w:val="17"/>
                <w:color w:val="auto"/>
              </w:rPr>
            </w:pPr>
          </w:p>
        </w:tc>
        <w:tc>
          <w:tcPr>
            <w:tcW w:w="158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(43,612)</w:t>
            </w:r>
          </w:p>
        </w:tc>
        <w:tc>
          <w:tcPr>
            <w:tcW w:w="200" w:type="dxa"/>
            <w:vAlign w:val="bottom"/>
            <w:shd w:val="clear" w:color="auto" w:fill="E2E2E2"/>
          </w:tcPr>
          <w:p>
            <w:pPr>
              <w:spacing w:after="0"/>
              <w:rPr>
                <w:sz w:val="17"/>
                <w:szCs w:val="17"/>
                <w:color w:val="auto"/>
              </w:rPr>
            </w:pPr>
          </w:p>
        </w:tc>
        <w:tc>
          <w:tcPr>
            <w:tcW w:w="220" w:type="dxa"/>
            <w:vAlign w:val="bottom"/>
            <w:shd w:val="clear" w:color="auto" w:fill="E2E2E2"/>
          </w:tcPr>
          <w:p>
            <w:pPr>
              <w:spacing w:after="0"/>
              <w:rPr>
                <w:sz w:val="17"/>
                <w:szCs w:val="17"/>
                <w:color w:val="auto"/>
              </w:rPr>
            </w:pPr>
          </w:p>
        </w:tc>
        <w:tc>
          <w:tcPr>
            <w:tcW w:w="158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(9,940)</w:t>
            </w:r>
          </w:p>
        </w:tc>
        <w:tc>
          <w:tcPr>
            <w:tcW w:w="200" w:type="dxa"/>
            <w:vAlign w:val="bottom"/>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260" w:type="dxa"/>
            <w:vAlign w:val="bottom"/>
            <w:tcBorders>
              <w:bottom w:val="single" w:sz="8" w:color="E2E2E2"/>
            </w:tcBorders>
            <w:gridSpan w:val="2"/>
          </w:tcPr>
          <w:p>
            <w:pPr>
              <w:spacing w:after="0" w:line="221" w:lineRule="exact"/>
              <w:rPr>
                <w:sz w:val="20"/>
                <w:szCs w:val="20"/>
                <w:color w:val="auto"/>
              </w:rPr>
            </w:pPr>
            <w:r>
              <w:rPr>
                <w:rFonts w:ascii="Times New Roman" w:cs="Times New Roman" w:eastAsia="Times New Roman" w:hAnsi="Times New Roman"/>
                <w:sz w:val="20"/>
                <w:szCs w:val="20"/>
                <w:color w:val="1E1E1E"/>
              </w:rPr>
              <w:t>Less: Net income (loss) attributable to noncontrolling interest</w:t>
            </w:r>
          </w:p>
        </w:tc>
        <w:tc>
          <w:tcPr>
            <w:tcW w:w="200" w:type="dxa"/>
            <w:vAlign w:val="bottom"/>
            <w:tcBorders>
              <w:bottom w:val="single" w:sz="8" w:color="1E1E1E"/>
            </w:tcBorders>
          </w:tcPr>
          <w:p>
            <w:pPr>
              <w:spacing w:after="0"/>
              <w:rPr>
                <w:sz w:val="19"/>
                <w:szCs w:val="19"/>
                <w:color w:val="auto"/>
              </w:rPr>
            </w:pPr>
          </w:p>
        </w:tc>
        <w:tc>
          <w:tcPr>
            <w:tcW w:w="1580" w:type="dxa"/>
            <w:vAlign w:val="bottom"/>
            <w:tcBorders>
              <w:bottom w:val="single" w:sz="8" w:color="1E1E1E"/>
            </w:tcBorders>
          </w:tcPr>
          <w:p>
            <w:pPr>
              <w:jc w:val="right"/>
              <w:spacing w:after="0" w:line="221" w:lineRule="exact"/>
              <w:rPr>
                <w:sz w:val="20"/>
                <w:szCs w:val="20"/>
                <w:color w:val="auto"/>
              </w:rPr>
            </w:pPr>
            <w:r>
              <w:rPr>
                <w:rFonts w:ascii="Times New Roman" w:cs="Times New Roman" w:eastAsia="Times New Roman" w:hAnsi="Times New Roman"/>
                <w:sz w:val="20"/>
                <w:szCs w:val="20"/>
                <w:color w:val="1E1E1E"/>
              </w:rPr>
              <w:t>59</w:t>
            </w:r>
          </w:p>
        </w:tc>
        <w:tc>
          <w:tcPr>
            <w:tcW w:w="20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1580" w:type="dxa"/>
            <w:vAlign w:val="bottom"/>
            <w:tcBorders>
              <w:bottom w:val="single" w:sz="8" w:color="1E1E1E"/>
            </w:tcBorders>
          </w:tcPr>
          <w:p>
            <w:pPr>
              <w:jc w:val="right"/>
              <w:spacing w:after="0" w:line="221" w:lineRule="exact"/>
              <w:rPr>
                <w:sz w:val="20"/>
                <w:szCs w:val="20"/>
                <w:color w:val="auto"/>
              </w:rPr>
            </w:pPr>
            <w:r>
              <w:rPr>
                <w:rFonts w:ascii="Times New Roman" w:cs="Times New Roman" w:eastAsia="Times New Roman" w:hAnsi="Times New Roman"/>
                <w:sz w:val="20"/>
                <w:szCs w:val="20"/>
                <w:color w:val="1E1E1E"/>
              </w:rPr>
              <w:t>(17)</w:t>
            </w:r>
          </w:p>
        </w:tc>
        <w:tc>
          <w:tcPr>
            <w:tcW w:w="200" w:type="dxa"/>
            <w:vAlign w:val="bottom"/>
            <w:tcBorders>
              <w:bottom w:val="single" w:sz="8" w:color="E2E2E2"/>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40" w:type="dxa"/>
            <w:vAlign w:val="bottom"/>
            <w:shd w:val="clear" w:color="auto" w:fill="E2E2E2"/>
          </w:tcPr>
          <w:p>
            <w:pPr>
              <w:spacing w:after="0" w:line="206" w:lineRule="exact"/>
              <w:rPr>
                <w:sz w:val="20"/>
                <w:szCs w:val="20"/>
                <w:color w:val="auto"/>
              </w:rPr>
            </w:pPr>
            <w:r>
              <w:rPr>
                <w:rFonts w:ascii="Times New Roman" w:cs="Times New Roman" w:eastAsia="Times New Roman" w:hAnsi="Times New Roman"/>
                <w:sz w:val="20"/>
                <w:szCs w:val="20"/>
                <w:color w:val="1E1E1E"/>
              </w:rPr>
              <w:t>Net loss attributable to controlling interest</w:t>
            </w:r>
          </w:p>
        </w:tc>
        <w:tc>
          <w:tcPr>
            <w:tcW w:w="220" w:type="dxa"/>
            <w:vAlign w:val="bottom"/>
            <w:tcBorders>
              <w:right w:val="single" w:sz="8" w:color="E2E2E2"/>
            </w:tcBorders>
            <w:shd w:val="clear" w:color="auto" w:fill="E2E2E2"/>
          </w:tcPr>
          <w:p>
            <w:pPr>
              <w:spacing w:after="0"/>
              <w:rPr>
                <w:sz w:val="18"/>
                <w:szCs w:val="18"/>
                <w:color w:val="auto"/>
              </w:rPr>
            </w:pPr>
          </w:p>
        </w:tc>
        <w:tc>
          <w:tcPr>
            <w:tcW w:w="200" w:type="dxa"/>
            <w:vAlign w:val="bottom"/>
            <w:tcBorders>
              <w:bottom w:val="single" w:sz="8" w:color="1E1E1E"/>
            </w:tcBorders>
            <w:shd w:val="clear" w:color="auto" w:fill="E2E2E2"/>
          </w:tcPr>
          <w:p>
            <w:pPr>
              <w:jc w:val="right"/>
              <w:ind w:right="34"/>
              <w:spacing w:after="0"/>
              <w:rPr>
                <w:sz w:val="20"/>
                <w:szCs w:val="20"/>
                <w:color w:val="auto"/>
              </w:rPr>
            </w:pPr>
            <w:r>
              <w:rPr>
                <w:rFonts w:ascii="Times New Roman" w:cs="Times New Roman" w:eastAsia="Times New Roman" w:hAnsi="Times New Roman"/>
                <w:sz w:val="17"/>
                <w:szCs w:val="17"/>
                <w:color w:val="1E1E1E"/>
                <w:w w:val="70"/>
              </w:rPr>
              <w:t>$</w:t>
            </w:r>
          </w:p>
        </w:tc>
        <w:tc>
          <w:tcPr>
            <w:tcW w:w="158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(43,671)</w:t>
            </w:r>
          </w:p>
        </w:tc>
        <w:tc>
          <w:tcPr>
            <w:tcW w:w="200" w:type="dxa"/>
            <w:vAlign w:val="bottom"/>
            <w:shd w:val="clear" w:color="auto" w:fill="E2E2E2"/>
          </w:tcPr>
          <w:p>
            <w:pPr>
              <w:spacing w:after="0"/>
              <w:rPr>
                <w:sz w:val="18"/>
                <w:szCs w:val="18"/>
                <w:color w:val="auto"/>
              </w:rPr>
            </w:pPr>
          </w:p>
        </w:tc>
        <w:tc>
          <w:tcPr>
            <w:tcW w:w="22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w w:val="99"/>
              </w:rPr>
              <w:t>$</w:t>
            </w:r>
          </w:p>
        </w:tc>
        <w:tc>
          <w:tcPr>
            <w:tcW w:w="158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(9,923)</w:t>
            </w:r>
          </w:p>
        </w:tc>
        <w:tc>
          <w:tcPr>
            <w:tcW w:w="200" w:type="dxa"/>
            <w:vAlign w:val="bottom"/>
            <w:shd w:val="clear" w:color="auto" w:fill="E2E2E2"/>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26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b w:val="1"/>
                <w:bCs w:val="1"/>
                <w:color w:val="1E1E1E"/>
              </w:rPr>
              <w:t>Percentage of Net sales:</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60" w:type="dxa"/>
            <w:vAlign w:val="bottom"/>
            <w:tcBorders>
              <w:right w:val="single" w:sz="8" w:color="E2E2E2"/>
            </w:tcBorders>
            <w:gridSpan w:val="2"/>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Net sales</w:t>
            </w:r>
          </w:p>
        </w:tc>
        <w:tc>
          <w:tcPr>
            <w:tcW w:w="200" w:type="dxa"/>
            <w:vAlign w:val="bottom"/>
            <w:shd w:val="clear" w:color="auto" w:fill="E2E2E2"/>
          </w:tcPr>
          <w:p>
            <w:pPr>
              <w:spacing w:after="0"/>
              <w:rPr>
                <w:sz w:val="19"/>
                <w:szCs w:val="19"/>
                <w:color w:val="auto"/>
              </w:rPr>
            </w:pPr>
          </w:p>
        </w:tc>
        <w:tc>
          <w:tcPr>
            <w:tcW w:w="1780" w:type="dxa"/>
            <w:vAlign w:val="bottom"/>
            <w:gridSpan w:val="2"/>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100.0 %</w:t>
            </w:r>
          </w:p>
        </w:tc>
        <w:tc>
          <w:tcPr>
            <w:tcW w:w="220" w:type="dxa"/>
            <w:vAlign w:val="bottom"/>
            <w:shd w:val="clear" w:color="auto" w:fill="E2E2E2"/>
          </w:tcPr>
          <w:p>
            <w:pPr>
              <w:spacing w:after="0"/>
              <w:rPr>
                <w:sz w:val="19"/>
                <w:szCs w:val="19"/>
                <w:color w:val="auto"/>
              </w:rPr>
            </w:pPr>
          </w:p>
        </w:tc>
        <w:tc>
          <w:tcPr>
            <w:tcW w:w="1780" w:type="dxa"/>
            <w:vAlign w:val="bottom"/>
            <w:gridSpan w:val="2"/>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100.0 %</w:t>
            </w:r>
          </w:p>
        </w:tc>
        <w:tc>
          <w:tcPr>
            <w:tcW w:w="0" w:type="dxa"/>
            <w:vAlign w:val="bottom"/>
          </w:tcPr>
          <w:p>
            <w:pPr>
              <w:spacing w:after="0"/>
              <w:rPr>
                <w:sz w:val="1"/>
                <w:szCs w:val="1"/>
                <w:color w:val="auto"/>
              </w:rPr>
            </w:pPr>
          </w:p>
        </w:tc>
      </w:tr>
      <w:tr>
        <w:trPr>
          <w:trHeight w:val="226"/>
        </w:trPr>
        <w:tc>
          <w:tcPr>
            <w:tcW w:w="626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1E1E1E"/>
              </w:rPr>
              <w:t>Cost of goods sold (excluding depreciation and amortization)</w:t>
            </w:r>
          </w:p>
        </w:tc>
        <w:tc>
          <w:tcPr>
            <w:tcW w:w="200" w:type="dxa"/>
            <w:vAlign w:val="bottom"/>
          </w:tcPr>
          <w:p>
            <w:pPr>
              <w:spacing w:after="0"/>
              <w:rPr>
                <w:sz w:val="19"/>
                <w:szCs w:val="19"/>
                <w:color w:val="auto"/>
              </w:rPr>
            </w:pPr>
          </w:p>
        </w:tc>
        <w:tc>
          <w:tcPr>
            <w:tcW w:w="178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1E1E1E"/>
              </w:rPr>
              <w:t>50.8 %</w:t>
            </w:r>
          </w:p>
        </w:tc>
        <w:tc>
          <w:tcPr>
            <w:tcW w:w="220" w:type="dxa"/>
            <w:vAlign w:val="bottom"/>
          </w:tcPr>
          <w:p>
            <w:pPr>
              <w:spacing w:after="0"/>
              <w:rPr>
                <w:sz w:val="19"/>
                <w:szCs w:val="19"/>
                <w:color w:val="auto"/>
              </w:rPr>
            </w:pPr>
          </w:p>
        </w:tc>
        <w:tc>
          <w:tcPr>
            <w:tcW w:w="178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1E1E1E"/>
              </w:rPr>
              <w:t>49.7 %</w:t>
            </w:r>
          </w:p>
        </w:tc>
        <w:tc>
          <w:tcPr>
            <w:tcW w:w="0" w:type="dxa"/>
            <w:vAlign w:val="bottom"/>
          </w:tcPr>
          <w:p>
            <w:pPr>
              <w:spacing w:after="0"/>
              <w:rPr>
                <w:sz w:val="1"/>
                <w:szCs w:val="1"/>
                <w:color w:val="auto"/>
              </w:rPr>
            </w:pPr>
          </w:p>
        </w:tc>
      </w:tr>
      <w:tr>
        <w:trPr>
          <w:trHeight w:val="206"/>
        </w:trPr>
        <w:tc>
          <w:tcPr>
            <w:tcW w:w="6040" w:type="dxa"/>
            <w:vAlign w:val="bottom"/>
            <w:tcBorders>
              <w:top w:val="single" w:sz="8" w:color="E2E2E2"/>
            </w:tcBorders>
            <w:shd w:val="clear" w:color="auto" w:fill="E2E2E2"/>
          </w:tcPr>
          <w:p>
            <w:pPr>
              <w:spacing w:after="0" w:line="206" w:lineRule="exact"/>
              <w:rPr>
                <w:sz w:val="20"/>
                <w:szCs w:val="20"/>
                <w:color w:val="auto"/>
              </w:rPr>
            </w:pPr>
            <w:r>
              <w:rPr>
                <w:rFonts w:ascii="Times New Roman" w:cs="Times New Roman" w:eastAsia="Times New Roman" w:hAnsi="Times New Roman"/>
                <w:sz w:val="20"/>
                <w:szCs w:val="20"/>
                <w:color w:val="1E1E1E"/>
              </w:rPr>
              <w:t>Gross profit</w:t>
            </w:r>
          </w:p>
        </w:tc>
        <w:tc>
          <w:tcPr>
            <w:tcW w:w="220" w:type="dxa"/>
            <w:vAlign w:val="bottom"/>
            <w:tcBorders>
              <w:top w:val="single" w:sz="8" w:color="E2E2E2"/>
              <w:right w:val="single" w:sz="8" w:color="E2E2E2"/>
            </w:tcBorders>
            <w:shd w:val="clear" w:color="auto" w:fill="E2E2E2"/>
          </w:tcPr>
          <w:p>
            <w:pPr>
              <w:spacing w:after="0"/>
              <w:rPr>
                <w:sz w:val="17"/>
                <w:szCs w:val="17"/>
                <w:color w:val="auto"/>
              </w:rPr>
            </w:pPr>
          </w:p>
        </w:tc>
        <w:tc>
          <w:tcPr>
            <w:tcW w:w="200" w:type="dxa"/>
            <w:vAlign w:val="bottom"/>
            <w:tcBorders>
              <w:top w:val="single" w:sz="8" w:color="1E1E1E"/>
            </w:tcBorders>
            <w:shd w:val="clear" w:color="auto" w:fill="E2E2E2"/>
          </w:tcPr>
          <w:p>
            <w:pPr>
              <w:spacing w:after="0"/>
              <w:rPr>
                <w:sz w:val="17"/>
                <w:szCs w:val="17"/>
                <w:color w:val="auto"/>
              </w:rPr>
            </w:pPr>
          </w:p>
        </w:tc>
        <w:tc>
          <w:tcPr>
            <w:tcW w:w="1580" w:type="dxa"/>
            <w:vAlign w:val="bottom"/>
            <w:tcBorders>
              <w:top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49.2</w:t>
            </w:r>
          </w:p>
        </w:tc>
        <w:tc>
          <w:tcPr>
            <w:tcW w:w="200" w:type="dxa"/>
            <w:vAlign w:val="bottom"/>
            <w:tcBorders>
              <w:top w:val="single" w:sz="8" w:color="E2E2E2"/>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w w:val="83"/>
              </w:rPr>
              <w:t>%</w:t>
            </w:r>
          </w:p>
        </w:tc>
        <w:tc>
          <w:tcPr>
            <w:tcW w:w="220" w:type="dxa"/>
            <w:vAlign w:val="bottom"/>
            <w:tcBorders>
              <w:top w:val="single" w:sz="8" w:color="1E1E1E"/>
            </w:tcBorders>
            <w:shd w:val="clear" w:color="auto" w:fill="E2E2E2"/>
          </w:tcPr>
          <w:p>
            <w:pPr>
              <w:spacing w:after="0"/>
              <w:rPr>
                <w:sz w:val="17"/>
                <w:szCs w:val="17"/>
                <w:color w:val="auto"/>
              </w:rPr>
            </w:pPr>
          </w:p>
        </w:tc>
        <w:tc>
          <w:tcPr>
            <w:tcW w:w="1580" w:type="dxa"/>
            <w:vAlign w:val="bottom"/>
            <w:tcBorders>
              <w:top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50.3</w:t>
            </w:r>
          </w:p>
        </w:tc>
        <w:tc>
          <w:tcPr>
            <w:tcW w:w="200" w:type="dxa"/>
            <w:vAlign w:val="bottom"/>
            <w:tcBorders>
              <w:top w:val="single" w:sz="8" w:color="E2E2E2"/>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w w:val="83"/>
              </w:rPr>
              <w:t>%</w:t>
            </w:r>
          </w:p>
        </w:tc>
        <w:tc>
          <w:tcPr>
            <w:tcW w:w="0" w:type="dxa"/>
            <w:vAlign w:val="bottom"/>
          </w:tcPr>
          <w:p>
            <w:pPr>
              <w:spacing w:after="0"/>
              <w:rPr>
                <w:sz w:val="1"/>
                <w:szCs w:val="1"/>
                <w:color w:val="auto"/>
              </w:rPr>
            </w:pPr>
          </w:p>
        </w:tc>
      </w:tr>
      <w:tr>
        <w:trPr>
          <w:trHeight w:val="226"/>
        </w:trPr>
        <w:tc>
          <w:tcPr>
            <w:tcW w:w="60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Selling, general and administrative expenses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53.9</w:t>
            </w:r>
          </w:p>
        </w:tc>
        <w:tc>
          <w:tcPr>
            <w:tcW w:w="2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w w:val="83"/>
              </w:rPr>
              <w:t>%</w:t>
            </w:r>
          </w:p>
        </w:tc>
        <w:tc>
          <w:tcPr>
            <w:tcW w:w="220" w:type="dxa"/>
            <w:vAlign w:val="bottom"/>
          </w:tcPr>
          <w:p>
            <w:pPr>
              <w:spacing w:after="0"/>
              <w:rPr>
                <w:sz w:val="19"/>
                <w:szCs w:val="19"/>
                <w:color w:val="auto"/>
              </w:rPr>
            </w:pPr>
          </w:p>
        </w:tc>
        <w:tc>
          <w:tcPr>
            <w:tcW w:w="178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1E1E1E"/>
              </w:rPr>
              <w:t>51.7 %</w:t>
            </w:r>
          </w:p>
        </w:tc>
        <w:tc>
          <w:tcPr>
            <w:tcW w:w="0" w:type="dxa"/>
            <w:vAlign w:val="bottom"/>
          </w:tcPr>
          <w:p>
            <w:pPr>
              <w:spacing w:after="0"/>
              <w:rPr>
                <w:sz w:val="1"/>
                <w:szCs w:val="1"/>
                <w:color w:val="auto"/>
              </w:rPr>
            </w:pPr>
          </w:p>
        </w:tc>
      </w:tr>
      <w:tr>
        <w:trPr>
          <w:trHeight w:val="226"/>
        </w:trPr>
        <w:tc>
          <w:tcPr>
            <w:tcW w:w="604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Restructuring expense</w:t>
            </w:r>
          </w:p>
        </w:tc>
        <w:tc>
          <w:tcPr>
            <w:tcW w:w="220" w:type="dxa"/>
            <w:vAlign w:val="bottom"/>
            <w:tcBorders>
              <w:right w:val="single" w:sz="8" w:color="E2E2E2"/>
            </w:tcBorders>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15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1.2</w:t>
            </w:r>
          </w:p>
        </w:tc>
        <w:tc>
          <w:tcPr>
            <w:tcW w:w="20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w w:val="83"/>
              </w:rPr>
              <w:t>%</w:t>
            </w:r>
          </w:p>
        </w:tc>
        <w:tc>
          <w:tcPr>
            <w:tcW w:w="220" w:type="dxa"/>
            <w:vAlign w:val="bottom"/>
            <w:shd w:val="clear" w:color="auto" w:fill="E2E2E2"/>
          </w:tcPr>
          <w:p>
            <w:pPr>
              <w:spacing w:after="0"/>
              <w:rPr>
                <w:sz w:val="19"/>
                <w:szCs w:val="19"/>
                <w:color w:val="auto"/>
              </w:rPr>
            </w:pPr>
          </w:p>
        </w:tc>
        <w:tc>
          <w:tcPr>
            <w:tcW w:w="1780" w:type="dxa"/>
            <w:vAlign w:val="bottom"/>
            <w:gridSpan w:val="2"/>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 %</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line="226" w:lineRule="exact"/>
              <w:rPr>
                <w:sz w:val="20"/>
                <w:szCs w:val="20"/>
                <w:color w:val="auto"/>
              </w:rPr>
            </w:pPr>
            <w:r>
              <w:rPr>
                <w:rFonts w:ascii="Times New Roman" w:cs="Times New Roman" w:eastAsia="Times New Roman" w:hAnsi="Times New Roman"/>
                <w:sz w:val="20"/>
                <w:szCs w:val="20"/>
                <w:color w:val="1E1E1E"/>
              </w:rPr>
              <w:t>Operating loss</w:t>
            </w:r>
          </w:p>
        </w:tc>
        <w:tc>
          <w:tcPr>
            <w:tcW w:w="200" w:type="dxa"/>
            <w:vAlign w:val="bottom"/>
            <w:shd w:val="clear" w:color="auto" w:fill="1E1E1E"/>
          </w:tcPr>
          <w:p>
            <w:pPr>
              <w:spacing w:after="0" w:line="20" w:lineRule="exact"/>
              <w:rPr>
                <w:sz w:val="1"/>
                <w:szCs w:val="1"/>
                <w:color w:val="auto"/>
              </w:rPr>
            </w:pPr>
          </w:p>
        </w:tc>
        <w:tc>
          <w:tcPr>
            <w:tcW w:w="1580" w:type="dxa"/>
            <w:vAlign w:val="bottom"/>
            <w:shd w:val="clear" w:color="auto" w:fill="1E1E1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1E1E1E"/>
          </w:tcPr>
          <w:p>
            <w:pPr>
              <w:spacing w:after="0" w:line="20" w:lineRule="exact"/>
              <w:rPr>
                <w:sz w:val="1"/>
                <w:szCs w:val="1"/>
                <w:color w:val="auto"/>
              </w:rPr>
            </w:pPr>
          </w:p>
        </w:tc>
        <w:tc>
          <w:tcPr>
            <w:tcW w:w="1580" w:type="dxa"/>
            <w:vAlign w:val="bottom"/>
            <w:shd w:val="clear" w:color="auto" w:fill="1E1E1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2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color w:val="1E1E1E"/>
              </w:rPr>
              <w:t>(5.9)%</w:t>
            </w:r>
          </w:p>
        </w:tc>
        <w:tc>
          <w:tcPr>
            <w:tcW w:w="220" w:type="dxa"/>
            <w:vAlign w:val="bottom"/>
          </w:tcPr>
          <w:p>
            <w:pPr>
              <w:spacing w:after="0"/>
              <w:rPr>
                <w:sz w:val="17"/>
                <w:szCs w:val="17"/>
                <w:color w:val="auto"/>
              </w:rPr>
            </w:pPr>
          </w:p>
        </w:tc>
        <w:tc>
          <w:tcPr>
            <w:tcW w:w="178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color w:val="1E1E1E"/>
              </w:rPr>
              <w:t>(1.5)%</w:t>
            </w:r>
          </w:p>
        </w:tc>
        <w:tc>
          <w:tcPr>
            <w:tcW w:w="0" w:type="dxa"/>
            <w:vAlign w:val="bottom"/>
          </w:tcPr>
          <w:p>
            <w:pPr>
              <w:spacing w:after="0"/>
              <w:rPr>
                <w:sz w:val="1"/>
                <w:szCs w:val="1"/>
                <w:color w:val="auto"/>
              </w:rPr>
            </w:pPr>
          </w:p>
        </w:tc>
      </w:tr>
      <w:tr>
        <w:trPr>
          <w:trHeight w:val="226"/>
        </w:trPr>
        <w:tc>
          <w:tcPr>
            <w:tcW w:w="6260" w:type="dxa"/>
            <w:vAlign w:val="bottom"/>
            <w:tcBorders>
              <w:right w:val="single" w:sz="8" w:color="E2E2E2"/>
            </w:tcBorders>
            <w:gridSpan w:val="2"/>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Interest expense</w:t>
            </w:r>
          </w:p>
        </w:tc>
        <w:tc>
          <w:tcPr>
            <w:tcW w:w="200" w:type="dxa"/>
            <w:vAlign w:val="bottom"/>
            <w:shd w:val="clear" w:color="auto" w:fill="E2E2E2"/>
          </w:tcPr>
          <w:p>
            <w:pPr>
              <w:spacing w:after="0"/>
              <w:rPr>
                <w:sz w:val="19"/>
                <w:szCs w:val="19"/>
                <w:color w:val="auto"/>
              </w:rPr>
            </w:pPr>
          </w:p>
        </w:tc>
        <w:tc>
          <w:tcPr>
            <w:tcW w:w="1780" w:type="dxa"/>
            <w:vAlign w:val="bottom"/>
            <w:gridSpan w:val="2"/>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0.7 %</w:t>
            </w:r>
          </w:p>
        </w:tc>
        <w:tc>
          <w:tcPr>
            <w:tcW w:w="220" w:type="dxa"/>
            <w:vAlign w:val="bottom"/>
            <w:shd w:val="clear" w:color="auto" w:fill="E2E2E2"/>
          </w:tcPr>
          <w:p>
            <w:pPr>
              <w:spacing w:after="0"/>
              <w:rPr>
                <w:sz w:val="19"/>
                <w:szCs w:val="19"/>
                <w:color w:val="auto"/>
              </w:rPr>
            </w:pPr>
          </w:p>
        </w:tc>
        <w:tc>
          <w:tcPr>
            <w:tcW w:w="1780" w:type="dxa"/>
            <w:vAlign w:val="bottom"/>
            <w:gridSpan w:val="2"/>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0.6 %</w:t>
            </w:r>
          </w:p>
        </w:tc>
        <w:tc>
          <w:tcPr>
            <w:tcW w:w="0" w:type="dxa"/>
            <w:vAlign w:val="bottom"/>
          </w:tcPr>
          <w:p>
            <w:pPr>
              <w:spacing w:after="0"/>
              <w:rPr>
                <w:sz w:val="1"/>
                <w:szCs w:val="1"/>
                <w:color w:val="auto"/>
              </w:rPr>
            </w:pPr>
          </w:p>
        </w:tc>
      </w:tr>
      <w:tr>
        <w:trPr>
          <w:trHeight w:val="221"/>
        </w:trPr>
        <w:tc>
          <w:tcPr>
            <w:tcW w:w="6260" w:type="dxa"/>
            <w:vAlign w:val="bottom"/>
            <w:gridSpan w:val="2"/>
          </w:tcPr>
          <w:p>
            <w:pPr>
              <w:spacing w:after="0" w:line="221" w:lineRule="exact"/>
              <w:rPr>
                <w:sz w:val="20"/>
                <w:szCs w:val="20"/>
                <w:color w:val="auto"/>
              </w:rPr>
            </w:pPr>
            <w:r>
              <w:rPr>
                <w:rFonts w:ascii="Times New Roman" w:cs="Times New Roman" w:eastAsia="Times New Roman" w:hAnsi="Times New Roman"/>
                <w:sz w:val="20"/>
                <w:szCs w:val="20"/>
                <w:color w:val="1E1E1E"/>
              </w:rPr>
              <w:t>Other income, net</w:t>
            </w:r>
          </w:p>
        </w:tc>
        <w:tc>
          <w:tcPr>
            <w:tcW w:w="200" w:type="dxa"/>
            <w:vAlign w:val="bottom"/>
          </w:tcPr>
          <w:p>
            <w:pPr>
              <w:spacing w:after="0"/>
              <w:rPr>
                <w:sz w:val="19"/>
                <w:szCs w:val="19"/>
                <w:color w:val="auto"/>
              </w:rPr>
            </w:pPr>
          </w:p>
        </w:tc>
        <w:tc>
          <w:tcPr>
            <w:tcW w:w="2000" w:type="dxa"/>
            <w:vAlign w:val="bottom"/>
            <w:gridSpan w:val="3"/>
          </w:tcPr>
          <w:p>
            <w:pPr>
              <w:jc w:val="right"/>
              <w:ind w:right="159"/>
              <w:spacing w:after="0" w:line="221" w:lineRule="exact"/>
              <w:rPr>
                <w:sz w:val="20"/>
                <w:szCs w:val="20"/>
                <w:color w:val="auto"/>
              </w:rPr>
            </w:pPr>
            <w:r>
              <w:rPr>
                <w:rFonts w:ascii="Times New Roman" w:cs="Times New Roman" w:eastAsia="Times New Roman" w:hAnsi="Times New Roman"/>
                <w:sz w:val="20"/>
                <w:szCs w:val="20"/>
                <w:color w:val="1E1E1E"/>
              </w:rPr>
              <w:t>— %</w:t>
            </w:r>
          </w:p>
        </w:tc>
        <w:tc>
          <w:tcPr>
            <w:tcW w:w="178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1E1E1E"/>
              </w:rPr>
              <w:t>— %</w:t>
            </w:r>
          </w:p>
        </w:tc>
        <w:tc>
          <w:tcPr>
            <w:tcW w:w="0" w:type="dxa"/>
            <w:vAlign w:val="bottom"/>
          </w:tcPr>
          <w:p>
            <w:pPr>
              <w:spacing w:after="0"/>
              <w:rPr>
                <w:sz w:val="1"/>
                <w:szCs w:val="1"/>
                <w:color w:val="auto"/>
              </w:rPr>
            </w:pPr>
          </w:p>
        </w:tc>
      </w:tr>
      <w:tr>
        <w:trPr>
          <w:trHeight w:val="20"/>
        </w:trPr>
        <w:tc>
          <w:tcPr>
            <w:tcW w:w="6040" w:type="dxa"/>
            <w:vAlign w:val="bottom"/>
            <w:vMerge w:val="restart"/>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Loss before income taxes</w:t>
            </w:r>
          </w:p>
        </w:tc>
        <w:tc>
          <w:tcPr>
            <w:tcW w:w="220" w:type="dxa"/>
            <w:vAlign w:val="bottom"/>
            <w:tcBorders>
              <w:right w:val="single" w:sz="8" w:color="E2E2E2"/>
            </w:tcBorders>
            <w:shd w:val="clear" w:color="auto" w:fill="E2E2E2"/>
          </w:tcPr>
          <w:p>
            <w:pPr>
              <w:spacing w:after="0" w:line="20" w:lineRule="exact"/>
              <w:rPr>
                <w:sz w:val="1"/>
                <w:szCs w:val="1"/>
                <w:color w:val="auto"/>
              </w:rPr>
            </w:pPr>
          </w:p>
        </w:tc>
        <w:tc>
          <w:tcPr>
            <w:tcW w:w="200" w:type="dxa"/>
            <w:vAlign w:val="bottom"/>
            <w:shd w:val="clear" w:color="auto" w:fill="1E1E1E"/>
          </w:tcPr>
          <w:p>
            <w:pPr>
              <w:spacing w:after="0" w:line="20" w:lineRule="exact"/>
              <w:rPr>
                <w:sz w:val="1"/>
                <w:szCs w:val="1"/>
                <w:color w:val="auto"/>
              </w:rPr>
            </w:pPr>
          </w:p>
        </w:tc>
        <w:tc>
          <w:tcPr>
            <w:tcW w:w="1580" w:type="dxa"/>
            <w:vAlign w:val="bottom"/>
            <w:shd w:val="clear" w:color="auto" w:fill="1E1E1E"/>
          </w:tcPr>
          <w:p>
            <w:pPr>
              <w:spacing w:after="0" w:line="20" w:lineRule="exact"/>
              <w:rPr>
                <w:sz w:val="1"/>
                <w:szCs w:val="1"/>
                <w:color w:val="auto"/>
              </w:rPr>
            </w:pPr>
          </w:p>
        </w:tc>
        <w:tc>
          <w:tcPr>
            <w:tcW w:w="200" w:type="dxa"/>
            <w:vAlign w:val="bottom"/>
            <w:shd w:val="clear" w:color="auto" w:fill="E2E2E2"/>
          </w:tcPr>
          <w:p>
            <w:pPr>
              <w:spacing w:after="0" w:line="20" w:lineRule="exact"/>
              <w:rPr>
                <w:sz w:val="1"/>
                <w:szCs w:val="1"/>
                <w:color w:val="auto"/>
              </w:rPr>
            </w:pPr>
          </w:p>
        </w:tc>
        <w:tc>
          <w:tcPr>
            <w:tcW w:w="220" w:type="dxa"/>
            <w:vAlign w:val="bottom"/>
            <w:shd w:val="clear" w:color="auto" w:fill="1E1E1E"/>
          </w:tcPr>
          <w:p>
            <w:pPr>
              <w:spacing w:after="0" w:line="20" w:lineRule="exact"/>
              <w:rPr>
                <w:sz w:val="1"/>
                <w:szCs w:val="1"/>
                <w:color w:val="auto"/>
              </w:rPr>
            </w:pPr>
          </w:p>
        </w:tc>
        <w:tc>
          <w:tcPr>
            <w:tcW w:w="1580" w:type="dxa"/>
            <w:vAlign w:val="bottom"/>
            <w:shd w:val="clear" w:color="auto" w:fill="1E1E1E"/>
          </w:tcPr>
          <w:p>
            <w:pPr>
              <w:spacing w:after="0" w:line="20" w:lineRule="exact"/>
              <w:rPr>
                <w:sz w:val="1"/>
                <w:szCs w:val="1"/>
                <w:color w:val="auto"/>
              </w:rPr>
            </w:pPr>
          </w:p>
        </w:tc>
        <w:tc>
          <w:tcPr>
            <w:tcW w:w="200" w:type="dxa"/>
            <w:vAlign w:val="bottom"/>
            <w:shd w:val="clear" w:color="auto" w:fill="E2E2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040" w:type="dxa"/>
            <w:vAlign w:val="bottom"/>
            <w:vMerge w:val="continue"/>
            <w:shd w:val="clear" w:color="auto" w:fill="E2E2E2"/>
          </w:tcPr>
          <w:p>
            <w:pPr>
              <w:spacing w:after="0"/>
              <w:rPr>
                <w:sz w:val="17"/>
                <w:szCs w:val="17"/>
                <w:color w:val="auto"/>
              </w:rPr>
            </w:pPr>
          </w:p>
        </w:tc>
        <w:tc>
          <w:tcPr>
            <w:tcW w:w="220" w:type="dxa"/>
            <w:vAlign w:val="bottom"/>
            <w:tcBorders>
              <w:right w:val="single" w:sz="8" w:color="E2E2E2"/>
            </w:tcBorders>
            <w:shd w:val="clear" w:color="auto" w:fill="E2E2E2"/>
          </w:tcPr>
          <w:p>
            <w:pPr>
              <w:spacing w:after="0"/>
              <w:rPr>
                <w:sz w:val="17"/>
                <w:szCs w:val="17"/>
                <w:color w:val="auto"/>
              </w:rPr>
            </w:pPr>
          </w:p>
        </w:tc>
        <w:tc>
          <w:tcPr>
            <w:tcW w:w="200" w:type="dxa"/>
            <w:vAlign w:val="bottom"/>
            <w:shd w:val="clear" w:color="auto" w:fill="E2E2E2"/>
          </w:tcPr>
          <w:p>
            <w:pPr>
              <w:spacing w:after="0"/>
              <w:rPr>
                <w:sz w:val="17"/>
                <w:szCs w:val="17"/>
                <w:color w:val="auto"/>
              </w:rPr>
            </w:pPr>
          </w:p>
        </w:tc>
        <w:tc>
          <w:tcPr>
            <w:tcW w:w="1780" w:type="dxa"/>
            <w:vAlign w:val="bottom"/>
            <w:gridSpan w:val="2"/>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(6.6)%</w:t>
            </w:r>
          </w:p>
        </w:tc>
        <w:tc>
          <w:tcPr>
            <w:tcW w:w="220" w:type="dxa"/>
            <w:vAlign w:val="bottom"/>
            <w:shd w:val="clear" w:color="auto" w:fill="E2E2E2"/>
          </w:tcPr>
          <w:p>
            <w:pPr>
              <w:spacing w:after="0"/>
              <w:rPr>
                <w:sz w:val="17"/>
                <w:szCs w:val="17"/>
                <w:color w:val="auto"/>
              </w:rPr>
            </w:pPr>
          </w:p>
        </w:tc>
        <w:tc>
          <w:tcPr>
            <w:tcW w:w="1780" w:type="dxa"/>
            <w:vAlign w:val="bottom"/>
            <w:gridSpan w:val="2"/>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(2.0)%</w:t>
            </w:r>
          </w:p>
        </w:tc>
        <w:tc>
          <w:tcPr>
            <w:tcW w:w="0" w:type="dxa"/>
            <w:vAlign w:val="bottom"/>
          </w:tcPr>
          <w:p>
            <w:pPr>
              <w:spacing w:after="0"/>
              <w:rPr>
                <w:sz w:val="1"/>
                <w:szCs w:val="1"/>
                <w:color w:val="auto"/>
              </w:rPr>
            </w:pPr>
          </w:p>
        </w:tc>
      </w:tr>
      <w:tr>
        <w:trPr>
          <w:trHeight w:val="226"/>
        </w:trPr>
        <w:tc>
          <w:tcPr>
            <w:tcW w:w="626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1E1E1E"/>
              </w:rPr>
              <w:t>Income tax expense (benefit)</w:t>
            </w:r>
          </w:p>
        </w:tc>
        <w:tc>
          <w:tcPr>
            <w:tcW w:w="200" w:type="dxa"/>
            <w:vAlign w:val="bottom"/>
          </w:tcPr>
          <w:p>
            <w:pPr>
              <w:spacing w:after="0"/>
              <w:rPr>
                <w:sz w:val="19"/>
                <w:szCs w:val="19"/>
                <w:color w:val="auto"/>
              </w:rPr>
            </w:pPr>
          </w:p>
        </w:tc>
        <w:tc>
          <w:tcPr>
            <w:tcW w:w="178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1E1E1E"/>
              </w:rPr>
              <w:t>0.4 %</w:t>
            </w:r>
          </w:p>
        </w:tc>
        <w:tc>
          <w:tcPr>
            <w:tcW w:w="220" w:type="dxa"/>
            <w:vAlign w:val="bottom"/>
          </w:tcPr>
          <w:p>
            <w:pPr>
              <w:spacing w:after="0"/>
              <w:rPr>
                <w:sz w:val="19"/>
                <w:szCs w:val="19"/>
                <w:color w:val="auto"/>
              </w:rPr>
            </w:pPr>
          </w:p>
        </w:tc>
        <w:tc>
          <w:tcPr>
            <w:tcW w:w="178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1E1E1E"/>
              </w:rPr>
              <w:t>(0.4)%</w:t>
            </w:r>
          </w:p>
        </w:tc>
        <w:tc>
          <w:tcPr>
            <w:tcW w:w="0" w:type="dxa"/>
            <w:vAlign w:val="bottom"/>
          </w:tcPr>
          <w:p>
            <w:pPr>
              <w:spacing w:after="0"/>
              <w:rPr>
                <w:sz w:val="1"/>
                <w:szCs w:val="1"/>
                <w:color w:val="auto"/>
              </w:rPr>
            </w:pPr>
          </w:p>
        </w:tc>
      </w:tr>
      <w:tr>
        <w:trPr>
          <w:trHeight w:val="20"/>
        </w:trPr>
        <w:tc>
          <w:tcPr>
            <w:tcW w:w="6040" w:type="dxa"/>
            <w:vAlign w:val="bottom"/>
            <w:vMerge w:val="restart"/>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Net loss</w:t>
            </w:r>
          </w:p>
        </w:tc>
        <w:tc>
          <w:tcPr>
            <w:tcW w:w="220" w:type="dxa"/>
            <w:vAlign w:val="bottom"/>
            <w:tcBorders>
              <w:right w:val="single" w:sz="8" w:color="E2E2E2"/>
            </w:tcBorders>
            <w:shd w:val="clear" w:color="auto" w:fill="E2E2E2"/>
          </w:tcPr>
          <w:p>
            <w:pPr>
              <w:spacing w:after="0" w:line="20" w:lineRule="exact"/>
              <w:rPr>
                <w:sz w:val="1"/>
                <w:szCs w:val="1"/>
                <w:color w:val="auto"/>
              </w:rPr>
            </w:pPr>
          </w:p>
        </w:tc>
        <w:tc>
          <w:tcPr>
            <w:tcW w:w="200" w:type="dxa"/>
            <w:vAlign w:val="bottom"/>
            <w:shd w:val="clear" w:color="auto" w:fill="1E1E1E"/>
          </w:tcPr>
          <w:p>
            <w:pPr>
              <w:spacing w:after="0" w:line="20" w:lineRule="exact"/>
              <w:rPr>
                <w:sz w:val="1"/>
                <w:szCs w:val="1"/>
                <w:color w:val="auto"/>
              </w:rPr>
            </w:pPr>
          </w:p>
        </w:tc>
        <w:tc>
          <w:tcPr>
            <w:tcW w:w="1580" w:type="dxa"/>
            <w:vAlign w:val="bottom"/>
            <w:shd w:val="clear" w:color="auto" w:fill="1E1E1E"/>
          </w:tcPr>
          <w:p>
            <w:pPr>
              <w:spacing w:after="0" w:line="20" w:lineRule="exact"/>
              <w:rPr>
                <w:sz w:val="1"/>
                <w:szCs w:val="1"/>
                <w:color w:val="auto"/>
              </w:rPr>
            </w:pPr>
          </w:p>
        </w:tc>
        <w:tc>
          <w:tcPr>
            <w:tcW w:w="200" w:type="dxa"/>
            <w:vAlign w:val="bottom"/>
            <w:shd w:val="clear" w:color="auto" w:fill="E2E2E2"/>
          </w:tcPr>
          <w:p>
            <w:pPr>
              <w:spacing w:after="0" w:line="20" w:lineRule="exact"/>
              <w:rPr>
                <w:sz w:val="1"/>
                <w:szCs w:val="1"/>
                <w:color w:val="auto"/>
              </w:rPr>
            </w:pPr>
          </w:p>
        </w:tc>
        <w:tc>
          <w:tcPr>
            <w:tcW w:w="220" w:type="dxa"/>
            <w:vAlign w:val="bottom"/>
            <w:shd w:val="clear" w:color="auto" w:fill="1E1E1E"/>
          </w:tcPr>
          <w:p>
            <w:pPr>
              <w:spacing w:after="0" w:line="20" w:lineRule="exact"/>
              <w:rPr>
                <w:sz w:val="1"/>
                <w:szCs w:val="1"/>
                <w:color w:val="auto"/>
              </w:rPr>
            </w:pPr>
          </w:p>
        </w:tc>
        <w:tc>
          <w:tcPr>
            <w:tcW w:w="1580" w:type="dxa"/>
            <w:vAlign w:val="bottom"/>
            <w:shd w:val="clear" w:color="auto" w:fill="1E1E1E"/>
          </w:tcPr>
          <w:p>
            <w:pPr>
              <w:spacing w:after="0" w:line="20" w:lineRule="exact"/>
              <w:rPr>
                <w:sz w:val="1"/>
                <w:szCs w:val="1"/>
                <w:color w:val="auto"/>
              </w:rPr>
            </w:pPr>
          </w:p>
        </w:tc>
        <w:tc>
          <w:tcPr>
            <w:tcW w:w="200" w:type="dxa"/>
            <w:vAlign w:val="bottom"/>
            <w:shd w:val="clear" w:color="auto" w:fill="E2E2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040" w:type="dxa"/>
            <w:vAlign w:val="bottom"/>
            <w:vMerge w:val="continue"/>
            <w:shd w:val="clear" w:color="auto" w:fill="E2E2E2"/>
          </w:tcPr>
          <w:p>
            <w:pPr>
              <w:spacing w:after="0"/>
              <w:rPr>
                <w:sz w:val="17"/>
                <w:szCs w:val="17"/>
                <w:color w:val="auto"/>
              </w:rPr>
            </w:pPr>
          </w:p>
        </w:tc>
        <w:tc>
          <w:tcPr>
            <w:tcW w:w="220" w:type="dxa"/>
            <w:vAlign w:val="bottom"/>
            <w:tcBorders>
              <w:right w:val="single" w:sz="8" w:color="E2E2E2"/>
            </w:tcBorders>
            <w:shd w:val="clear" w:color="auto" w:fill="E2E2E2"/>
          </w:tcPr>
          <w:p>
            <w:pPr>
              <w:spacing w:after="0"/>
              <w:rPr>
                <w:sz w:val="17"/>
                <w:szCs w:val="17"/>
                <w:color w:val="auto"/>
              </w:rPr>
            </w:pPr>
          </w:p>
        </w:tc>
        <w:tc>
          <w:tcPr>
            <w:tcW w:w="200" w:type="dxa"/>
            <w:vAlign w:val="bottom"/>
            <w:shd w:val="clear" w:color="auto" w:fill="E2E2E2"/>
          </w:tcPr>
          <w:p>
            <w:pPr>
              <w:spacing w:after="0"/>
              <w:rPr>
                <w:sz w:val="17"/>
                <w:szCs w:val="17"/>
                <w:color w:val="auto"/>
              </w:rPr>
            </w:pPr>
          </w:p>
        </w:tc>
        <w:tc>
          <w:tcPr>
            <w:tcW w:w="1780" w:type="dxa"/>
            <w:vAlign w:val="bottom"/>
            <w:gridSpan w:val="2"/>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(7.0)%</w:t>
            </w:r>
          </w:p>
        </w:tc>
        <w:tc>
          <w:tcPr>
            <w:tcW w:w="220" w:type="dxa"/>
            <w:vAlign w:val="bottom"/>
            <w:shd w:val="clear" w:color="auto" w:fill="E2E2E2"/>
          </w:tcPr>
          <w:p>
            <w:pPr>
              <w:spacing w:after="0"/>
              <w:rPr>
                <w:sz w:val="17"/>
                <w:szCs w:val="17"/>
                <w:color w:val="auto"/>
              </w:rPr>
            </w:pPr>
          </w:p>
        </w:tc>
        <w:tc>
          <w:tcPr>
            <w:tcW w:w="1780" w:type="dxa"/>
            <w:vAlign w:val="bottom"/>
            <w:gridSpan w:val="2"/>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(1.5)%</w:t>
            </w:r>
          </w:p>
        </w:tc>
        <w:tc>
          <w:tcPr>
            <w:tcW w:w="0" w:type="dxa"/>
            <w:vAlign w:val="bottom"/>
          </w:tcPr>
          <w:p>
            <w:pPr>
              <w:spacing w:after="0"/>
              <w:rPr>
                <w:sz w:val="1"/>
                <w:szCs w:val="1"/>
                <w:color w:val="auto"/>
              </w:rPr>
            </w:pPr>
          </w:p>
        </w:tc>
      </w:tr>
      <w:tr>
        <w:trPr>
          <w:trHeight w:val="226"/>
        </w:trPr>
        <w:tc>
          <w:tcPr>
            <w:tcW w:w="60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Less: Net income (loss) attributable to noncontrolling interest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3"/>
          </w:tcPr>
          <w:p>
            <w:pPr>
              <w:jc w:val="right"/>
              <w:ind w:right="159"/>
              <w:spacing w:after="0" w:line="226" w:lineRule="exact"/>
              <w:rPr>
                <w:sz w:val="20"/>
                <w:szCs w:val="20"/>
                <w:color w:val="auto"/>
              </w:rPr>
            </w:pPr>
            <w:r>
              <w:rPr>
                <w:rFonts w:ascii="Times New Roman" w:cs="Times New Roman" w:eastAsia="Times New Roman" w:hAnsi="Times New Roman"/>
                <w:sz w:val="20"/>
                <w:szCs w:val="20"/>
                <w:color w:val="1E1E1E"/>
              </w:rPr>
              <w:t>— %</w:t>
            </w:r>
          </w:p>
        </w:tc>
        <w:tc>
          <w:tcPr>
            <w:tcW w:w="178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1E1E1E"/>
              </w:rPr>
              <w:t>— %</w:t>
            </w:r>
          </w:p>
        </w:tc>
        <w:tc>
          <w:tcPr>
            <w:tcW w:w="0" w:type="dxa"/>
            <w:vAlign w:val="bottom"/>
          </w:tcPr>
          <w:p>
            <w:pPr>
              <w:spacing w:after="0"/>
              <w:rPr>
                <w:sz w:val="1"/>
                <w:szCs w:val="1"/>
                <w:color w:val="auto"/>
              </w:rPr>
            </w:pPr>
          </w:p>
        </w:tc>
      </w:tr>
      <w:tr>
        <w:trPr>
          <w:trHeight w:val="20"/>
        </w:trPr>
        <w:tc>
          <w:tcPr>
            <w:tcW w:w="6040" w:type="dxa"/>
            <w:vAlign w:val="bottom"/>
            <w:vMerge w:val="restart"/>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Net loss attributable to controlling interest</w:t>
            </w:r>
          </w:p>
        </w:tc>
        <w:tc>
          <w:tcPr>
            <w:tcW w:w="220" w:type="dxa"/>
            <w:vAlign w:val="bottom"/>
            <w:tcBorders>
              <w:right w:val="single" w:sz="8" w:color="E2E2E2"/>
            </w:tcBorders>
            <w:shd w:val="clear" w:color="auto" w:fill="E2E2E2"/>
          </w:tcPr>
          <w:p>
            <w:pPr>
              <w:spacing w:after="0" w:line="20" w:lineRule="exact"/>
              <w:rPr>
                <w:sz w:val="1"/>
                <w:szCs w:val="1"/>
                <w:color w:val="auto"/>
              </w:rPr>
            </w:pPr>
          </w:p>
        </w:tc>
        <w:tc>
          <w:tcPr>
            <w:tcW w:w="200" w:type="dxa"/>
            <w:vAlign w:val="bottom"/>
            <w:shd w:val="clear" w:color="auto" w:fill="1E1E1E"/>
          </w:tcPr>
          <w:p>
            <w:pPr>
              <w:spacing w:after="0" w:line="20" w:lineRule="exact"/>
              <w:rPr>
                <w:sz w:val="1"/>
                <w:szCs w:val="1"/>
                <w:color w:val="auto"/>
              </w:rPr>
            </w:pPr>
          </w:p>
        </w:tc>
        <w:tc>
          <w:tcPr>
            <w:tcW w:w="1580" w:type="dxa"/>
            <w:vAlign w:val="bottom"/>
            <w:shd w:val="clear" w:color="auto" w:fill="1E1E1E"/>
          </w:tcPr>
          <w:p>
            <w:pPr>
              <w:spacing w:after="0" w:line="20" w:lineRule="exact"/>
              <w:rPr>
                <w:sz w:val="1"/>
                <w:szCs w:val="1"/>
                <w:color w:val="auto"/>
              </w:rPr>
            </w:pPr>
          </w:p>
        </w:tc>
        <w:tc>
          <w:tcPr>
            <w:tcW w:w="200" w:type="dxa"/>
            <w:vAlign w:val="bottom"/>
            <w:shd w:val="clear" w:color="auto" w:fill="E2E2E2"/>
          </w:tcPr>
          <w:p>
            <w:pPr>
              <w:spacing w:after="0" w:line="20" w:lineRule="exact"/>
              <w:rPr>
                <w:sz w:val="1"/>
                <w:szCs w:val="1"/>
                <w:color w:val="auto"/>
              </w:rPr>
            </w:pPr>
          </w:p>
        </w:tc>
        <w:tc>
          <w:tcPr>
            <w:tcW w:w="220" w:type="dxa"/>
            <w:vAlign w:val="bottom"/>
            <w:shd w:val="clear" w:color="auto" w:fill="1E1E1E"/>
          </w:tcPr>
          <w:p>
            <w:pPr>
              <w:spacing w:after="0" w:line="20" w:lineRule="exact"/>
              <w:rPr>
                <w:sz w:val="1"/>
                <w:szCs w:val="1"/>
                <w:color w:val="auto"/>
              </w:rPr>
            </w:pPr>
          </w:p>
        </w:tc>
        <w:tc>
          <w:tcPr>
            <w:tcW w:w="1580" w:type="dxa"/>
            <w:vAlign w:val="bottom"/>
            <w:shd w:val="clear" w:color="auto" w:fill="1E1E1E"/>
          </w:tcPr>
          <w:p>
            <w:pPr>
              <w:spacing w:after="0" w:line="20" w:lineRule="exact"/>
              <w:rPr>
                <w:sz w:val="1"/>
                <w:szCs w:val="1"/>
                <w:color w:val="auto"/>
              </w:rPr>
            </w:pPr>
          </w:p>
        </w:tc>
        <w:tc>
          <w:tcPr>
            <w:tcW w:w="200" w:type="dxa"/>
            <w:vAlign w:val="bottom"/>
            <w:shd w:val="clear" w:color="auto" w:fill="E2E2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040" w:type="dxa"/>
            <w:vAlign w:val="bottom"/>
            <w:vMerge w:val="continue"/>
            <w:shd w:val="clear" w:color="auto" w:fill="E2E2E2"/>
          </w:tcPr>
          <w:p>
            <w:pPr>
              <w:spacing w:after="0"/>
              <w:rPr>
                <w:sz w:val="17"/>
                <w:szCs w:val="17"/>
                <w:color w:val="auto"/>
              </w:rPr>
            </w:pPr>
          </w:p>
        </w:tc>
        <w:tc>
          <w:tcPr>
            <w:tcW w:w="220" w:type="dxa"/>
            <w:vAlign w:val="bottom"/>
            <w:tcBorders>
              <w:right w:val="single" w:sz="8" w:color="E2E2E2"/>
            </w:tcBorders>
            <w:shd w:val="clear" w:color="auto" w:fill="E2E2E2"/>
          </w:tcPr>
          <w:p>
            <w:pPr>
              <w:spacing w:after="0"/>
              <w:rPr>
                <w:sz w:val="17"/>
                <w:szCs w:val="17"/>
                <w:color w:val="auto"/>
              </w:rPr>
            </w:pPr>
          </w:p>
        </w:tc>
        <w:tc>
          <w:tcPr>
            <w:tcW w:w="200" w:type="dxa"/>
            <w:vAlign w:val="bottom"/>
            <w:shd w:val="clear" w:color="auto" w:fill="E2E2E2"/>
          </w:tcPr>
          <w:p>
            <w:pPr>
              <w:spacing w:after="0"/>
              <w:rPr>
                <w:sz w:val="17"/>
                <w:szCs w:val="17"/>
                <w:color w:val="auto"/>
              </w:rPr>
            </w:pPr>
          </w:p>
        </w:tc>
        <w:tc>
          <w:tcPr>
            <w:tcW w:w="1780" w:type="dxa"/>
            <w:vAlign w:val="bottom"/>
            <w:gridSpan w:val="2"/>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(7.0)%</w:t>
            </w:r>
          </w:p>
        </w:tc>
        <w:tc>
          <w:tcPr>
            <w:tcW w:w="220" w:type="dxa"/>
            <w:vAlign w:val="bottom"/>
            <w:shd w:val="clear" w:color="auto" w:fill="E2E2E2"/>
          </w:tcPr>
          <w:p>
            <w:pPr>
              <w:spacing w:after="0"/>
              <w:rPr>
                <w:sz w:val="17"/>
                <w:szCs w:val="17"/>
                <w:color w:val="auto"/>
              </w:rPr>
            </w:pPr>
          </w:p>
        </w:tc>
        <w:tc>
          <w:tcPr>
            <w:tcW w:w="1780" w:type="dxa"/>
            <w:vAlign w:val="bottom"/>
            <w:gridSpan w:val="2"/>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(1.5)%</w:t>
            </w:r>
          </w:p>
        </w:tc>
        <w:tc>
          <w:tcPr>
            <w:tcW w:w="0" w:type="dxa"/>
            <w:vAlign w:val="bottom"/>
          </w:tcPr>
          <w:p>
            <w:pPr>
              <w:spacing w:after="0"/>
              <w:rPr>
                <w:sz w:val="1"/>
                <w:szCs w:val="1"/>
                <w:color w:val="auto"/>
              </w:rPr>
            </w:pPr>
          </w:p>
        </w:tc>
      </w:tr>
      <w:tr>
        <w:trPr>
          <w:trHeight w:val="29"/>
        </w:trPr>
        <w:tc>
          <w:tcPr>
            <w:tcW w:w="6040" w:type="dxa"/>
            <w:vAlign w:val="bottom"/>
          </w:tcPr>
          <w:p>
            <w:pPr>
              <w:spacing w:after="0"/>
              <w:rPr>
                <w:sz w:val="2"/>
                <w:szCs w:val="2"/>
                <w:color w:val="auto"/>
              </w:rPr>
            </w:pPr>
          </w:p>
        </w:tc>
        <w:tc>
          <w:tcPr>
            <w:tcW w:w="220" w:type="dxa"/>
            <w:vAlign w:val="bottom"/>
            <w:tcBorders>
              <w:right w:val="single" w:sz="8" w:color="1E1E1E"/>
            </w:tcBorders>
          </w:tcPr>
          <w:p>
            <w:pPr>
              <w:spacing w:after="0"/>
              <w:rPr>
                <w:sz w:val="2"/>
                <w:szCs w:val="2"/>
                <w:color w:val="auto"/>
              </w:rPr>
            </w:pPr>
          </w:p>
        </w:tc>
        <w:tc>
          <w:tcPr>
            <w:tcW w:w="200" w:type="dxa"/>
            <w:vAlign w:val="bottom"/>
            <w:shd w:val="clear" w:color="auto" w:fill="1E1E1E"/>
          </w:tcPr>
          <w:p>
            <w:pPr>
              <w:spacing w:after="0"/>
              <w:rPr>
                <w:sz w:val="2"/>
                <w:szCs w:val="2"/>
                <w:color w:val="auto"/>
              </w:rPr>
            </w:pPr>
          </w:p>
        </w:tc>
        <w:tc>
          <w:tcPr>
            <w:tcW w:w="1580" w:type="dxa"/>
            <w:vAlign w:val="bottom"/>
            <w:shd w:val="clear" w:color="auto" w:fill="1E1E1E"/>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1E1E1E"/>
          </w:tcPr>
          <w:p>
            <w:pPr>
              <w:spacing w:after="0"/>
              <w:rPr>
                <w:sz w:val="2"/>
                <w:szCs w:val="2"/>
                <w:color w:val="auto"/>
              </w:rPr>
            </w:pPr>
          </w:p>
        </w:tc>
        <w:tc>
          <w:tcPr>
            <w:tcW w:w="1580" w:type="dxa"/>
            <w:vAlign w:val="bottom"/>
            <w:shd w:val="clear" w:color="auto" w:fill="1E1E1E"/>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-447675</wp:posOffset>
            </wp:positionV>
            <wp:extent cx="2404110" cy="143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04110" cy="14351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-160020</wp:posOffset>
            </wp:positionV>
            <wp:extent cx="2404110" cy="142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04110" cy="14224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Fiscal 2024 Compared to Fiscal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Net Sales</w:t>
      </w:r>
    </w:p>
    <w:p>
      <w:pPr>
        <w:spacing w:after="0" w:line="20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Net sales decreased $20.1 million, or 3.1%, to $626.6 million in fiscal 2024 compared to $646.7 million in fiscal 2023. The decrease in net sales was primarily driven by lower average unit retail prices, processing delays at a legacy fulfillment center, lower web conversion and a decline in store traffic. Following the surge in unit demand over the Black Friday weekend, inventory units housed in our highly automated Adairsville center were significantly depleted resulting in a higher level of orders being routed to a legacy fulfillment facility, which resulted in significant backlog. We subsequently reduced promotional depth and frequency to address the order backlog and maintain sales quality, which constrained top-line growth.</w:t>
      </w:r>
    </w:p>
    <w:p>
      <w:pPr>
        <w:spacing w:after="0" w:line="159" w:lineRule="exact"/>
        <w:rPr>
          <w:sz w:val="20"/>
          <w:szCs w:val="20"/>
          <w:color w:val="auto"/>
        </w:rPr>
      </w:pPr>
    </w:p>
    <w:p>
      <w:pPr>
        <w:jc w:val="both"/>
        <w:ind w:right="320" w:firstLine="475"/>
        <w:spacing w:after="0" w:line="261" w:lineRule="auto"/>
        <w:rPr>
          <w:sz w:val="20"/>
          <w:szCs w:val="20"/>
          <w:color w:val="auto"/>
        </w:rPr>
      </w:pPr>
      <w:r>
        <w:rPr>
          <w:rFonts w:ascii="Times New Roman" w:cs="Times New Roman" w:eastAsia="Times New Roman" w:hAnsi="Times New Roman"/>
          <w:sz w:val="20"/>
          <w:szCs w:val="20"/>
          <w:color w:val="1E1E1E"/>
        </w:rPr>
        <w:t>Store market net sales decreased $3.3 million, or 0.8%, to $441.8 million in fiscal 2024 compared to $445.1 million in fiscal 2023. Net sales in non-store markets decreased $21.7 million, or 11.1%, to $174.3 million in fiscal 2024 compared to $196.0 million in fiscal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Gross Profit</w:t>
      </w:r>
    </w:p>
    <w:p>
      <w:pPr>
        <w:spacing w:after="0" w:line="200" w:lineRule="exact"/>
        <w:rPr>
          <w:sz w:val="20"/>
          <w:szCs w:val="20"/>
          <w:color w:val="auto"/>
        </w:rPr>
      </w:pPr>
    </w:p>
    <w:p>
      <w:pPr>
        <w:ind w:right="20" w:firstLine="490"/>
        <w:spacing w:after="0" w:line="250" w:lineRule="auto"/>
        <w:rPr>
          <w:sz w:val="20"/>
          <w:szCs w:val="20"/>
          <w:color w:val="auto"/>
        </w:rPr>
      </w:pPr>
      <w:r>
        <w:rPr>
          <w:rFonts w:ascii="Times New Roman" w:cs="Times New Roman" w:eastAsia="Times New Roman" w:hAnsi="Times New Roman"/>
          <w:sz w:val="20"/>
          <w:szCs w:val="20"/>
          <w:color w:val="1E1E1E"/>
        </w:rPr>
        <w:t>Gross profit decreased $16.5 million, or 5.1%, to $308.5 million in fiscal 2024 compared to $325.0 million in fiscal 2023. As a percentage of net sales, gross margin decreased to 49.2% of net sales in fiscal 2024 compared to 50.3% of net sales in fiscal 2023. The decrease in gross margin rate was primarily due to a lower mix of full price sales as customers’ purchasing activity increased during periods of promotions, partially offset by an improvement in product costs from our direct to factory sourcing initiative.</w:t>
      </w:r>
    </w:p>
    <w:p>
      <w:pPr>
        <w:sectPr>
          <w:pgSz w:w="11880" w:h="15480" w:orient="portrait"/>
          <w:cols w:equalWidth="0" w:num="1">
            <w:col w:w="10240"/>
          </w:cols>
          <w:pgMar w:left="820" w:top="87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31</w:t>
      </w:r>
    </w:p>
    <w:p>
      <w:pPr>
        <w:sectPr>
          <w:pgSz w:w="11880" w:h="15480" w:orient="portrait"/>
          <w:cols w:equalWidth="0" w:num="1">
            <w:col w:w="10240"/>
          </w:cols>
          <w:pgMar w:left="820" w:top="874" w:right="82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i w:val="1"/>
          <w:iCs w:val="1"/>
          <w:color w:val="1E1E1E"/>
        </w:rPr>
        <w:t>Selling, General and Administrative Expenses</w:t>
      </w:r>
    </w:p>
    <w:p>
      <w:pPr>
        <w:spacing w:after="0" w:line="196" w:lineRule="exact"/>
        <w:rPr>
          <w:sz w:val="20"/>
          <w:szCs w:val="20"/>
          <w:color w:val="auto"/>
        </w:rPr>
      </w:pPr>
    </w:p>
    <w:p>
      <w:pPr>
        <w:jc w:val="both"/>
        <w:ind w:right="160" w:firstLine="490"/>
        <w:spacing w:after="0" w:line="261" w:lineRule="auto"/>
        <w:rPr>
          <w:sz w:val="20"/>
          <w:szCs w:val="20"/>
          <w:color w:val="auto"/>
        </w:rPr>
      </w:pPr>
      <w:r>
        <w:rPr>
          <w:rFonts w:ascii="Times New Roman" w:cs="Times New Roman" w:eastAsia="Times New Roman" w:hAnsi="Times New Roman"/>
          <w:sz w:val="20"/>
          <w:szCs w:val="20"/>
          <w:color w:val="1E1E1E"/>
        </w:rPr>
        <w:t>Selling, general and administrative expenses increased $3.1 million, or 0.9%, to $337.6 million in fiscal 2024 compared to $334.5 million in fiscal 2023. Selling, general and administrative expenses as a percentage of net sales was 53.9% in fiscal 2024 compared to 51.7% in fiscal 2023.</w:t>
      </w:r>
    </w:p>
    <w:p>
      <w:pPr>
        <w:spacing w:after="0" w:line="143" w:lineRule="exact"/>
        <w:rPr>
          <w:sz w:val="20"/>
          <w:szCs w:val="20"/>
          <w:color w:val="auto"/>
        </w:rPr>
      </w:pPr>
    </w:p>
    <w:p>
      <w:pPr>
        <w:ind w:right="240" w:firstLine="490"/>
        <w:spacing w:after="0" w:line="281" w:lineRule="auto"/>
        <w:rPr>
          <w:sz w:val="20"/>
          <w:szCs w:val="20"/>
          <w:color w:val="auto"/>
        </w:rPr>
      </w:pPr>
      <w:r>
        <w:rPr>
          <w:rFonts w:ascii="Times New Roman" w:cs="Times New Roman" w:eastAsia="Times New Roman" w:hAnsi="Times New Roman"/>
          <w:sz w:val="20"/>
          <w:szCs w:val="20"/>
          <w:color w:val="1E1E1E"/>
        </w:rPr>
        <w:t>The increase in selling, general and administrative expense as a percentage of net sales was mainly driven by increased overhead costs, partially offset by optimization in our outbound shipping network.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Interest Expense</w:t>
      </w:r>
    </w:p>
    <w:p>
      <w:pPr>
        <w:spacing w:after="0" w:line="200" w:lineRule="exact"/>
        <w:rPr>
          <w:sz w:val="20"/>
          <w:szCs w:val="20"/>
          <w:color w:val="auto"/>
        </w:rPr>
      </w:pPr>
    </w:p>
    <w:p>
      <w:pPr>
        <w:ind w:right="40" w:firstLine="720"/>
        <w:spacing w:after="0" w:line="261" w:lineRule="auto"/>
        <w:rPr>
          <w:sz w:val="20"/>
          <w:szCs w:val="20"/>
          <w:color w:val="auto"/>
        </w:rPr>
      </w:pPr>
      <w:r>
        <w:rPr>
          <w:rFonts w:ascii="Times New Roman" w:cs="Times New Roman" w:eastAsia="Times New Roman" w:hAnsi="Times New Roman"/>
          <w:sz w:val="20"/>
          <w:szCs w:val="20"/>
          <w:color w:val="1E1E1E"/>
        </w:rPr>
        <w:t>Interest expense increased $0.4 million to $4.6 million in fiscal 2024 compared to $4.2 million in fiscal 2023. The increase in interest expense was primarily attributable to increased interest rates on outstanding debt in fiscal 2024 compared to fiscal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Income Taxes</w:t>
      </w:r>
    </w:p>
    <w:p>
      <w:pPr>
        <w:spacing w:after="0" w:line="200" w:lineRule="exact"/>
        <w:rPr>
          <w:sz w:val="20"/>
          <w:szCs w:val="20"/>
          <w:color w:val="auto"/>
        </w:rPr>
      </w:pPr>
    </w:p>
    <w:p>
      <w:pPr>
        <w:jc w:val="both"/>
        <w:ind w:right="120" w:firstLine="490"/>
        <w:spacing w:after="0" w:line="254" w:lineRule="auto"/>
        <w:rPr>
          <w:sz w:val="20"/>
          <w:szCs w:val="20"/>
          <w:color w:val="auto"/>
        </w:rPr>
      </w:pPr>
      <w:r>
        <w:rPr>
          <w:rFonts w:ascii="Times New Roman" w:cs="Times New Roman" w:eastAsia="Times New Roman" w:hAnsi="Times New Roman"/>
          <w:sz w:val="20"/>
          <w:szCs w:val="20"/>
          <w:color w:val="1E1E1E"/>
        </w:rPr>
        <w:t>Income tax expense was $2.4 million in fiscal 2024 compared to income tax benefit of $2.9 million in fiscal 2023. Our effective tax rate related to controlling interest was (5.7%) in fiscal 2024 compared to 22.4% in fiscal 2023. The provision for fiscal 2024 reflected the establishment of a valuation allowance against the net amount of deferred tax assets as well as pre-tax loss in the current year.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Net Loss Attributable to Controlling Interest</w:t>
      </w:r>
    </w:p>
    <w:p>
      <w:pPr>
        <w:spacing w:after="0" w:line="200" w:lineRule="exact"/>
        <w:rPr>
          <w:sz w:val="20"/>
          <w:szCs w:val="20"/>
          <w:color w:val="auto"/>
        </w:rPr>
      </w:pPr>
    </w:p>
    <w:p>
      <w:pPr>
        <w:ind w:right="220" w:firstLine="490"/>
        <w:spacing w:after="0" w:line="281" w:lineRule="auto"/>
        <w:rPr>
          <w:sz w:val="20"/>
          <w:szCs w:val="20"/>
          <w:color w:val="auto"/>
        </w:rPr>
      </w:pPr>
      <w:r>
        <w:rPr>
          <w:rFonts w:ascii="Times New Roman" w:cs="Times New Roman" w:eastAsia="Times New Roman" w:hAnsi="Times New Roman"/>
          <w:sz w:val="20"/>
          <w:szCs w:val="20"/>
          <w:color w:val="1E1E1E"/>
        </w:rPr>
        <w:t>Net loss attributable to controlling interest was ($43.7) million in fiscal 2024 compared to ($9.9) million in fiscal 2023, due to the factors discussed above.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Non-GAAP Financial Measures</w:t>
      </w:r>
    </w:p>
    <w:p>
      <w:pPr>
        <w:spacing w:after="0" w:line="205" w:lineRule="exact"/>
        <w:rPr>
          <w:sz w:val="20"/>
          <w:szCs w:val="20"/>
          <w:color w:val="auto"/>
        </w:rPr>
      </w:pPr>
    </w:p>
    <w:p>
      <w:pPr>
        <w:ind w:right="80" w:firstLine="490"/>
        <w:spacing w:after="0" w:line="281" w:lineRule="auto"/>
        <w:rPr>
          <w:sz w:val="20"/>
          <w:szCs w:val="20"/>
          <w:color w:val="auto"/>
        </w:rPr>
      </w:pPr>
      <w:r>
        <w:rPr>
          <w:rFonts w:ascii="Times New Roman" w:cs="Times New Roman" w:eastAsia="Times New Roman" w:hAnsi="Times New Roman"/>
          <w:sz w:val="20"/>
          <w:szCs w:val="20"/>
          <w:color w:val="1E1E1E"/>
        </w:rPr>
        <w:t>See the above section titled “How We Assess the Performance of Our Business,” for our definition of Adjusted EBITDA and Free Cash Flow.</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Reconciliation of Net Loss to EBITDA and EBITDA to Adjusted EBITDA</w:t>
      </w:r>
    </w:p>
    <w:p>
      <w:pPr>
        <w:spacing w:after="0" w:line="205" w:lineRule="exact"/>
        <w:rPr>
          <w:sz w:val="20"/>
          <w:szCs w:val="20"/>
          <w:color w:val="auto"/>
        </w:rPr>
      </w:pPr>
    </w:p>
    <w:p>
      <w:pPr>
        <w:ind w:firstLine="490"/>
        <w:spacing w:after="0" w:line="281" w:lineRule="auto"/>
        <w:rPr>
          <w:sz w:val="20"/>
          <w:szCs w:val="20"/>
          <w:color w:val="auto"/>
        </w:rPr>
      </w:pPr>
      <w:r>
        <w:rPr>
          <w:rFonts w:ascii="Times New Roman" w:cs="Times New Roman" w:eastAsia="Times New Roman" w:hAnsi="Times New Roman"/>
          <w:sz w:val="20"/>
          <w:szCs w:val="20"/>
          <w:color w:val="1E1E1E"/>
        </w:rPr>
        <w:t>The following table represents reconciliations of net (loss) income to EBITDA and EBITDA to Adjusted EBITDA for the periods indicated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3940" w:type="dxa"/>
            <w:vAlign w:val="bottom"/>
            <w:tcBorders>
              <w:bottom w:val="single" w:sz="8" w:color="1E1E1E"/>
            </w:tcBorders>
            <w:gridSpan w:val="5"/>
          </w:tcPr>
          <w:p>
            <w:pPr>
              <w:jc w:val="right"/>
              <w:ind w:right="1361"/>
              <w:spacing w:after="0"/>
              <w:rPr>
                <w:sz w:val="20"/>
                <w:szCs w:val="20"/>
                <w:color w:val="auto"/>
              </w:rPr>
            </w:pPr>
            <w:r>
              <w:rPr>
                <w:rFonts w:ascii="Times New Roman" w:cs="Times New Roman" w:eastAsia="Times New Roman" w:hAnsi="Times New Roman"/>
                <w:sz w:val="16"/>
                <w:szCs w:val="16"/>
                <w:b w:val="1"/>
                <w:bCs w:val="1"/>
                <w:color w:val="1E1E1E"/>
              </w:rPr>
              <w:t>Fiscal Year Ended</w:t>
            </w:r>
          </w:p>
        </w:tc>
      </w:tr>
      <w:tr>
        <w:trPr>
          <w:trHeight w:val="206"/>
        </w:trPr>
        <w:tc>
          <w:tcPr>
            <w:tcW w:w="5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1720" w:type="dxa"/>
            <w:vAlign w:val="bottom"/>
            <w:tcBorders>
              <w:bottom w:val="single" w:sz="8" w:color="1E1E1E"/>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1E1E1E"/>
              </w:rPr>
              <w:t>February 2, 2025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1720" w:type="dxa"/>
            <w:vAlign w:val="bottom"/>
            <w:tcBorders>
              <w:bottom w:val="single" w:sz="8" w:color="1E1E1E"/>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1E1E1E"/>
              </w:rPr>
              <w:t>January 28, 2024</w:t>
            </w:r>
          </w:p>
        </w:tc>
      </w:tr>
      <w:tr>
        <w:trPr>
          <w:trHeight w:val="201"/>
        </w:trPr>
        <w:tc>
          <w:tcPr>
            <w:tcW w:w="606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1E1E1E"/>
              </w:rPr>
              <w:t>(in thousands)</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6"/>
        </w:trPr>
        <w:tc>
          <w:tcPr>
            <w:tcW w:w="580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Net loss</w:t>
            </w:r>
          </w:p>
        </w:tc>
        <w:tc>
          <w:tcPr>
            <w:tcW w:w="2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40" w:type="dxa"/>
            <w:vAlign w:val="bottom"/>
            <w:shd w:val="clear" w:color="auto" w:fill="E2E2E2"/>
          </w:tcPr>
          <w:p>
            <w:pPr>
              <w:jc w:val="right"/>
              <w:ind w:right="39"/>
              <w:spacing w:after="0" w:line="226" w:lineRule="exact"/>
              <w:rPr>
                <w:sz w:val="20"/>
                <w:szCs w:val="20"/>
                <w:color w:val="auto"/>
              </w:rPr>
            </w:pPr>
            <w:r>
              <w:rPr>
                <w:rFonts w:ascii="Times New Roman" w:cs="Times New Roman" w:eastAsia="Times New Roman" w:hAnsi="Times New Roman"/>
                <w:sz w:val="20"/>
                <w:szCs w:val="20"/>
                <w:color w:val="1E1E1E"/>
                <w:w w:val="79"/>
              </w:rPr>
              <w:t>$</w:t>
            </w:r>
          </w:p>
        </w:tc>
        <w:tc>
          <w:tcPr>
            <w:tcW w:w="172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(43,612)</w:t>
            </w:r>
          </w:p>
        </w:tc>
        <w:tc>
          <w:tcPr>
            <w:tcW w:w="2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40" w:type="dxa"/>
            <w:vAlign w:val="bottom"/>
            <w:shd w:val="clear" w:color="auto" w:fill="E2E2E2"/>
          </w:tcPr>
          <w:p>
            <w:pPr>
              <w:jc w:val="right"/>
              <w:ind w:right="39"/>
              <w:spacing w:after="0" w:line="226" w:lineRule="exact"/>
              <w:rPr>
                <w:sz w:val="20"/>
                <w:szCs w:val="20"/>
                <w:color w:val="auto"/>
              </w:rPr>
            </w:pPr>
            <w:r>
              <w:rPr>
                <w:rFonts w:ascii="Times New Roman" w:cs="Times New Roman" w:eastAsia="Times New Roman" w:hAnsi="Times New Roman"/>
                <w:sz w:val="20"/>
                <w:szCs w:val="20"/>
                <w:color w:val="1E1E1E"/>
                <w:w w:val="79"/>
              </w:rPr>
              <w:t>$</w:t>
            </w:r>
          </w:p>
        </w:tc>
        <w:tc>
          <w:tcPr>
            <w:tcW w:w="172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(9,940)</w:t>
            </w:r>
          </w:p>
        </w:tc>
      </w:tr>
      <w:tr>
        <w:trPr>
          <w:trHeight w:val="226"/>
        </w:trPr>
        <w:tc>
          <w:tcPr>
            <w:tcW w:w="580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1E1E1E"/>
              </w:rPr>
              <w:t>Depreciation and amortization</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31,133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32,159</w:t>
            </w:r>
          </w:p>
        </w:tc>
      </w:tr>
      <w:tr>
        <w:trPr>
          <w:trHeight w:val="256"/>
        </w:trPr>
        <w:tc>
          <w:tcPr>
            <w:tcW w:w="6060" w:type="dxa"/>
            <w:vAlign w:val="bottom"/>
            <w:gridSpan w:val="3"/>
            <w:shd w:val="clear" w:color="auto" w:fill="E2E2E2"/>
          </w:tcPr>
          <w:p>
            <w:pPr>
              <w:ind w:left="120"/>
              <w:spacing w:after="0"/>
              <w:rPr>
                <w:sz w:val="20"/>
                <w:szCs w:val="20"/>
                <w:color w:val="auto"/>
              </w:rPr>
            </w:pPr>
            <w:r>
              <w:rPr>
                <w:rFonts w:ascii="Times New Roman" w:cs="Times New Roman" w:eastAsia="Times New Roman" w:hAnsi="Times New Roman"/>
                <w:sz w:val="20"/>
                <w:szCs w:val="20"/>
                <w:color w:val="1E1E1E"/>
              </w:rPr>
              <w:t>Amortization of internal-use software hosting</w:t>
            </w:r>
          </w:p>
        </w:tc>
        <w:tc>
          <w:tcPr>
            <w:tcW w:w="240" w:type="dxa"/>
            <w:vAlign w:val="bottom"/>
            <w:shd w:val="clear" w:color="auto" w:fill="E2E2E2"/>
          </w:tcPr>
          <w:p>
            <w:pPr>
              <w:spacing w:after="0"/>
              <w:rPr>
                <w:sz w:val="22"/>
                <w:szCs w:val="22"/>
                <w:color w:val="auto"/>
              </w:rPr>
            </w:pPr>
          </w:p>
        </w:tc>
        <w:tc>
          <w:tcPr>
            <w:tcW w:w="1720" w:type="dxa"/>
            <w:vAlign w:val="bottom"/>
            <w:shd w:val="clear" w:color="auto" w:fill="E2E2E2"/>
          </w:tcPr>
          <w:p>
            <w:pPr>
              <w:spacing w:after="0"/>
              <w:rPr>
                <w:sz w:val="22"/>
                <w:szCs w:val="22"/>
                <w:color w:val="auto"/>
              </w:rPr>
            </w:pPr>
          </w:p>
        </w:tc>
        <w:tc>
          <w:tcPr>
            <w:tcW w:w="24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40" w:type="dxa"/>
            <w:vAlign w:val="bottom"/>
            <w:shd w:val="clear" w:color="auto" w:fill="E2E2E2"/>
          </w:tcPr>
          <w:p>
            <w:pPr>
              <w:spacing w:after="0"/>
              <w:rPr>
                <w:sz w:val="22"/>
                <w:szCs w:val="22"/>
                <w:color w:val="auto"/>
              </w:rPr>
            </w:pPr>
          </w:p>
        </w:tc>
        <w:tc>
          <w:tcPr>
            <w:tcW w:w="1720" w:type="dxa"/>
            <w:vAlign w:val="bottom"/>
            <w:shd w:val="clear" w:color="auto" w:fill="E2E2E2"/>
          </w:tcPr>
          <w:p>
            <w:pPr>
              <w:spacing w:after="0"/>
              <w:rPr>
                <w:sz w:val="22"/>
                <w:szCs w:val="22"/>
                <w:color w:val="auto"/>
              </w:rPr>
            </w:pPr>
          </w:p>
        </w:tc>
      </w:tr>
      <w:tr>
        <w:trPr>
          <w:trHeight w:val="253"/>
        </w:trPr>
        <w:tc>
          <w:tcPr>
            <w:tcW w:w="580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20"/>
                <w:szCs w:val="20"/>
                <w:color w:val="1E1E1E"/>
              </w:rPr>
              <w:t>subscription implementation costs</w:t>
            </w:r>
          </w:p>
        </w:tc>
        <w:tc>
          <w:tcPr>
            <w:tcW w:w="24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1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5,281</w:t>
            </w:r>
          </w:p>
        </w:tc>
        <w:tc>
          <w:tcPr>
            <w:tcW w:w="24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240" w:type="dxa"/>
            <w:vAlign w:val="bottom"/>
            <w:shd w:val="clear" w:color="auto" w:fill="E2E2E2"/>
          </w:tcPr>
          <w:p>
            <w:pPr>
              <w:spacing w:after="0"/>
              <w:rPr>
                <w:sz w:val="21"/>
                <w:szCs w:val="21"/>
                <w:color w:val="auto"/>
              </w:rPr>
            </w:pPr>
          </w:p>
        </w:tc>
        <w:tc>
          <w:tcPr>
            <w:tcW w:w="1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4,961</w:t>
            </w:r>
          </w:p>
        </w:tc>
      </w:tr>
      <w:tr>
        <w:trPr>
          <w:trHeight w:val="226"/>
        </w:trPr>
        <w:tc>
          <w:tcPr>
            <w:tcW w:w="6060" w:type="dxa"/>
            <w:vAlign w:val="bottom"/>
            <w:gridSpan w:val="3"/>
          </w:tcPr>
          <w:p>
            <w:pPr>
              <w:ind w:left="120"/>
              <w:spacing w:after="0" w:line="226" w:lineRule="exact"/>
              <w:rPr>
                <w:sz w:val="20"/>
                <w:szCs w:val="20"/>
                <w:color w:val="auto"/>
              </w:rPr>
            </w:pPr>
            <w:r>
              <w:rPr>
                <w:rFonts w:ascii="Times New Roman" w:cs="Times New Roman" w:eastAsia="Times New Roman" w:hAnsi="Times New Roman"/>
                <w:sz w:val="20"/>
                <w:szCs w:val="20"/>
                <w:color w:val="1E1E1E"/>
              </w:rPr>
              <w:t>Interest expense</w:t>
            </w:r>
          </w:p>
        </w:tc>
        <w:tc>
          <w:tcPr>
            <w:tcW w:w="240" w:type="dxa"/>
            <w:vAlign w:val="bottom"/>
          </w:tcPr>
          <w:p>
            <w:pPr>
              <w:spacing w:after="0"/>
              <w:rPr>
                <w:sz w:val="19"/>
                <w:szCs w:val="19"/>
                <w:color w:val="auto"/>
              </w:rPr>
            </w:pPr>
          </w:p>
        </w:tc>
        <w:tc>
          <w:tcPr>
            <w:tcW w:w="17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4,554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4,156</w:t>
            </w:r>
          </w:p>
        </w:tc>
      </w:tr>
      <w:tr>
        <w:trPr>
          <w:trHeight w:val="226"/>
        </w:trPr>
        <w:tc>
          <w:tcPr>
            <w:tcW w:w="5800" w:type="dxa"/>
            <w:vAlign w:val="bottom"/>
            <w:shd w:val="clear" w:color="auto" w:fill="E2E2E2"/>
          </w:tcPr>
          <w:p>
            <w:pPr>
              <w:ind w:left="120"/>
              <w:spacing w:after="0" w:line="226" w:lineRule="exact"/>
              <w:rPr>
                <w:sz w:val="20"/>
                <w:szCs w:val="20"/>
                <w:color w:val="auto"/>
              </w:rPr>
            </w:pPr>
            <w:r>
              <w:rPr>
                <w:rFonts w:ascii="Times New Roman" w:cs="Times New Roman" w:eastAsia="Times New Roman" w:hAnsi="Times New Roman"/>
                <w:sz w:val="20"/>
                <w:szCs w:val="20"/>
                <w:color w:val="1E1E1E"/>
              </w:rPr>
              <w:t>Income tax (benefit) expense</w:t>
            </w:r>
          </w:p>
        </w:tc>
        <w:tc>
          <w:tcPr>
            <w:tcW w:w="2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40" w:type="dxa"/>
            <w:vAlign w:val="bottom"/>
            <w:tcBorders>
              <w:bottom w:val="single" w:sz="8" w:color="1E1E1E"/>
            </w:tcBorders>
            <w:shd w:val="clear" w:color="auto" w:fill="E2E2E2"/>
          </w:tcPr>
          <w:p>
            <w:pPr>
              <w:spacing w:after="0"/>
              <w:rPr>
                <w:sz w:val="19"/>
                <w:szCs w:val="19"/>
                <w:color w:val="auto"/>
              </w:rPr>
            </w:pPr>
          </w:p>
        </w:tc>
        <w:tc>
          <w:tcPr>
            <w:tcW w:w="1720" w:type="dxa"/>
            <w:vAlign w:val="bottom"/>
            <w:tcBorders>
              <w:bottom w:val="single" w:sz="8" w:color="1E1E1E"/>
            </w:tcBorders>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2,370</w:t>
            </w:r>
          </w:p>
        </w:tc>
        <w:tc>
          <w:tcPr>
            <w:tcW w:w="2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40" w:type="dxa"/>
            <w:vAlign w:val="bottom"/>
            <w:tcBorders>
              <w:bottom w:val="single" w:sz="8" w:color="1E1E1E"/>
            </w:tcBorders>
            <w:shd w:val="clear" w:color="auto" w:fill="E2E2E2"/>
          </w:tcPr>
          <w:p>
            <w:pPr>
              <w:spacing w:after="0"/>
              <w:rPr>
                <w:sz w:val="19"/>
                <w:szCs w:val="19"/>
                <w:color w:val="auto"/>
              </w:rPr>
            </w:pPr>
          </w:p>
        </w:tc>
        <w:tc>
          <w:tcPr>
            <w:tcW w:w="1720" w:type="dxa"/>
            <w:vAlign w:val="bottom"/>
            <w:tcBorders>
              <w:bottom w:val="single" w:sz="8" w:color="1E1E1E"/>
            </w:tcBorders>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(2,862)</w:t>
            </w:r>
          </w:p>
        </w:tc>
      </w:tr>
      <w:tr>
        <w:trPr>
          <w:trHeight w:val="206"/>
        </w:trPr>
        <w:tc>
          <w:tcPr>
            <w:tcW w:w="5800" w:type="dxa"/>
            <w:vAlign w:val="bottom"/>
          </w:tcPr>
          <w:p>
            <w:pPr>
              <w:spacing w:after="0" w:line="206" w:lineRule="exact"/>
              <w:rPr>
                <w:sz w:val="20"/>
                <w:szCs w:val="20"/>
                <w:color w:val="auto"/>
              </w:rPr>
            </w:pPr>
            <w:r>
              <w:rPr>
                <w:rFonts w:ascii="Times New Roman" w:cs="Times New Roman" w:eastAsia="Times New Roman" w:hAnsi="Times New Roman"/>
                <w:sz w:val="20"/>
                <w:szCs w:val="20"/>
                <w:color w:val="1E1E1E"/>
              </w:rPr>
              <w:t>EBITDA (non-GAAP)</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1E1E1E"/>
              </w:rPr>
              <w:t>(274)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1E1E1E"/>
              </w:rPr>
              <w:t>28,474</w:t>
            </w:r>
          </w:p>
        </w:tc>
      </w:tr>
      <w:tr>
        <w:trPr>
          <w:trHeight w:val="226"/>
        </w:trPr>
        <w:tc>
          <w:tcPr>
            <w:tcW w:w="6060" w:type="dxa"/>
            <w:vAlign w:val="bottom"/>
            <w:gridSpan w:val="3"/>
            <w:shd w:val="clear" w:color="auto" w:fill="E2E2E2"/>
          </w:tcPr>
          <w:p>
            <w:pPr>
              <w:ind w:left="120"/>
              <w:spacing w:after="0" w:line="226" w:lineRule="exact"/>
              <w:rPr>
                <w:sz w:val="20"/>
                <w:szCs w:val="20"/>
                <w:color w:val="auto"/>
              </w:rPr>
            </w:pPr>
            <w:r>
              <w:rPr>
                <w:rFonts w:ascii="Times New Roman" w:cs="Times New Roman" w:eastAsia="Times New Roman" w:hAnsi="Times New Roman"/>
                <w:sz w:val="20"/>
                <w:szCs w:val="20"/>
                <w:color w:val="1E1E1E"/>
              </w:rPr>
              <w:t>Long-term incentive expense</w:t>
            </w:r>
          </w:p>
        </w:tc>
        <w:tc>
          <w:tcPr>
            <w:tcW w:w="240" w:type="dxa"/>
            <w:vAlign w:val="bottom"/>
            <w:shd w:val="clear" w:color="auto" w:fill="E2E2E2"/>
          </w:tcPr>
          <w:p>
            <w:pPr>
              <w:spacing w:after="0"/>
              <w:rPr>
                <w:sz w:val="19"/>
                <w:szCs w:val="19"/>
                <w:color w:val="auto"/>
              </w:rPr>
            </w:pPr>
          </w:p>
        </w:tc>
        <w:tc>
          <w:tcPr>
            <w:tcW w:w="172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4,152</w:t>
            </w:r>
          </w:p>
        </w:tc>
        <w:tc>
          <w:tcPr>
            <w:tcW w:w="2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172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4,195</w:t>
            </w:r>
          </w:p>
        </w:tc>
      </w:tr>
      <w:tr>
        <w:trPr>
          <w:trHeight w:val="226"/>
        </w:trPr>
        <w:tc>
          <w:tcPr>
            <w:tcW w:w="6060" w:type="dxa"/>
            <w:vAlign w:val="bottom"/>
            <w:gridSpan w:val="3"/>
          </w:tcPr>
          <w:p>
            <w:pPr>
              <w:ind w:left="120"/>
              <w:spacing w:after="0" w:line="226" w:lineRule="exact"/>
              <w:rPr>
                <w:sz w:val="20"/>
                <w:szCs w:val="20"/>
                <w:color w:val="auto"/>
              </w:rPr>
            </w:pPr>
            <w:r>
              <w:rPr>
                <w:rFonts w:ascii="Times New Roman" w:cs="Times New Roman" w:eastAsia="Times New Roman" w:hAnsi="Times New Roman"/>
                <w:sz w:val="20"/>
                <w:szCs w:val="20"/>
                <w:color w:val="1E1E1E"/>
              </w:rPr>
              <w:t>Restructuring expense</w:t>
            </w:r>
          </w:p>
        </w:tc>
        <w:tc>
          <w:tcPr>
            <w:tcW w:w="240" w:type="dxa"/>
            <w:vAlign w:val="bottom"/>
          </w:tcPr>
          <w:p>
            <w:pPr>
              <w:spacing w:after="0"/>
              <w:rPr>
                <w:sz w:val="19"/>
                <w:szCs w:val="19"/>
                <w:color w:val="auto"/>
              </w:rPr>
            </w:pPr>
          </w:p>
        </w:tc>
        <w:tc>
          <w:tcPr>
            <w:tcW w:w="17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7,748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w:t>
            </w:r>
          </w:p>
        </w:tc>
      </w:tr>
      <w:tr>
        <w:trPr>
          <w:trHeight w:val="298"/>
        </w:trPr>
        <w:tc>
          <w:tcPr>
            <w:tcW w:w="580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20"/>
                <w:szCs w:val="20"/>
                <w:color w:val="1E1E1E"/>
              </w:rPr>
              <w:t>Impairment expense</w:t>
            </w:r>
          </w:p>
        </w:tc>
        <w:tc>
          <w:tcPr>
            <w:tcW w:w="2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240" w:type="dxa"/>
            <w:vAlign w:val="bottom"/>
            <w:tcBorders>
              <w:bottom w:val="single" w:sz="8" w:color="1E1E1E"/>
            </w:tcBorders>
            <w:shd w:val="clear" w:color="auto" w:fill="E2E2E2"/>
          </w:tcPr>
          <w:p>
            <w:pPr>
              <w:spacing w:after="0"/>
              <w:rPr>
                <w:sz w:val="24"/>
                <w:szCs w:val="24"/>
                <w:color w:val="auto"/>
              </w:rPr>
            </w:pPr>
          </w:p>
        </w:tc>
        <w:tc>
          <w:tcPr>
            <w:tcW w:w="17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2,998</w:t>
            </w:r>
          </w:p>
        </w:tc>
        <w:tc>
          <w:tcPr>
            <w:tcW w:w="2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240" w:type="dxa"/>
            <w:vAlign w:val="bottom"/>
            <w:tcBorders>
              <w:bottom w:val="single" w:sz="8" w:color="1E1E1E"/>
            </w:tcBorders>
            <w:shd w:val="clear" w:color="auto" w:fill="E2E2E2"/>
          </w:tcPr>
          <w:p>
            <w:pPr>
              <w:spacing w:after="0"/>
              <w:rPr>
                <w:sz w:val="24"/>
                <w:szCs w:val="24"/>
                <w:color w:val="auto"/>
              </w:rPr>
            </w:pPr>
          </w:p>
        </w:tc>
        <w:tc>
          <w:tcPr>
            <w:tcW w:w="17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91"/>
        </w:trPr>
        <w:tc>
          <w:tcPr>
            <w:tcW w:w="60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Adjusted EBITDA (non-GAAP)</w:t>
            </w:r>
          </w:p>
        </w:tc>
        <w:tc>
          <w:tcPr>
            <w:tcW w:w="20" w:type="dxa"/>
            <w:vAlign w:val="bottom"/>
            <w:tcBorders>
              <w:bottom w:val="single" w:sz="8" w:color="1E1E1E"/>
            </w:tcBorders>
          </w:tcPr>
          <w:p>
            <w:pPr>
              <w:spacing w:after="0"/>
              <w:rPr>
                <w:sz w:val="24"/>
                <w:szCs w:val="24"/>
                <w:color w:val="auto"/>
              </w:rPr>
            </w:pPr>
          </w:p>
        </w:tc>
        <w:tc>
          <w:tcPr>
            <w:tcW w:w="240" w:type="dxa"/>
            <w:vAlign w:val="bottom"/>
            <w:tcBorders>
              <w:bottom w:val="single" w:sz="8" w:color="1E1E1E"/>
            </w:tcBorders>
          </w:tcPr>
          <w:p>
            <w:pPr>
              <w:jc w:val="right"/>
              <w:ind w:right="39"/>
              <w:spacing w:after="0"/>
              <w:rPr>
                <w:sz w:val="20"/>
                <w:szCs w:val="20"/>
                <w:color w:val="auto"/>
              </w:rPr>
            </w:pPr>
            <w:r>
              <w:rPr>
                <w:rFonts w:ascii="Times New Roman" w:cs="Times New Roman" w:eastAsia="Times New Roman" w:hAnsi="Times New Roman"/>
                <w:sz w:val="20"/>
                <w:szCs w:val="20"/>
                <w:color w:val="1E1E1E"/>
                <w:w w:val="79"/>
              </w:rPr>
              <w:t>$</w:t>
            </w:r>
          </w:p>
        </w:tc>
        <w:tc>
          <w:tcPr>
            <w:tcW w:w="17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14,624</w:t>
            </w:r>
          </w:p>
        </w:tc>
        <w:tc>
          <w:tcPr>
            <w:tcW w:w="240" w:type="dxa"/>
            <w:vAlign w:val="bottom"/>
          </w:tcPr>
          <w:p>
            <w:pPr>
              <w:spacing w:after="0"/>
              <w:rPr>
                <w:sz w:val="24"/>
                <w:szCs w:val="24"/>
                <w:color w:val="auto"/>
              </w:rPr>
            </w:pPr>
          </w:p>
        </w:tc>
        <w:tc>
          <w:tcPr>
            <w:tcW w:w="260" w:type="dxa"/>
            <w:vAlign w:val="bottom"/>
            <w:tcBorders>
              <w:bottom w:val="single" w:sz="8" w:color="1E1E1E"/>
            </w:tcBorders>
            <w:gridSpan w:val="2"/>
          </w:tcPr>
          <w:p>
            <w:pPr>
              <w:jc w:val="right"/>
              <w:ind w:right="39"/>
              <w:spacing w:after="0"/>
              <w:rPr>
                <w:sz w:val="20"/>
                <w:szCs w:val="20"/>
                <w:color w:val="auto"/>
              </w:rPr>
            </w:pPr>
            <w:r>
              <w:rPr>
                <w:rFonts w:ascii="Times New Roman" w:cs="Times New Roman" w:eastAsia="Times New Roman" w:hAnsi="Times New Roman"/>
                <w:sz w:val="20"/>
                <w:szCs w:val="20"/>
                <w:color w:val="1E1E1E"/>
                <w:w w:val="99"/>
              </w:rPr>
              <w:t>$</w:t>
            </w:r>
          </w:p>
        </w:tc>
        <w:tc>
          <w:tcPr>
            <w:tcW w:w="17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32,669</w:t>
            </w:r>
          </w:p>
        </w:tc>
      </w:tr>
    </w:tbl>
    <w:p>
      <w:pPr>
        <w:spacing w:after="0" w:line="208" w:lineRule="exact"/>
        <w:rPr>
          <w:sz w:val="20"/>
          <w:szCs w:val="20"/>
          <w:color w:val="auto"/>
        </w:rPr>
      </w:pPr>
    </w:p>
    <w:p>
      <w:pPr>
        <w:ind w:right="440" w:firstLine="490"/>
        <w:spacing w:after="0" w:line="261" w:lineRule="auto"/>
        <w:rPr>
          <w:sz w:val="20"/>
          <w:szCs w:val="20"/>
          <w:color w:val="auto"/>
        </w:rPr>
      </w:pPr>
      <w:r>
        <w:rPr>
          <w:rFonts w:ascii="Times New Roman" w:cs="Times New Roman" w:eastAsia="Times New Roman" w:hAnsi="Times New Roman"/>
          <w:sz w:val="20"/>
          <w:szCs w:val="20"/>
          <w:color w:val="1E1E1E"/>
        </w:rPr>
        <w:t>As a result of the factors discussed above in the “Results of Operations” section, Adjusted EBITDA decreased $18.0 million to $14.6 million in fiscal 2024 compared to $32.7 million in fiscal 2023. As a percentage of net sales, Adjusted EBITDA decreased to 2.3% of net sales in fiscal 2024 compared to 5.1% of net sales in fiscal 2023.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Free Cash Flow</w:t>
      </w:r>
    </w:p>
    <w:p>
      <w:pPr>
        <w:spacing w:after="0" w:line="2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E1E1E"/>
        </w:rPr>
        <w:t>The following table represents a reconciliation of Net cash provided by operating activities, the most comparable U.S.</w:t>
      </w:r>
    </w:p>
    <w:p>
      <w:pPr>
        <w:spacing w:after="0"/>
        <w:rPr>
          <w:sz w:val="20"/>
          <w:szCs w:val="20"/>
          <w:color w:val="auto"/>
        </w:rPr>
      </w:pPr>
      <w:r>
        <w:rPr>
          <w:rFonts w:ascii="Times New Roman" w:cs="Times New Roman" w:eastAsia="Times New Roman" w:hAnsi="Times New Roman"/>
          <w:sz w:val="20"/>
          <w:szCs w:val="20"/>
          <w:color w:val="1E1E1E"/>
        </w:rPr>
        <w:t>GAAP financial measure, to free cash flow.</w:t>
      </w:r>
    </w:p>
    <w:p>
      <w:pPr>
        <w:sectPr>
          <w:pgSz w:w="11880" w:h="15480" w:orient="portrait"/>
          <w:cols w:equalWidth="0" w:num="1">
            <w:col w:w="10240"/>
          </w:cols>
          <w:pgMar w:left="820" w:top="879" w:right="820" w:bottom="0" w:gutter="0" w:footer="0" w:header="0"/>
        </w:sect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32</w:t>
      </w:r>
    </w:p>
    <w:p>
      <w:pPr>
        <w:sectPr>
          <w:pgSz w:w="11880" w:h="15480" w:orient="portrait"/>
          <w:cols w:equalWidth="0" w:num="1">
            <w:col w:w="10240"/>
          </w:cols>
          <w:pgMar w:left="820" w:top="879" w:right="820" w:bottom="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01"/>
        </w:trPr>
        <w:tc>
          <w:tcPr>
            <w:tcW w:w="5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3920" w:type="dxa"/>
            <w:vAlign w:val="bottom"/>
            <w:tcBorders>
              <w:bottom w:val="single" w:sz="8" w:color="1E1E1E"/>
            </w:tcBorders>
            <w:gridSpan w:val="5"/>
          </w:tcPr>
          <w:p>
            <w:pPr>
              <w:jc w:val="right"/>
              <w:ind w:right="1365"/>
              <w:spacing w:after="0"/>
              <w:rPr>
                <w:sz w:val="20"/>
                <w:szCs w:val="20"/>
                <w:color w:val="auto"/>
              </w:rPr>
            </w:pPr>
            <w:r>
              <w:rPr>
                <w:rFonts w:ascii="Times New Roman" w:cs="Times New Roman" w:eastAsia="Times New Roman" w:hAnsi="Times New Roman"/>
                <w:sz w:val="16"/>
                <w:szCs w:val="16"/>
                <w:b w:val="1"/>
                <w:bCs w:val="1"/>
                <w:color w:val="1E1E1E"/>
              </w:rPr>
              <w:t>Fiscal Year Ended</w:t>
            </w:r>
          </w:p>
        </w:tc>
      </w:tr>
      <w:tr>
        <w:trPr>
          <w:trHeight w:val="220"/>
        </w:trPr>
        <w:tc>
          <w:tcPr>
            <w:tcW w:w="5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1E1E1E"/>
            </w:tcBorders>
          </w:tcPr>
          <w:p>
            <w:pPr>
              <w:spacing w:after="0"/>
              <w:rPr>
                <w:sz w:val="19"/>
                <w:szCs w:val="19"/>
                <w:color w:val="auto"/>
              </w:rPr>
            </w:pPr>
          </w:p>
        </w:tc>
        <w:tc>
          <w:tcPr>
            <w:tcW w:w="1700" w:type="dxa"/>
            <w:vAlign w:val="bottom"/>
            <w:tcBorders>
              <w:bottom w:val="single" w:sz="8" w:color="1E1E1E"/>
            </w:tcBorders>
          </w:tcPr>
          <w:p>
            <w:pPr>
              <w:jc w:val="right"/>
              <w:ind w:right="308"/>
              <w:spacing w:after="0"/>
              <w:rPr>
                <w:sz w:val="20"/>
                <w:szCs w:val="20"/>
                <w:color w:val="auto"/>
              </w:rPr>
            </w:pPr>
            <w:r>
              <w:rPr>
                <w:rFonts w:ascii="Times New Roman" w:cs="Times New Roman" w:eastAsia="Times New Roman" w:hAnsi="Times New Roman"/>
                <w:sz w:val="16"/>
                <w:szCs w:val="16"/>
                <w:b w:val="1"/>
                <w:bCs w:val="1"/>
                <w:color w:val="1E1E1E"/>
              </w:rPr>
              <w:t>February 2, 2025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1E1E1E"/>
            </w:tcBorders>
          </w:tcPr>
          <w:p>
            <w:pPr>
              <w:spacing w:after="0"/>
              <w:rPr>
                <w:sz w:val="19"/>
                <w:szCs w:val="19"/>
                <w:color w:val="auto"/>
              </w:rPr>
            </w:pPr>
          </w:p>
        </w:tc>
        <w:tc>
          <w:tcPr>
            <w:tcW w:w="1720" w:type="dxa"/>
            <w:vAlign w:val="bottom"/>
            <w:tcBorders>
              <w:bottom w:val="single" w:sz="8" w:color="1E1E1E"/>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1E1E1E"/>
              </w:rPr>
              <w:t>January 28, 2024</w:t>
            </w:r>
          </w:p>
        </w:tc>
      </w:tr>
      <w:tr>
        <w:trPr>
          <w:trHeight w:val="220"/>
        </w:trPr>
        <w:tc>
          <w:tcPr>
            <w:tcW w:w="606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1E1E1E"/>
              </w:rPr>
              <w:t>(in thousands)</w:t>
            </w: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98"/>
        </w:trPr>
        <w:tc>
          <w:tcPr>
            <w:tcW w:w="58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Net cash (used in) provided by operating activities</w:t>
            </w:r>
          </w:p>
        </w:tc>
        <w:tc>
          <w:tcPr>
            <w:tcW w:w="2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260" w:type="dxa"/>
            <w:vAlign w:val="bottom"/>
            <w:shd w:val="clear" w:color="auto" w:fill="E2E2E2"/>
          </w:tcPr>
          <w:p>
            <w:pPr>
              <w:jc w:val="right"/>
              <w:ind w:right="59"/>
              <w:spacing w:after="0"/>
              <w:rPr>
                <w:sz w:val="20"/>
                <w:szCs w:val="20"/>
                <w:color w:val="auto"/>
              </w:rPr>
            </w:pPr>
            <w:r>
              <w:rPr>
                <w:rFonts w:ascii="Times New Roman" w:cs="Times New Roman" w:eastAsia="Times New Roman" w:hAnsi="Times New Roman"/>
                <w:sz w:val="20"/>
                <w:szCs w:val="20"/>
                <w:color w:val="1E1E1E"/>
                <w:w w:val="79"/>
              </w:rPr>
              <w:t>$</w:t>
            </w:r>
          </w:p>
        </w:tc>
        <w:tc>
          <w:tcPr>
            <w:tcW w:w="1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(16,917)</w:t>
            </w:r>
          </w:p>
        </w:tc>
        <w:tc>
          <w:tcPr>
            <w:tcW w:w="2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240" w:type="dxa"/>
            <w:vAlign w:val="bottom"/>
            <w:shd w:val="clear" w:color="auto" w:fill="E2E2E2"/>
          </w:tcPr>
          <w:p>
            <w:pPr>
              <w:jc w:val="right"/>
              <w:ind w:right="39"/>
              <w:spacing w:after="0"/>
              <w:rPr>
                <w:sz w:val="20"/>
                <w:szCs w:val="20"/>
                <w:color w:val="auto"/>
              </w:rPr>
            </w:pPr>
            <w:r>
              <w:rPr>
                <w:rFonts w:ascii="Times New Roman" w:cs="Times New Roman" w:eastAsia="Times New Roman" w:hAnsi="Times New Roman"/>
                <w:sz w:val="20"/>
                <w:szCs w:val="20"/>
                <w:color w:val="1E1E1E"/>
                <w:w w:val="79"/>
              </w:rPr>
              <w:t>$</w:t>
            </w:r>
          </w:p>
        </w:tc>
        <w:tc>
          <w:tcPr>
            <w:tcW w:w="1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38,673</w:t>
            </w:r>
          </w:p>
        </w:tc>
      </w:tr>
      <w:tr>
        <w:trPr>
          <w:trHeight w:val="240"/>
        </w:trPr>
        <w:tc>
          <w:tcPr>
            <w:tcW w:w="5800" w:type="dxa"/>
            <w:vAlign w:val="bottom"/>
            <w:tcBorders>
              <w:bottom w:val="single" w:sz="8" w:color="E2E2E2"/>
            </w:tcBorders>
          </w:tcPr>
          <w:p>
            <w:pPr>
              <w:ind w:left="120"/>
              <w:spacing w:after="0"/>
              <w:rPr>
                <w:sz w:val="20"/>
                <w:szCs w:val="20"/>
                <w:color w:val="auto"/>
              </w:rPr>
            </w:pPr>
            <w:r>
              <w:rPr>
                <w:rFonts w:ascii="Times New Roman" w:cs="Times New Roman" w:eastAsia="Times New Roman" w:hAnsi="Times New Roman"/>
                <w:sz w:val="20"/>
                <w:szCs w:val="20"/>
                <w:color w:val="1E1E1E"/>
              </w:rPr>
              <w:t>Purchases of property and equipment</w:t>
            </w:r>
          </w:p>
        </w:tc>
        <w:tc>
          <w:tcPr>
            <w:tcW w:w="240" w:type="dxa"/>
            <w:vAlign w:val="bottom"/>
            <w:tcBorders>
              <w:bottom w:val="single" w:sz="8" w:color="E2E2E2"/>
            </w:tcBorders>
          </w:tcPr>
          <w:p>
            <w:pPr>
              <w:spacing w:after="0"/>
              <w:rPr>
                <w:sz w:val="20"/>
                <w:szCs w:val="20"/>
                <w:color w:val="auto"/>
              </w:rPr>
            </w:pPr>
          </w:p>
        </w:tc>
        <w:tc>
          <w:tcPr>
            <w:tcW w:w="20" w:type="dxa"/>
            <w:vAlign w:val="bottom"/>
            <w:tcBorders>
              <w:bottom w:val="single" w:sz="8" w:color="E2E2E2"/>
            </w:tcBorders>
          </w:tcPr>
          <w:p>
            <w:pPr>
              <w:spacing w:after="0"/>
              <w:rPr>
                <w:sz w:val="20"/>
                <w:szCs w:val="20"/>
                <w:color w:val="auto"/>
              </w:rPr>
            </w:pPr>
          </w:p>
        </w:tc>
        <w:tc>
          <w:tcPr>
            <w:tcW w:w="260" w:type="dxa"/>
            <w:vAlign w:val="bottom"/>
            <w:tcBorders>
              <w:bottom w:val="single" w:sz="8" w:color="1E1E1E"/>
            </w:tcBorders>
          </w:tcPr>
          <w:p>
            <w:pPr>
              <w:spacing w:after="0"/>
              <w:rPr>
                <w:sz w:val="20"/>
                <w:szCs w:val="20"/>
                <w:color w:val="auto"/>
              </w:rPr>
            </w:pPr>
          </w:p>
        </w:tc>
        <w:tc>
          <w:tcPr>
            <w:tcW w:w="17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(8,329)</w:t>
            </w:r>
          </w:p>
        </w:tc>
        <w:tc>
          <w:tcPr>
            <w:tcW w:w="240" w:type="dxa"/>
            <w:vAlign w:val="bottom"/>
            <w:tcBorders>
              <w:bottom w:val="single" w:sz="8" w:color="E2E2E2"/>
            </w:tcBorders>
          </w:tcPr>
          <w:p>
            <w:pPr>
              <w:spacing w:after="0"/>
              <w:rPr>
                <w:sz w:val="20"/>
                <w:szCs w:val="20"/>
                <w:color w:val="auto"/>
              </w:rPr>
            </w:pPr>
          </w:p>
        </w:tc>
        <w:tc>
          <w:tcPr>
            <w:tcW w:w="20" w:type="dxa"/>
            <w:vAlign w:val="bottom"/>
            <w:tcBorders>
              <w:bottom w:val="single" w:sz="8" w:color="E2E2E2"/>
            </w:tcBorders>
          </w:tcPr>
          <w:p>
            <w:pPr>
              <w:spacing w:after="0"/>
              <w:rPr>
                <w:sz w:val="20"/>
                <w:szCs w:val="20"/>
                <w:color w:val="auto"/>
              </w:rPr>
            </w:pPr>
          </w:p>
        </w:tc>
        <w:tc>
          <w:tcPr>
            <w:tcW w:w="240" w:type="dxa"/>
            <w:vAlign w:val="bottom"/>
            <w:tcBorders>
              <w:bottom w:val="single" w:sz="8" w:color="1E1E1E"/>
            </w:tcBorders>
          </w:tcPr>
          <w:p>
            <w:pPr>
              <w:spacing w:after="0"/>
              <w:rPr>
                <w:sz w:val="20"/>
                <w:szCs w:val="20"/>
                <w:color w:val="auto"/>
              </w:rPr>
            </w:pPr>
          </w:p>
        </w:tc>
        <w:tc>
          <w:tcPr>
            <w:tcW w:w="17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(49,086)</w:t>
            </w:r>
          </w:p>
        </w:tc>
      </w:tr>
      <w:tr>
        <w:trPr>
          <w:trHeight w:val="291"/>
        </w:trPr>
        <w:tc>
          <w:tcPr>
            <w:tcW w:w="58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Free Cash Flow (non-GAAP)</w:t>
            </w:r>
          </w:p>
        </w:tc>
        <w:tc>
          <w:tcPr>
            <w:tcW w:w="240" w:type="dxa"/>
            <w:vAlign w:val="bottom"/>
            <w:shd w:val="clear" w:color="auto" w:fill="E2E2E2"/>
          </w:tcPr>
          <w:p>
            <w:pPr>
              <w:spacing w:after="0"/>
              <w:rPr>
                <w:sz w:val="24"/>
                <w:szCs w:val="24"/>
                <w:color w:val="auto"/>
              </w:rPr>
            </w:pPr>
          </w:p>
        </w:tc>
        <w:tc>
          <w:tcPr>
            <w:tcW w:w="20" w:type="dxa"/>
            <w:vAlign w:val="bottom"/>
            <w:tcBorders>
              <w:bottom w:val="single" w:sz="8" w:color="1E1E1E"/>
            </w:tcBorders>
            <w:shd w:val="clear" w:color="auto" w:fill="E2E2E2"/>
          </w:tcPr>
          <w:p>
            <w:pPr>
              <w:spacing w:after="0"/>
              <w:rPr>
                <w:sz w:val="24"/>
                <w:szCs w:val="24"/>
                <w:color w:val="auto"/>
              </w:rPr>
            </w:pPr>
          </w:p>
        </w:tc>
        <w:tc>
          <w:tcPr>
            <w:tcW w:w="260" w:type="dxa"/>
            <w:vAlign w:val="bottom"/>
            <w:tcBorders>
              <w:bottom w:val="single" w:sz="8" w:color="1E1E1E"/>
            </w:tcBorders>
            <w:shd w:val="clear" w:color="auto" w:fill="E2E2E2"/>
          </w:tcPr>
          <w:p>
            <w:pPr>
              <w:jc w:val="right"/>
              <w:ind w:right="59"/>
              <w:spacing w:after="0"/>
              <w:rPr>
                <w:sz w:val="20"/>
                <w:szCs w:val="20"/>
                <w:color w:val="auto"/>
              </w:rPr>
            </w:pPr>
            <w:r>
              <w:rPr>
                <w:rFonts w:ascii="Times New Roman" w:cs="Times New Roman" w:eastAsia="Times New Roman" w:hAnsi="Times New Roman"/>
                <w:sz w:val="20"/>
                <w:szCs w:val="20"/>
                <w:color w:val="1E1E1E"/>
                <w:w w:val="79"/>
              </w:rPr>
              <w:t>$</w:t>
            </w:r>
          </w:p>
        </w:tc>
        <w:tc>
          <w:tcPr>
            <w:tcW w:w="17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(25,246)</w:t>
            </w:r>
          </w:p>
        </w:tc>
        <w:tc>
          <w:tcPr>
            <w:tcW w:w="240" w:type="dxa"/>
            <w:vAlign w:val="bottom"/>
            <w:shd w:val="clear" w:color="auto" w:fill="E2E2E2"/>
          </w:tcPr>
          <w:p>
            <w:pPr>
              <w:spacing w:after="0"/>
              <w:rPr>
                <w:sz w:val="24"/>
                <w:szCs w:val="24"/>
                <w:color w:val="auto"/>
              </w:rPr>
            </w:pPr>
          </w:p>
        </w:tc>
        <w:tc>
          <w:tcPr>
            <w:tcW w:w="20" w:type="dxa"/>
            <w:vAlign w:val="bottom"/>
            <w:tcBorders>
              <w:bottom w:val="single" w:sz="8" w:color="1E1E1E"/>
            </w:tcBorders>
            <w:shd w:val="clear" w:color="auto" w:fill="E2E2E2"/>
          </w:tcPr>
          <w:p>
            <w:pPr>
              <w:spacing w:after="0"/>
              <w:rPr>
                <w:sz w:val="24"/>
                <w:szCs w:val="24"/>
                <w:color w:val="auto"/>
              </w:rPr>
            </w:pPr>
          </w:p>
        </w:tc>
        <w:tc>
          <w:tcPr>
            <w:tcW w:w="240" w:type="dxa"/>
            <w:vAlign w:val="bottom"/>
            <w:tcBorders>
              <w:bottom w:val="single" w:sz="8" w:color="1E1E1E"/>
            </w:tcBorders>
            <w:shd w:val="clear" w:color="auto" w:fill="E2E2E2"/>
          </w:tcPr>
          <w:p>
            <w:pPr>
              <w:jc w:val="right"/>
              <w:ind w:right="39"/>
              <w:spacing w:after="0"/>
              <w:rPr>
                <w:sz w:val="20"/>
                <w:szCs w:val="20"/>
                <w:color w:val="auto"/>
              </w:rPr>
            </w:pPr>
            <w:r>
              <w:rPr>
                <w:rFonts w:ascii="Times New Roman" w:cs="Times New Roman" w:eastAsia="Times New Roman" w:hAnsi="Times New Roman"/>
                <w:sz w:val="20"/>
                <w:szCs w:val="20"/>
                <w:color w:val="1E1E1E"/>
                <w:w w:val="79"/>
              </w:rPr>
              <w:t>$</w:t>
            </w:r>
          </w:p>
        </w:tc>
        <w:tc>
          <w:tcPr>
            <w:tcW w:w="17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(10,413)</w:t>
            </w:r>
          </w:p>
        </w:tc>
      </w:tr>
    </w:tbl>
    <w:p>
      <w:pPr>
        <w:spacing w:after="0" w:line="208" w:lineRule="exact"/>
        <w:rPr>
          <w:sz w:val="20"/>
          <w:szCs w:val="20"/>
          <w:color w:val="auto"/>
        </w:rPr>
      </w:pPr>
    </w:p>
    <w:p>
      <w:pPr>
        <w:jc w:val="both"/>
        <w:ind w:right="80" w:firstLine="490"/>
        <w:spacing w:after="0" w:line="261" w:lineRule="auto"/>
        <w:rPr>
          <w:sz w:val="20"/>
          <w:szCs w:val="20"/>
          <w:color w:val="auto"/>
        </w:rPr>
      </w:pPr>
      <w:r>
        <w:rPr>
          <w:rFonts w:ascii="Times New Roman" w:cs="Times New Roman" w:eastAsia="Times New Roman" w:hAnsi="Times New Roman"/>
          <w:sz w:val="20"/>
          <w:szCs w:val="20"/>
          <w:color w:val="1E1E1E"/>
        </w:rPr>
        <w:t>Free cash flow decreased $14.8 million to ($25.2) million in fiscal 2024 compared to ($10.4) million in fiscal 2023. The decrease was primarily driven by higher inventory levels compared to a reduction in inventory in the prior year, partially offset by a decrease in purchases of property and equipment.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Liquidity and Capital Resources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General</w:t>
      </w:r>
    </w:p>
    <w:p>
      <w:pPr>
        <w:spacing w:after="0" w:line="200"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1E1E1E"/>
        </w:rPr>
        <w:t>Our business relies on cash from operating activities and a credit facility as our primary sources of liquidity. Our primary cash needs have been for inventory, marketing and advertising, payroll, store leases, and capital expenditures associated with infrastructure and information technology. The most significant components of our working capital are cash, inventory, accounts payable and other current liabilities. As of February 2, 2025 our working capital was $63.1 million, which includes cash and cash equivalents of $3.3 million.</w:t>
      </w:r>
    </w:p>
    <w:p>
      <w:pPr>
        <w:spacing w:after="0" w:line="156"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1E1E1E"/>
        </w:rPr>
        <w:t>We spent $17.4 million in fiscal 2024 on capital expenditures, inclusive of investments in software hosting implementation costs, which are included in Prepaid expenses &amp; other current assets on the Company’s Consolidated Balance Sheets. We expect to spend approximately $20.0 million in fiscal 2025 on capital expenditures. Due to the seasonality of our business, a significant amount of cash from operating activities is generated during the fourth quarter of our fiscal year. During the first three quarters of our fiscal year, we typically are net users of cash in our operating activities as we acquire inventory in anticipation of our peak selling season, which typically occurs in the fourth quarter of our fiscal year. We also use cash in our investing activities for capital expenditures throughout all four quarters of our fiscal year.</w:t>
      </w:r>
    </w:p>
    <w:p>
      <w:pPr>
        <w:spacing w:after="0" w:line="160" w:lineRule="exact"/>
        <w:rPr>
          <w:sz w:val="20"/>
          <w:szCs w:val="20"/>
          <w:color w:val="auto"/>
        </w:rPr>
      </w:pPr>
    </w:p>
    <w:p>
      <w:pPr>
        <w:ind w:right="600" w:firstLine="490"/>
        <w:spacing w:after="0" w:line="281" w:lineRule="auto"/>
        <w:rPr>
          <w:sz w:val="20"/>
          <w:szCs w:val="20"/>
          <w:color w:val="auto"/>
        </w:rPr>
      </w:pPr>
      <w:r>
        <w:rPr>
          <w:rFonts w:ascii="Times New Roman" w:cs="Times New Roman" w:eastAsia="Times New Roman" w:hAnsi="Times New Roman"/>
          <w:sz w:val="20"/>
          <w:szCs w:val="20"/>
          <w:color w:val="1E1E1E"/>
        </w:rPr>
        <w:t>We believe that our cash flow from operating activities and the availability of cash under our credit facility will be sufficient to cover working capital requirements and anticipated capital expenditures for the foreseeable future.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Cash Flow Analysis</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E1E1E"/>
        </w:rPr>
        <w:t>A summary of operating, investing and financing activities is shown in the following table.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1E1E1E"/>
            </w:tcBorders>
          </w:tcPr>
          <w:p>
            <w:pPr>
              <w:spacing w:after="0"/>
              <w:rPr>
                <w:sz w:val="17"/>
                <w:szCs w:val="17"/>
                <w:color w:val="auto"/>
              </w:rPr>
            </w:pPr>
          </w:p>
        </w:tc>
        <w:tc>
          <w:tcPr>
            <w:tcW w:w="3680" w:type="dxa"/>
            <w:vAlign w:val="bottom"/>
            <w:tcBorders>
              <w:bottom w:val="single" w:sz="8" w:color="1E1E1E"/>
            </w:tcBorders>
            <w:gridSpan w:val="5"/>
          </w:tcPr>
          <w:p>
            <w:pPr>
              <w:jc w:val="right"/>
              <w:ind w:right="1224"/>
              <w:spacing w:after="0"/>
              <w:rPr>
                <w:sz w:val="20"/>
                <w:szCs w:val="20"/>
                <w:color w:val="auto"/>
              </w:rPr>
            </w:pPr>
            <w:r>
              <w:rPr>
                <w:rFonts w:ascii="Times New Roman" w:cs="Times New Roman" w:eastAsia="Times New Roman" w:hAnsi="Times New Roman"/>
                <w:sz w:val="16"/>
                <w:szCs w:val="16"/>
                <w:b w:val="1"/>
                <w:bCs w:val="1"/>
                <w:color w:val="1E1E1E"/>
              </w:rPr>
              <w:t>Fiscal Year Ended</w:t>
            </w:r>
          </w:p>
        </w:tc>
      </w:tr>
      <w:tr>
        <w:trPr>
          <w:trHeight w:val="206"/>
        </w:trPr>
        <w:tc>
          <w:tcPr>
            <w:tcW w:w="6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1E1E1E"/>
            </w:tcBorders>
          </w:tcPr>
          <w:p>
            <w:pPr>
              <w:spacing w:after="0"/>
              <w:rPr>
                <w:sz w:val="17"/>
                <w:szCs w:val="17"/>
                <w:color w:val="auto"/>
              </w:rPr>
            </w:pPr>
          </w:p>
        </w:tc>
        <w:tc>
          <w:tcPr>
            <w:tcW w:w="1620" w:type="dxa"/>
            <w:vAlign w:val="bottom"/>
            <w:tcBorders>
              <w:bottom w:val="single" w:sz="8" w:color="1E1E1E"/>
            </w:tcBorders>
          </w:tcPr>
          <w:p>
            <w:pPr>
              <w:jc w:val="right"/>
              <w:ind w:right="246"/>
              <w:spacing w:after="0"/>
              <w:rPr>
                <w:sz w:val="20"/>
                <w:szCs w:val="20"/>
                <w:color w:val="auto"/>
              </w:rPr>
            </w:pPr>
            <w:r>
              <w:rPr>
                <w:rFonts w:ascii="Times New Roman" w:cs="Times New Roman" w:eastAsia="Times New Roman" w:hAnsi="Times New Roman"/>
                <w:sz w:val="16"/>
                <w:szCs w:val="16"/>
                <w:b w:val="1"/>
                <w:bCs w:val="1"/>
                <w:color w:val="1E1E1E"/>
              </w:rPr>
              <w:t>February 2, 2025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1E1E1E"/>
            </w:tcBorders>
          </w:tcPr>
          <w:p>
            <w:pPr>
              <w:spacing w:after="0"/>
              <w:rPr>
                <w:sz w:val="17"/>
                <w:szCs w:val="17"/>
                <w:color w:val="auto"/>
              </w:rPr>
            </w:pPr>
          </w:p>
        </w:tc>
        <w:tc>
          <w:tcPr>
            <w:tcW w:w="1620" w:type="dxa"/>
            <w:vAlign w:val="bottom"/>
            <w:tcBorders>
              <w:bottom w:val="single" w:sz="8" w:color="1E1E1E"/>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1E1E1E"/>
              </w:rPr>
              <w:t>January 28, 2024</w:t>
            </w:r>
          </w:p>
        </w:tc>
      </w:tr>
      <w:tr>
        <w:trPr>
          <w:trHeight w:val="206"/>
        </w:trPr>
        <w:tc>
          <w:tcPr>
            <w:tcW w:w="63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1E1E1E"/>
              </w:rPr>
              <w:t>(in thousands)</w:t>
            </w: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21"/>
        </w:trPr>
        <w:tc>
          <w:tcPr>
            <w:tcW w:w="6320" w:type="dxa"/>
            <w:vAlign w:val="bottom"/>
            <w:shd w:val="clear" w:color="auto" w:fill="E2E2E2"/>
          </w:tcPr>
          <w:p>
            <w:pPr>
              <w:spacing w:after="0" w:line="221" w:lineRule="exact"/>
              <w:rPr>
                <w:sz w:val="20"/>
                <w:szCs w:val="20"/>
                <w:color w:val="auto"/>
              </w:rPr>
            </w:pPr>
            <w:r>
              <w:rPr>
                <w:rFonts w:ascii="Times New Roman" w:cs="Times New Roman" w:eastAsia="Times New Roman" w:hAnsi="Times New Roman"/>
                <w:sz w:val="20"/>
                <w:szCs w:val="20"/>
                <w:color w:val="1E1E1E"/>
              </w:rPr>
              <w:t>Net cash (used in) provided by operating activities</w:t>
            </w:r>
          </w:p>
        </w:tc>
        <w:tc>
          <w:tcPr>
            <w:tcW w:w="20" w:type="dxa"/>
            <w:vAlign w:val="bottom"/>
            <w:shd w:val="clear" w:color="auto" w:fill="E2E2E2"/>
          </w:tcPr>
          <w:p>
            <w:pPr>
              <w:spacing w:after="0"/>
              <w:rPr>
                <w:sz w:val="19"/>
                <w:szCs w:val="19"/>
                <w:color w:val="auto"/>
              </w:rPr>
            </w:pPr>
          </w:p>
        </w:tc>
        <w:tc>
          <w:tcPr>
            <w:tcW w:w="220" w:type="dxa"/>
            <w:vAlign w:val="bottom"/>
            <w:shd w:val="clear" w:color="auto" w:fill="E2E2E2"/>
          </w:tcPr>
          <w:p>
            <w:pPr>
              <w:jc w:val="right"/>
              <w:ind w:right="19"/>
              <w:spacing w:after="0" w:line="221" w:lineRule="exact"/>
              <w:rPr>
                <w:sz w:val="20"/>
                <w:szCs w:val="20"/>
                <w:color w:val="auto"/>
              </w:rPr>
            </w:pPr>
            <w:r>
              <w:rPr>
                <w:rFonts w:ascii="Times New Roman" w:cs="Times New Roman" w:eastAsia="Times New Roman" w:hAnsi="Times New Roman"/>
                <w:sz w:val="20"/>
                <w:szCs w:val="20"/>
                <w:color w:val="1E1E1E"/>
                <w:w w:val="79"/>
              </w:rPr>
              <w:t>$</w:t>
            </w:r>
          </w:p>
        </w:tc>
        <w:tc>
          <w:tcPr>
            <w:tcW w:w="1620" w:type="dxa"/>
            <w:vAlign w:val="bottom"/>
            <w:shd w:val="clear" w:color="auto" w:fill="E2E2E2"/>
          </w:tcPr>
          <w:p>
            <w:pPr>
              <w:jc w:val="right"/>
              <w:spacing w:after="0" w:line="221" w:lineRule="exact"/>
              <w:rPr>
                <w:sz w:val="20"/>
                <w:szCs w:val="20"/>
                <w:color w:val="auto"/>
              </w:rPr>
            </w:pPr>
            <w:r>
              <w:rPr>
                <w:rFonts w:ascii="Times New Roman" w:cs="Times New Roman" w:eastAsia="Times New Roman" w:hAnsi="Times New Roman"/>
                <w:sz w:val="20"/>
                <w:szCs w:val="20"/>
                <w:color w:val="1E1E1E"/>
              </w:rPr>
              <w:t>(16,917)</w:t>
            </w:r>
          </w:p>
        </w:tc>
        <w:tc>
          <w:tcPr>
            <w:tcW w:w="440" w:type="dxa"/>
            <w:vAlign w:val="bottom"/>
            <w:gridSpan w:val="3"/>
            <w:shd w:val="clear" w:color="auto" w:fill="E2E2E2"/>
          </w:tcPr>
          <w:p>
            <w:pPr>
              <w:jc w:val="right"/>
              <w:ind w:right="19"/>
              <w:spacing w:after="0" w:line="221" w:lineRule="exact"/>
              <w:rPr>
                <w:sz w:val="20"/>
                <w:szCs w:val="20"/>
                <w:color w:val="auto"/>
              </w:rPr>
            </w:pPr>
            <w:r>
              <w:rPr>
                <w:rFonts w:ascii="Times New Roman" w:cs="Times New Roman" w:eastAsia="Times New Roman" w:hAnsi="Times New Roman"/>
                <w:sz w:val="20"/>
                <w:szCs w:val="20"/>
                <w:color w:val="1E1E1E"/>
              </w:rPr>
              <w:t>$</w:t>
            </w:r>
          </w:p>
        </w:tc>
        <w:tc>
          <w:tcPr>
            <w:tcW w:w="1620" w:type="dxa"/>
            <w:vAlign w:val="bottom"/>
            <w:shd w:val="clear" w:color="auto" w:fill="E2E2E2"/>
          </w:tcPr>
          <w:p>
            <w:pPr>
              <w:jc w:val="right"/>
              <w:spacing w:after="0" w:line="221" w:lineRule="exact"/>
              <w:rPr>
                <w:sz w:val="20"/>
                <w:szCs w:val="20"/>
                <w:color w:val="auto"/>
              </w:rPr>
            </w:pPr>
            <w:r>
              <w:rPr>
                <w:rFonts w:ascii="Times New Roman" w:cs="Times New Roman" w:eastAsia="Times New Roman" w:hAnsi="Times New Roman"/>
                <w:sz w:val="20"/>
                <w:szCs w:val="20"/>
                <w:color w:val="1E1E1E"/>
              </w:rPr>
              <w:t>38,673</w:t>
            </w:r>
          </w:p>
        </w:tc>
      </w:tr>
      <w:tr>
        <w:trPr>
          <w:trHeight w:val="226"/>
        </w:trPr>
        <w:tc>
          <w:tcPr>
            <w:tcW w:w="63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Net cash used in investing activities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(8,129)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(48,718)</w:t>
            </w:r>
          </w:p>
        </w:tc>
      </w:tr>
      <w:tr>
        <w:trPr>
          <w:trHeight w:val="226"/>
        </w:trPr>
        <w:tc>
          <w:tcPr>
            <w:tcW w:w="6340" w:type="dxa"/>
            <w:vAlign w:val="bottom"/>
            <w:gridSpan w:val="2"/>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Net cash used in financing activities</w:t>
            </w:r>
          </w:p>
        </w:tc>
        <w:tc>
          <w:tcPr>
            <w:tcW w:w="220" w:type="dxa"/>
            <w:vAlign w:val="bottom"/>
            <w:tcBorders>
              <w:bottom w:val="single" w:sz="8" w:color="1E1E1E"/>
            </w:tcBorders>
            <w:shd w:val="clear" w:color="auto" w:fill="E2E2E2"/>
          </w:tcPr>
          <w:p>
            <w:pPr>
              <w:spacing w:after="0"/>
              <w:rPr>
                <w:sz w:val="19"/>
                <w:szCs w:val="19"/>
                <w:color w:val="auto"/>
              </w:rPr>
            </w:pPr>
          </w:p>
        </w:tc>
        <w:tc>
          <w:tcPr>
            <w:tcW w:w="1620" w:type="dxa"/>
            <w:vAlign w:val="bottom"/>
            <w:tcBorders>
              <w:bottom w:val="single" w:sz="8" w:color="1E1E1E"/>
            </w:tcBorders>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(3,776)</w:t>
            </w:r>
          </w:p>
        </w:tc>
        <w:tc>
          <w:tcPr>
            <w:tcW w:w="20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20" w:type="dxa"/>
            <w:vAlign w:val="bottom"/>
            <w:tcBorders>
              <w:bottom w:val="single" w:sz="8" w:color="1E1E1E"/>
            </w:tcBorders>
            <w:shd w:val="clear" w:color="auto" w:fill="E2E2E2"/>
          </w:tcPr>
          <w:p>
            <w:pPr>
              <w:spacing w:after="0"/>
              <w:rPr>
                <w:sz w:val="19"/>
                <w:szCs w:val="19"/>
                <w:color w:val="auto"/>
              </w:rPr>
            </w:pPr>
          </w:p>
        </w:tc>
        <w:tc>
          <w:tcPr>
            <w:tcW w:w="1620" w:type="dxa"/>
            <w:vAlign w:val="bottom"/>
            <w:tcBorders>
              <w:bottom w:val="single" w:sz="8" w:color="1E1E1E"/>
            </w:tcBorders>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(3,346)</w:t>
            </w:r>
          </w:p>
        </w:tc>
      </w:tr>
      <w:tr>
        <w:trPr>
          <w:trHeight w:val="214"/>
        </w:trPr>
        <w:tc>
          <w:tcPr>
            <w:tcW w:w="6320" w:type="dxa"/>
            <w:vAlign w:val="bottom"/>
          </w:tcPr>
          <w:p>
            <w:pPr>
              <w:spacing w:after="0" w:line="206" w:lineRule="exact"/>
              <w:rPr>
                <w:sz w:val="20"/>
                <w:szCs w:val="20"/>
                <w:color w:val="auto"/>
              </w:rPr>
            </w:pPr>
            <w:r>
              <w:rPr>
                <w:rFonts w:ascii="Times New Roman" w:cs="Times New Roman" w:eastAsia="Times New Roman" w:hAnsi="Times New Roman"/>
                <w:sz w:val="20"/>
                <w:szCs w:val="20"/>
                <w:color w:val="1E1E1E"/>
              </w:rPr>
              <w:t>Decrease in cash and cash equivalents</w:t>
            </w:r>
          </w:p>
        </w:tc>
        <w:tc>
          <w:tcPr>
            <w:tcW w:w="20" w:type="dxa"/>
            <w:vAlign w:val="bottom"/>
            <w:tcBorders>
              <w:bottom w:val="single" w:sz="8" w:color="1E1E1E"/>
            </w:tcBorders>
          </w:tcPr>
          <w:p>
            <w:pPr>
              <w:spacing w:after="0"/>
              <w:rPr>
                <w:sz w:val="18"/>
                <w:szCs w:val="18"/>
                <w:color w:val="auto"/>
              </w:rPr>
            </w:pPr>
          </w:p>
        </w:tc>
        <w:tc>
          <w:tcPr>
            <w:tcW w:w="220" w:type="dxa"/>
            <w:vAlign w:val="bottom"/>
            <w:tcBorders>
              <w:bottom w:val="single" w:sz="8" w:color="1E1E1E"/>
            </w:tcBorders>
          </w:tcPr>
          <w:p>
            <w:pPr>
              <w:jc w:val="right"/>
              <w:ind w:right="19"/>
              <w:spacing w:after="0" w:line="206" w:lineRule="exact"/>
              <w:rPr>
                <w:sz w:val="20"/>
                <w:szCs w:val="20"/>
                <w:color w:val="auto"/>
              </w:rPr>
            </w:pPr>
            <w:r>
              <w:rPr>
                <w:rFonts w:ascii="Times New Roman" w:cs="Times New Roman" w:eastAsia="Times New Roman" w:hAnsi="Times New Roman"/>
                <w:sz w:val="20"/>
                <w:szCs w:val="20"/>
                <w:color w:val="1E1E1E"/>
                <w:w w:val="79"/>
              </w:rPr>
              <w:t>$</w:t>
            </w:r>
          </w:p>
        </w:tc>
        <w:tc>
          <w:tcPr>
            <w:tcW w:w="1620" w:type="dxa"/>
            <w:vAlign w:val="bottom"/>
            <w:tcBorders>
              <w:bottom w:val="single" w:sz="8" w:color="1E1E1E"/>
            </w:tcBorders>
          </w:tcPr>
          <w:p>
            <w:pPr>
              <w:jc w:val="right"/>
              <w:spacing w:after="0" w:line="206" w:lineRule="exact"/>
              <w:rPr>
                <w:sz w:val="20"/>
                <w:szCs w:val="20"/>
                <w:color w:val="auto"/>
              </w:rPr>
            </w:pPr>
            <w:r>
              <w:rPr>
                <w:rFonts w:ascii="Times New Roman" w:cs="Times New Roman" w:eastAsia="Times New Roman" w:hAnsi="Times New Roman"/>
                <w:sz w:val="20"/>
                <w:szCs w:val="20"/>
                <w:color w:val="1E1E1E"/>
              </w:rPr>
              <w:t>(28,822)</w:t>
            </w:r>
          </w:p>
        </w:tc>
        <w:tc>
          <w:tcPr>
            <w:tcW w:w="200" w:type="dxa"/>
            <w:vAlign w:val="bottom"/>
          </w:tcPr>
          <w:p>
            <w:pPr>
              <w:spacing w:after="0"/>
              <w:rPr>
                <w:sz w:val="18"/>
                <w:szCs w:val="18"/>
                <w:color w:val="auto"/>
              </w:rPr>
            </w:pPr>
          </w:p>
        </w:tc>
        <w:tc>
          <w:tcPr>
            <w:tcW w:w="20" w:type="dxa"/>
            <w:vAlign w:val="bottom"/>
            <w:tcBorders>
              <w:bottom w:val="single" w:sz="8" w:color="1E1E1E"/>
            </w:tcBorders>
          </w:tcPr>
          <w:p>
            <w:pPr>
              <w:spacing w:after="0"/>
              <w:rPr>
                <w:sz w:val="18"/>
                <w:szCs w:val="18"/>
                <w:color w:val="auto"/>
              </w:rPr>
            </w:pPr>
          </w:p>
        </w:tc>
        <w:tc>
          <w:tcPr>
            <w:tcW w:w="220" w:type="dxa"/>
            <w:vAlign w:val="bottom"/>
            <w:tcBorders>
              <w:bottom w:val="single" w:sz="8" w:color="1E1E1E"/>
            </w:tcBorders>
          </w:tcPr>
          <w:p>
            <w:pPr>
              <w:jc w:val="right"/>
              <w:ind w:right="19"/>
              <w:spacing w:after="0" w:line="206" w:lineRule="exact"/>
              <w:rPr>
                <w:sz w:val="20"/>
                <w:szCs w:val="20"/>
                <w:color w:val="auto"/>
              </w:rPr>
            </w:pPr>
            <w:r>
              <w:rPr>
                <w:rFonts w:ascii="Times New Roman" w:cs="Times New Roman" w:eastAsia="Times New Roman" w:hAnsi="Times New Roman"/>
                <w:sz w:val="20"/>
                <w:szCs w:val="20"/>
                <w:color w:val="1E1E1E"/>
                <w:w w:val="79"/>
              </w:rPr>
              <w:t>$</w:t>
            </w:r>
          </w:p>
        </w:tc>
        <w:tc>
          <w:tcPr>
            <w:tcW w:w="1620" w:type="dxa"/>
            <w:vAlign w:val="bottom"/>
            <w:tcBorders>
              <w:bottom w:val="single" w:sz="8" w:color="1E1E1E"/>
            </w:tcBorders>
          </w:tcPr>
          <w:p>
            <w:pPr>
              <w:jc w:val="right"/>
              <w:spacing w:after="0" w:line="206" w:lineRule="exact"/>
              <w:rPr>
                <w:sz w:val="20"/>
                <w:szCs w:val="20"/>
                <w:color w:val="auto"/>
              </w:rPr>
            </w:pPr>
            <w:r>
              <w:rPr>
                <w:rFonts w:ascii="Times New Roman" w:cs="Times New Roman" w:eastAsia="Times New Roman" w:hAnsi="Times New Roman"/>
                <w:sz w:val="20"/>
                <w:szCs w:val="20"/>
                <w:color w:val="1E1E1E"/>
              </w:rPr>
              <w:t>(13,391)</w:t>
            </w:r>
          </w:p>
        </w:tc>
      </w:tr>
    </w:tbl>
    <w:p>
      <w:pPr>
        <w:spacing w:after="0" w:line="200" w:lineRule="exact"/>
        <w:rPr>
          <w:sz w:val="20"/>
          <w:szCs w:val="20"/>
          <w:color w:val="auto"/>
        </w:rPr>
      </w:pPr>
    </w:p>
    <w:p>
      <w:pPr>
        <w:sectPr>
          <w:pgSz w:w="11880" w:h="15480" w:orient="portrait"/>
          <w:cols w:equalWidth="0" w:num="1">
            <w:col w:w="10240"/>
          </w:cols>
          <w:pgMar w:left="820" w:top="98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33</w:t>
      </w:r>
    </w:p>
    <w:p>
      <w:pPr>
        <w:sectPr>
          <w:pgSz w:w="11880" w:h="15480" w:orient="portrait"/>
          <w:cols w:equalWidth="0" w:num="1">
            <w:col w:w="10240"/>
          </w:cols>
          <w:pgMar w:left="820" w:top="982" w:right="820" w:bottom="0" w:gutter="0" w:footer="0" w:header="0"/>
          <w:type w:val="continuous"/>
        </w:sectPr>
      </w:pPr>
    </w:p>
    <w:bookmarkStart w:id="39" w:name="page40"/>
    <w:bookmarkEnd w:id="39"/>
    <w:p>
      <w:pPr>
        <w:ind w:left="8"/>
        <w:spacing w:after="0"/>
        <w:rPr>
          <w:sz w:val="20"/>
          <w:szCs w:val="20"/>
          <w:color w:val="auto"/>
        </w:rPr>
      </w:pPr>
      <w:r>
        <w:rPr>
          <w:rFonts w:ascii="Times New Roman" w:cs="Times New Roman" w:eastAsia="Times New Roman" w:hAnsi="Times New Roman"/>
          <w:sz w:val="20"/>
          <w:szCs w:val="20"/>
          <w:b w:val="1"/>
          <w:bCs w:val="1"/>
          <w:i w:val="1"/>
          <w:iCs w:val="1"/>
          <w:color w:val="1E1E1E"/>
        </w:rPr>
        <w:t>Net Cash (Used in) Provided by Operating Activities</w:t>
      </w:r>
    </w:p>
    <w:p>
      <w:pPr>
        <w:spacing w:after="0" w:line="196" w:lineRule="exact"/>
        <w:rPr>
          <w:sz w:val="20"/>
          <w:szCs w:val="20"/>
          <w:color w:val="auto"/>
        </w:rPr>
      </w:pPr>
    </w:p>
    <w:p>
      <w:pPr>
        <w:ind w:left="8" w:right="500" w:firstLine="490"/>
        <w:spacing w:after="0" w:line="281" w:lineRule="auto"/>
        <w:rPr>
          <w:sz w:val="20"/>
          <w:szCs w:val="20"/>
          <w:color w:val="auto"/>
        </w:rPr>
      </w:pPr>
      <w:r>
        <w:rPr>
          <w:rFonts w:ascii="Times New Roman" w:cs="Times New Roman" w:eastAsia="Times New Roman" w:hAnsi="Times New Roman"/>
          <w:sz w:val="20"/>
          <w:szCs w:val="20"/>
          <w:color w:val="1E1E1E"/>
        </w:rPr>
        <w:t>Operating activities consist primarily of net (loss) income adjusted for non-cash items that include depreciation and amortization, stock-based compensation and the effect of changes in assets and liabilities.</w:t>
      </w:r>
    </w:p>
    <w:p>
      <w:pPr>
        <w:spacing w:after="0" w:line="124" w:lineRule="exact"/>
        <w:rPr>
          <w:sz w:val="20"/>
          <w:szCs w:val="20"/>
          <w:color w:val="auto"/>
        </w:rPr>
      </w:pPr>
    </w:p>
    <w:p>
      <w:pPr>
        <w:ind w:left="8" w:right="260" w:firstLine="491"/>
        <w:spacing w:after="0" w:line="250" w:lineRule="auto"/>
        <w:rPr>
          <w:sz w:val="20"/>
          <w:szCs w:val="20"/>
          <w:color w:val="auto"/>
        </w:rPr>
      </w:pPr>
      <w:r>
        <w:rPr>
          <w:rFonts w:ascii="Times New Roman" w:cs="Times New Roman" w:eastAsia="Times New Roman" w:hAnsi="Times New Roman"/>
          <w:sz w:val="20"/>
          <w:szCs w:val="20"/>
          <w:color w:val="1E1E1E"/>
        </w:rPr>
        <w:t>For fiscal 2024, net cash used in operating activities was $16.9 million, which primarily consisted of non-cash depreciation and amortization of $32.3 million and amortization of stock-based compensation of $4.0 million, offset by cash used in operating assets and liabilities of $12.0 million and net loss of ($43.6) million. The cash used in operating assets and liabilities of $12.0 million primarily consisted of a $40.8 million increase in inventory partially offset by a $22.9 million increase in trade accounts payable.</w:t>
      </w:r>
    </w:p>
    <w:p>
      <w:pPr>
        <w:spacing w:after="0" w:line="151" w:lineRule="exact"/>
        <w:rPr>
          <w:sz w:val="20"/>
          <w:szCs w:val="20"/>
          <w:color w:val="auto"/>
        </w:rPr>
      </w:pPr>
    </w:p>
    <w:p>
      <w:pPr>
        <w:ind w:left="8" w:right="20" w:firstLine="490"/>
        <w:spacing w:after="0" w:line="261" w:lineRule="auto"/>
        <w:rPr>
          <w:sz w:val="20"/>
          <w:szCs w:val="20"/>
          <w:color w:val="auto"/>
        </w:rPr>
      </w:pPr>
      <w:r>
        <w:rPr>
          <w:rFonts w:ascii="Times New Roman" w:cs="Times New Roman" w:eastAsia="Times New Roman" w:hAnsi="Times New Roman"/>
          <w:sz w:val="20"/>
          <w:szCs w:val="20"/>
          <w:color w:val="1E1E1E"/>
        </w:rPr>
        <w:t>The increase in inventory and trade accounts payable was primarily related to an increase in in-transit inventory as we moved from purchasing through an agent to buying directly from factories coupled with higher inventory receipts on core year-round products to mitigate low in-stock post Black Friday week.</w:t>
      </w:r>
    </w:p>
    <w:p>
      <w:pPr>
        <w:spacing w:after="0" w:line="143" w:lineRule="exact"/>
        <w:rPr>
          <w:sz w:val="20"/>
          <w:szCs w:val="20"/>
          <w:color w:val="auto"/>
        </w:rPr>
      </w:pPr>
    </w:p>
    <w:p>
      <w:pPr>
        <w:ind w:left="8" w:right="20" w:firstLine="490"/>
        <w:spacing w:after="0" w:line="249" w:lineRule="auto"/>
        <w:rPr>
          <w:sz w:val="20"/>
          <w:szCs w:val="20"/>
          <w:color w:val="auto"/>
        </w:rPr>
      </w:pPr>
      <w:r>
        <w:rPr>
          <w:rFonts w:ascii="Times New Roman" w:cs="Times New Roman" w:eastAsia="Times New Roman" w:hAnsi="Times New Roman"/>
          <w:sz w:val="20"/>
          <w:szCs w:val="20"/>
          <w:color w:val="1E1E1E"/>
        </w:rPr>
        <w:t>For fiscal 2023, net cash provided by operating activities was $38.7 million, which primarily consisted of non-cash depreciation and amortization of $32.2 million, amortization of stock-based compensation of $4.2 million and cash provided by operating assets and liabilities of $14.5 million, which was partially offset by net loss of ($9.9) million. The cash provided by operating assets and liabilities of $14.5 million primarily consisted of a $29.2 million decrease in inventory partially offset by a $5.4 million and $4.4 million decrease in trade accounts payable and accrued expenses, respectively.</w:t>
      </w:r>
    </w:p>
    <w:p>
      <w:pPr>
        <w:spacing w:after="0" w:line="158"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20"/>
          <w:szCs w:val="20"/>
          <w:b w:val="1"/>
          <w:bCs w:val="1"/>
          <w:i w:val="1"/>
          <w:iCs w:val="1"/>
          <w:color w:val="1E1E1E"/>
        </w:rPr>
        <w:t>Net Cash Used in Investing Activities</w:t>
      </w:r>
    </w:p>
    <w:p>
      <w:pPr>
        <w:spacing w:after="0" w:line="196" w:lineRule="exact"/>
        <w:rPr>
          <w:sz w:val="20"/>
          <w:szCs w:val="20"/>
          <w:color w:val="auto"/>
        </w:rPr>
      </w:pPr>
    </w:p>
    <w:p>
      <w:pPr>
        <w:ind w:left="8" w:right="840" w:firstLine="490"/>
        <w:spacing w:after="0" w:line="281" w:lineRule="auto"/>
        <w:rPr>
          <w:sz w:val="20"/>
          <w:szCs w:val="20"/>
          <w:color w:val="auto"/>
        </w:rPr>
      </w:pPr>
      <w:r>
        <w:rPr>
          <w:rFonts w:ascii="Times New Roman" w:cs="Times New Roman" w:eastAsia="Times New Roman" w:hAnsi="Times New Roman"/>
          <w:sz w:val="20"/>
          <w:szCs w:val="20"/>
          <w:color w:val="1E1E1E"/>
        </w:rPr>
        <w:t>Investing activities consist primarily of capital expenditures related to a new fulfillment center and information technology.</w:t>
      </w:r>
    </w:p>
    <w:p>
      <w:pPr>
        <w:spacing w:after="0" w:line="124" w:lineRule="exact"/>
        <w:rPr>
          <w:sz w:val="20"/>
          <w:szCs w:val="20"/>
          <w:color w:val="auto"/>
        </w:rPr>
      </w:pPr>
    </w:p>
    <w:p>
      <w:pPr>
        <w:ind w:left="8" w:right="120" w:firstLine="490"/>
        <w:spacing w:after="0" w:line="281" w:lineRule="auto"/>
        <w:rPr>
          <w:sz w:val="20"/>
          <w:szCs w:val="20"/>
          <w:color w:val="auto"/>
        </w:rPr>
      </w:pPr>
      <w:r>
        <w:rPr>
          <w:rFonts w:ascii="Times New Roman" w:cs="Times New Roman" w:eastAsia="Times New Roman" w:hAnsi="Times New Roman"/>
          <w:sz w:val="20"/>
          <w:szCs w:val="20"/>
          <w:color w:val="1E1E1E"/>
        </w:rPr>
        <w:t>For fiscal 2024, net cash used in investing activities was $8.1 million, driven by purchases of property and equipment of $8.3 million.</w:t>
      </w:r>
    </w:p>
    <w:p>
      <w:pPr>
        <w:spacing w:after="0" w:line="119" w:lineRule="exact"/>
        <w:rPr>
          <w:sz w:val="20"/>
          <w:szCs w:val="20"/>
          <w:color w:val="auto"/>
        </w:rPr>
      </w:pPr>
    </w:p>
    <w:p>
      <w:pPr>
        <w:ind w:left="8" w:right="20" w:firstLine="490"/>
        <w:spacing w:after="0" w:line="281" w:lineRule="auto"/>
        <w:rPr>
          <w:sz w:val="20"/>
          <w:szCs w:val="20"/>
          <w:color w:val="auto"/>
        </w:rPr>
      </w:pPr>
      <w:r>
        <w:rPr>
          <w:rFonts w:ascii="Times New Roman" w:cs="Times New Roman" w:eastAsia="Times New Roman" w:hAnsi="Times New Roman"/>
          <w:sz w:val="20"/>
          <w:szCs w:val="20"/>
          <w:color w:val="1E1E1E"/>
        </w:rPr>
        <w:t>For fiscal 2023, net cash used in investing activities was $48.7 million, driven by purchases of property and equipment of $49.1 million, primarily related to the Adairsville, Georgia fulfillment center.</w:t>
      </w:r>
    </w:p>
    <w:p>
      <w:pPr>
        <w:spacing w:after="0" w:line="126"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20"/>
          <w:szCs w:val="20"/>
          <w:b w:val="1"/>
          <w:bCs w:val="1"/>
          <w:i w:val="1"/>
          <w:iCs w:val="1"/>
          <w:color w:val="1E1E1E"/>
        </w:rPr>
        <w:t>Net Cash Used in Financing Activities</w:t>
      </w:r>
    </w:p>
    <w:p>
      <w:pPr>
        <w:spacing w:after="0" w:line="196" w:lineRule="exact"/>
        <w:rPr>
          <w:sz w:val="20"/>
          <w:szCs w:val="20"/>
          <w:color w:val="auto"/>
        </w:rPr>
      </w:pPr>
    </w:p>
    <w:p>
      <w:pPr>
        <w:ind w:left="8" w:right="160" w:firstLine="490"/>
        <w:spacing w:after="0" w:line="281" w:lineRule="auto"/>
        <w:rPr>
          <w:sz w:val="20"/>
          <w:szCs w:val="20"/>
          <w:color w:val="auto"/>
        </w:rPr>
      </w:pPr>
      <w:r>
        <w:rPr>
          <w:rFonts w:ascii="Times New Roman" w:cs="Times New Roman" w:eastAsia="Times New Roman" w:hAnsi="Times New Roman"/>
          <w:sz w:val="20"/>
          <w:szCs w:val="20"/>
          <w:color w:val="1E1E1E"/>
        </w:rPr>
        <w:t>Financing activities consist primarily of borrowings and payments related to our revolving line of credit and other long-term debt, as well as payments on finance lease obligations.</w:t>
      </w:r>
    </w:p>
    <w:p>
      <w:pPr>
        <w:spacing w:after="0" w:line="124" w:lineRule="exact"/>
        <w:rPr>
          <w:sz w:val="20"/>
          <w:szCs w:val="20"/>
          <w:color w:val="auto"/>
        </w:rPr>
      </w:pPr>
    </w:p>
    <w:p>
      <w:pPr>
        <w:ind w:left="8" w:right="440" w:firstLine="490"/>
        <w:spacing w:after="0" w:line="281" w:lineRule="auto"/>
        <w:rPr>
          <w:sz w:val="20"/>
          <w:szCs w:val="20"/>
          <w:color w:val="auto"/>
        </w:rPr>
      </w:pPr>
      <w:r>
        <w:rPr>
          <w:rFonts w:ascii="Times New Roman" w:cs="Times New Roman" w:eastAsia="Times New Roman" w:hAnsi="Times New Roman"/>
          <w:sz w:val="20"/>
          <w:szCs w:val="20"/>
          <w:color w:val="1E1E1E"/>
        </w:rPr>
        <w:t>For fiscal 2024 and fiscal 2023, net cash used in financing activities was $3.8 million and $3.3 million, respectively, primarily consisting of payments on finance lease obligations.</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i w:val="1"/>
          <w:iCs w:val="1"/>
          <w:color w:val="1E1E1E"/>
        </w:rPr>
        <w:t>Credit Agreement</w:t>
      </w:r>
    </w:p>
    <w:p>
      <w:pPr>
        <w:spacing w:after="0" w:line="200" w:lineRule="exact"/>
        <w:rPr>
          <w:sz w:val="20"/>
          <w:szCs w:val="20"/>
          <w:color w:val="auto"/>
        </w:rPr>
      </w:pPr>
    </w:p>
    <w:p>
      <w:pPr>
        <w:ind w:left="8" w:firstLine="475"/>
        <w:spacing w:after="0" w:line="244" w:lineRule="auto"/>
        <w:rPr>
          <w:sz w:val="20"/>
          <w:szCs w:val="20"/>
          <w:color w:val="auto"/>
        </w:rPr>
      </w:pPr>
      <w:r>
        <w:rPr>
          <w:rFonts w:ascii="Times New Roman" w:cs="Times New Roman" w:eastAsia="Times New Roman" w:hAnsi="Times New Roman"/>
          <w:sz w:val="20"/>
          <w:szCs w:val="20"/>
          <w:color w:val="1E1E1E"/>
        </w:rPr>
        <w:t>On May 14, 2021, the Company terminated its prior credit agreement, and entered into a credit agreement (the “Credit Agreement”), which was treated as a modification for accounting purposes. The Credit Agreement originally matured on May 14, 2026 and provided for borrowings of up to $150.0 million that were available under a revolving senior credit facility, with a $5.0 million sublimit for issuance of standby letters of credit, as well as a $10.0 million sublimit for swing line loans. At the Company’s option, the interest rate applicable to the revolving senior credit facility was a floating rate equal to: (i) the Bloomberg Short-Term Bank Yield Index rate (“BSBY”) plus the applicable rate of 1.25% to 2.00% determined based on the Company’s rent adjusted leverage ratio, or (ii) the base rate plus the applicable rate of 0.25% to 1.00% based on the Company’s rent adjusted leverage ratio. The Credit Agreement is secured by essentially all Company assets and requires the Company to maintain compliance with certain financial and non-financial covenants, including a maximum rent adjusted leverage ratio and a minimum fixed charge coverage ratio as defined in the Credit Agreement.</w:t>
      </w:r>
    </w:p>
    <w:p>
      <w:pPr>
        <w:spacing w:after="0" w:line="163" w:lineRule="exact"/>
        <w:rPr>
          <w:sz w:val="20"/>
          <w:szCs w:val="20"/>
          <w:color w:val="auto"/>
        </w:rPr>
      </w:pPr>
    </w:p>
    <w:p>
      <w:pPr>
        <w:ind w:left="8" w:right="200" w:firstLine="475"/>
        <w:spacing w:after="0" w:line="253" w:lineRule="auto"/>
        <w:rPr>
          <w:sz w:val="20"/>
          <w:szCs w:val="20"/>
          <w:color w:val="auto"/>
        </w:rPr>
      </w:pPr>
      <w:r>
        <w:rPr>
          <w:rFonts w:ascii="Times New Roman" w:cs="Times New Roman" w:eastAsia="Times New Roman" w:hAnsi="Times New Roman"/>
          <w:sz w:val="19"/>
          <w:szCs w:val="19"/>
          <w:color w:val="1E1E1E"/>
        </w:rPr>
        <w:t>On July 8, 2022, the Company entered into the First Amendment to the Credit Agreement (the “First Amendment”), which was treated as a modification for accounting purposes. The First Amendment amends the Credit Agreement in order to</w:t>
      </w:r>
    </w:p>
    <w:p>
      <w:pPr>
        <w:ind w:left="8" w:right="120" w:hanging="8"/>
        <w:spacing w:after="0" w:line="258" w:lineRule="auto"/>
        <w:tabs>
          <w:tab w:leader="none" w:pos="246" w:val="left"/>
        </w:tabs>
        <w:numPr>
          <w:ilvl w:val="0"/>
          <w:numId w:val="2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increase the revolving commitment from $150.0 million to $200.0 million; (ii) extend the maturity date from May 14, 2026 to July 8, 2027; (iii) amend the pricing index to replace BSBY with the Term Secured Overnight Financing Rate; and (iv) reduce the commitment fee in some instances.</w:t>
      </w:r>
    </w:p>
    <w:p>
      <w:pPr>
        <w:spacing w:after="0" w:line="175" w:lineRule="exact"/>
        <w:rPr>
          <w:sz w:val="20"/>
          <w:szCs w:val="20"/>
          <w:color w:val="auto"/>
        </w:rPr>
      </w:pPr>
    </w:p>
    <w:p>
      <w:pPr>
        <w:ind w:left="8" w:firstLine="490"/>
        <w:spacing w:after="0" w:line="281" w:lineRule="auto"/>
        <w:rPr>
          <w:sz w:val="20"/>
          <w:szCs w:val="20"/>
          <w:color w:val="auto"/>
        </w:rPr>
      </w:pPr>
      <w:r>
        <w:rPr>
          <w:rFonts w:ascii="Times New Roman" w:cs="Times New Roman" w:eastAsia="Times New Roman" w:hAnsi="Times New Roman"/>
          <w:sz w:val="19"/>
          <w:szCs w:val="19"/>
          <w:color w:val="1E1E1E"/>
        </w:rPr>
        <w:t>On January 31, 2025, the Company entered into the Second Amendment to the Credit Agreement (the “Second Amendment”), which was treated as an extinguishment for accounting purposes. The Second Amendment amends the Credit Agreement in order to (i) decrease the revolving commitment from $200.0 million to $100.0 million; (ii) revise the definition of</w:t>
      </w:r>
    </w:p>
    <w:p>
      <w:pPr>
        <w:sectPr>
          <w:pgSz w:w="11880" w:h="15480" w:orient="portrait"/>
          <w:cols w:equalWidth="0" w:num="1">
            <w:col w:w="10228"/>
          </w:cols>
          <w:pgMar w:left="812" w:top="879" w:right="840" w:bottom="0" w:gutter="0" w:footer="0" w:header="0"/>
        </w:sectPr>
      </w:pPr>
    </w:p>
    <w:p>
      <w:pPr>
        <w:spacing w:after="0" w:line="49"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6"/>
          <w:szCs w:val="16"/>
          <w:color w:val="1E1E1E"/>
        </w:rPr>
        <w:t>34</w:t>
      </w:r>
    </w:p>
    <w:p>
      <w:pPr>
        <w:sectPr>
          <w:pgSz w:w="11880" w:h="15480" w:orient="portrait"/>
          <w:cols w:equalWidth="0" w:num="1">
            <w:col w:w="10228"/>
          </w:cols>
          <w:pgMar w:left="812" w:top="879" w:right="840" w:bottom="0" w:gutter="0" w:footer="0" w:header="0"/>
          <w:type w:val="continuous"/>
        </w:sectPr>
      </w:pPr>
    </w:p>
    <w:bookmarkStart w:id="40" w:name="page41"/>
    <w:bookmarkEnd w:id="40"/>
    <w:p>
      <w:pPr>
        <w:ind w:left="6"/>
        <w:spacing w:after="0"/>
        <w:rPr>
          <w:sz w:val="20"/>
          <w:szCs w:val="20"/>
          <w:color w:val="auto"/>
        </w:rPr>
      </w:pPr>
      <w:r>
        <w:rPr>
          <w:rFonts w:ascii="Times New Roman" w:cs="Times New Roman" w:eastAsia="Times New Roman" w:hAnsi="Times New Roman"/>
          <w:sz w:val="20"/>
          <w:szCs w:val="20"/>
          <w:color w:val="1E1E1E"/>
        </w:rPr>
        <w:t>“Applicable Rate” to provide for pricing terms in the event of a Rent Adjusted Leverage Ratio greater than or equal to 3.50:1.0;</w:t>
      </w:r>
    </w:p>
    <w:p>
      <w:pPr>
        <w:ind w:left="6" w:right="40" w:hanging="6"/>
        <w:spacing w:after="0" w:line="247" w:lineRule="auto"/>
        <w:tabs>
          <w:tab w:leader="none" w:pos="356" w:val="left"/>
        </w:tabs>
        <w:numPr>
          <w:ilvl w:val="0"/>
          <w:numId w:val="2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limit the exceptions to the prohibition on restricted payments to (a) making dividends or distributions by any subsidiary to the Company, and (b) the acquisition of equity interests in satisfaction of tax withholding obligations associated with restricted stock or awards under employee incentive plans; and (iv) provide that the Maximum Rent Adjusted Leverage Ratio and the Minimum Fixed Charge Coverage Ratio will be measured commencing on the fiscal quarter ending May 2, 2021 and measured quarterly thereafter as of the last day of each fiscal quarter of the Company (other than for the fiscal quarter ending February 2, 2025).</w:t>
      </w:r>
    </w:p>
    <w:p>
      <w:pPr>
        <w:spacing w:after="0" w:line="15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1E1E1E"/>
        </w:rPr>
        <w:t>Contractual Obligations</w:t>
      </w:r>
    </w:p>
    <w:p>
      <w:pPr>
        <w:spacing w:after="0" w:line="205" w:lineRule="exact"/>
        <w:rPr>
          <w:sz w:val="20"/>
          <w:szCs w:val="20"/>
          <w:color w:val="auto"/>
        </w:rPr>
      </w:pPr>
    </w:p>
    <w:p>
      <w:pPr>
        <w:ind w:left="6" w:right="360" w:firstLine="720"/>
        <w:spacing w:after="0" w:line="276" w:lineRule="auto"/>
        <w:rPr>
          <w:sz w:val="20"/>
          <w:szCs w:val="20"/>
          <w:color w:val="auto"/>
        </w:rPr>
      </w:pPr>
      <w:r>
        <w:rPr>
          <w:rFonts w:ascii="Times New Roman" w:cs="Times New Roman" w:eastAsia="Times New Roman" w:hAnsi="Times New Roman"/>
          <w:sz w:val="20"/>
          <w:szCs w:val="20"/>
          <w:color w:val="1E1E1E"/>
        </w:rPr>
        <w:t>In connection with our investing and operating activities, we have entered into certain contractual obligations. See Note 3 “Leases” of Notes to Consolidated Financial Statements for additional discussion of these obligations.</w:t>
      </w:r>
    </w:p>
    <w:p>
      <w:pPr>
        <w:spacing w:after="0" w:line="1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1E1E1E"/>
        </w:rPr>
        <w:t>Off-Balance Sheet Arrangements</w:t>
      </w:r>
    </w:p>
    <w:p>
      <w:pPr>
        <w:spacing w:after="0" w:line="205" w:lineRule="exact"/>
        <w:rPr>
          <w:sz w:val="20"/>
          <w:szCs w:val="20"/>
          <w:color w:val="auto"/>
        </w:rPr>
      </w:pPr>
    </w:p>
    <w:p>
      <w:pPr>
        <w:ind w:left="486"/>
        <w:spacing w:after="0"/>
        <w:rPr>
          <w:sz w:val="20"/>
          <w:szCs w:val="20"/>
          <w:color w:val="auto"/>
        </w:rPr>
      </w:pPr>
      <w:r>
        <w:rPr>
          <w:rFonts w:ascii="Times New Roman" w:cs="Times New Roman" w:eastAsia="Times New Roman" w:hAnsi="Times New Roman"/>
          <w:sz w:val="20"/>
          <w:szCs w:val="20"/>
          <w:color w:val="1E1E1E"/>
        </w:rPr>
        <w:t>We are not a party to any significant off-balance sheet arrangements.</w:t>
      </w:r>
    </w:p>
    <w:p>
      <w:pPr>
        <w:spacing w:after="0" w:line="194"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1E1E1E"/>
        </w:rPr>
        <w:t>Critical Accounting Estimates</w:t>
      </w:r>
    </w:p>
    <w:p>
      <w:pPr>
        <w:spacing w:after="0" w:line="205" w:lineRule="exact"/>
        <w:rPr>
          <w:sz w:val="20"/>
          <w:szCs w:val="20"/>
          <w:color w:val="auto"/>
        </w:rPr>
      </w:pPr>
    </w:p>
    <w:p>
      <w:pPr>
        <w:ind w:left="6" w:right="80" w:firstLine="490"/>
        <w:spacing w:after="0" w:line="246" w:lineRule="auto"/>
        <w:rPr>
          <w:sz w:val="20"/>
          <w:szCs w:val="20"/>
          <w:color w:val="auto"/>
        </w:rPr>
      </w:pPr>
      <w:r>
        <w:rPr>
          <w:rFonts w:ascii="Times New Roman" w:cs="Times New Roman" w:eastAsia="Times New Roman" w:hAnsi="Times New Roman"/>
          <w:sz w:val="20"/>
          <w:szCs w:val="20"/>
          <w:color w:val="1E1E1E"/>
        </w:rPr>
        <w:t>The preparation of financial statements in accordance with accounting principles generally accepted in the United States requires management to make estimates and assumptions that affect amounts reported in our consolidated financial statements and related notes, as well as the related disclosure of contingent assets and liabilities at the date of the financial statements and the reported amounts of revenue and expenses during the reporting period.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60" w:lineRule="exact"/>
        <w:rPr>
          <w:sz w:val="20"/>
          <w:szCs w:val="20"/>
          <w:color w:val="auto"/>
        </w:rPr>
      </w:pPr>
    </w:p>
    <w:p>
      <w:pPr>
        <w:jc w:val="both"/>
        <w:ind w:left="6" w:right="80" w:firstLine="490"/>
        <w:spacing w:after="0" w:line="261" w:lineRule="auto"/>
        <w:rPr>
          <w:sz w:val="20"/>
          <w:szCs w:val="20"/>
          <w:color w:val="auto"/>
        </w:rPr>
      </w:pPr>
      <w:r>
        <w:rPr>
          <w:rFonts w:ascii="Times New Roman" w:cs="Times New Roman" w:eastAsia="Times New Roman" w:hAnsi="Times New Roman"/>
          <w:sz w:val="20"/>
          <w:szCs w:val="20"/>
          <w:color w:val="1E1E1E"/>
        </w:rPr>
        <w:t>We evaluated the development and selection of our critical accounting estimates and believe that the following involve a higher degree of judgment or complexity and are most significant to reporting our results of operations and financial position, and are therefore discussed as critical.</w:t>
      </w:r>
    </w:p>
    <w:p>
      <w:pPr>
        <w:spacing w:after="0" w:line="139"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1E1E1E"/>
        </w:rPr>
        <w:t>Product Return Reserve</w:t>
      </w:r>
    </w:p>
    <w:p>
      <w:pPr>
        <w:spacing w:after="0" w:line="200" w:lineRule="exact"/>
        <w:rPr>
          <w:sz w:val="20"/>
          <w:szCs w:val="20"/>
          <w:color w:val="auto"/>
        </w:rPr>
      </w:pPr>
    </w:p>
    <w:p>
      <w:pPr>
        <w:ind w:left="6" w:firstLine="490"/>
        <w:spacing w:after="0" w:line="247" w:lineRule="auto"/>
        <w:rPr>
          <w:sz w:val="20"/>
          <w:szCs w:val="20"/>
          <w:color w:val="auto"/>
        </w:rPr>
      </w:pPr>
      <w:r>
        <w:rPr>
          <w:rFonts w:ascii="Times New Roman" w:cs="Times New Roman" w:eastAsia="Times New Roman" w:hAnsi="Times New Roman"/>
          <w:sz w:val="20"/>
          <w:szCs w:val="20"/>
          <w:color w:val="1E1E1E"/>
        </w:rPr>
        <w:t>The Company currently estimates product return reserve using its own historical sales information. The Company regularly assesses and adjusts the estimate of accrued sales returns by updating return rates for actual company trends and projected costs. While returns have historically been within our expectations, future return rates may differ from those experienced in the past. Changes in these estimates can have a material impact on our financial statements. We believe the accounting estimate related to product returns is a critical accounting estimate because it requires us to make assumptions about future potential returns, which are highly uncertain.</w:t>
      </w:r>
    </w:p>
    <w:p>
      <w:pPr>
        <w:spacing w:after="0" w:line="15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1E1E1E"/>
        </w:rPr>
        <w:t>Critical Accounting Policies</w:t>
      </w:r>
    </w:p>
    <w:p>
      <w:pPr>
        <w:spacing w:after="0" w:line="205" w:lineRule="exact"/>
        <w:rPr>
          <w:sz w:val="20"/>
          <w:szCs w:val="20"/>
          <w:color w:val="auto"/>
        </w:rPr>
      </w:pPr>
    </w:p>
    <w:p>
      <w:pPr>
        <w:ind w:left="6" w:right="40" w:firstLine="490"/>
        <w:spacing w:after="0" w:line="249" w:lineRule="auto"/>
        <w:rPr>
          <w:sz w:val="20"/>
          <w:szCs w:val="20"/>
          <w:color w:val="auto"/>
        </w:rPr>
      </w:pPr>
      <w:r>
        <w:rPr>
          <w:rFonts w:ascii="Times New Roman" w:cs="Times New Roman" w:eastAsia="Times New Roman" w:hAnsi="Times New Roman"/>
          <w:sz w:val="20"/>
          <w:szCs w:val="20"/>
          <w:color w:val="1E1E1E"/>
        </w:rPr>
        <w:t>With respect to critical accounting policies, even a relatively minor variance between actual and expected experience can potentially have a materially favorable or unfavorable impact on subsequent results of operations. However, our historical results for the periods presented in the consolidated financial statements have not been materially impacted by such variances. More information on all of our significant accounting policies can be found in Note 2, “Summary of Significant Accounting Policies” of Notes to Consolidated Financial Statements included in this Annual Report on Form 10-K.</w:t>
      </w:r>
    </w:p>
    <w:p>
      <w:pPr>
        <w:spacing w:after="0" w:line="1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1E1E1E"/>
        </w:rPr>
        <w:t>Leases</w:t>
      </w:r>
    </w:p>
    <w:p>
      <w:pPr>
        <w:spacing w:after="0" w:line="196" w:lineRule="exact"/>
        <w:rPr>
          <w:sz w:val="20"/>
          <w:szCs w:val="20"/>
          <w:color w:val="auto"/>
        </w:rPr>
      </w:pPr>
    </w:p>
    <w:p>
      <w:pPr>
        <w:ind w:left="6" w:right="20" w:firstLine="490"/>
        <w:spacing w:after="0" w:line="247" w:lineRule="auto"/>
        <w:rPr>
          <w:sz w:val="20"/>
          <w:szCs w:val="20"/>
          <w:color w:val="auto"/>
        </w:rPr>
      </w:pPr>
      <w:r>
        <w:rPr>
          <w:rFonts w:ascii="Times New Roman" w:cs="Times New Roman" w:eastAsia="Times New Roman" w:hAnsi="Times New Roman"/>
          <w:sz w:val="20"/>
          <w:szCs w:val="20"/>
          <w:color w:val="1E1E1E"/>
        </w:rPr>
        <w:t>The Company recognizes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 See Note 3 “Leases,” of Notes to Consolidated Financial Statements included in this Annual Report on Form 10-K.</w:t>
      </w:r>
    </w:p>
    <w:p>
      <w:pPr>
        <w:spacing w:after="0" w:line="18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1E1E1E"/>
        </w:rPr>
        <w:t>Revenue Recognition</w:t>
      </w:r>
    </w:p>
    <w:p>
      <w:pPr>
        <w:spacing w:after="0" w:line="196" w:lineRule="exact"/>
        <w:rPr>
          <w:sz w:val="20"/>
          <w:szCs w:val="20"/>
          <w:color w:val="auto"/>
        </w:rPr>
      </w:pPr>
    </w:p>
    <w:p>
      <w:pPr>
        <w:ind w:left="6" w:right="180" w:firstLine="490"/>
        <w:spacing w:after="0" w:line="309" w:lineRule="auto"/>
        <w:rPr>
          <w:sz w:val="20"/>
          <w:szCs w:val="20"/>
          <w:color w:val="auto"/>
        </w:rPr>
      </w:pPr>
      <w:r>
        <w:rPr>
          <w:rFonts w:ascii="Times New Roman" w:cs="Times New Roman" w:eastAsia="Times New Roman" w:hAnsi="Times New Roman"/>
          <w:sz w:val="19"/>
          <w:szCs w:val="19"/>
          <w:color w:val="1E1E1E"/>
        </w:rPr>
        <w:t>Revenue for merchandise that is shipped to our customers from our fulfillment centers and stores is recognized upon shipment following customer payment, which is when the customer obtains control of the product and has the ability to direct</w:t>
      </w:r>
    </w:p>
    <w:p>
      <w:pPr>
        <w:sectPr>
          <w:pgSz w:w="11880" w:h="15480" w:orient="portrait"/>
          <w:cols w:equalWidth="0" w:num="1">
            <w:col w:w="10226"/>
          </w:cols>
          <w:pgMar w:left="814" w:top="877" w:right="840" w:bottom="0" w:gutter="0" w:footer="0" w:header="0"/>
        </w:sectPr>
      </w:pPr>
    </w:p>
    <w:p>
      <w:pPr>
        <w:spacing w:after="0" w:line="24"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color w:val="1E1E1E"/>
        </w:rPr>
        <w:t>35</w:t>
      </w:r>
    </w:p>
    <w:p>
      <w:pPr>
        <w:sectPr>
          <w:pgSz w:w="11880" w:h="15480" w:orient="portrait"/>
          <w:cols w:equalWidth="0" w:num="1">
            <w:col w:w="10226"/>
          </w:cols>
          <w:pgMar w:left="814" w:top="877" w:right="840" w:bottom="0" w:gutter="0" w:footer="0" w:header="0"/>
          <w:type w:val="continuous"/>
        </w:sectPr>
      </w:pPr>
    </w:p>
    <w:bookmarkStart w:id="41" w:name="page42"/>
    <w:bookmarkEnd w:id="41"/>
    <w:p>
      <w:pPr>
        <w:ind w:right="200"/>
        <w:spacing w:after="0" w:line="261" w:lineRule="auto"/>
        <w:rPr>
          <w:sz w:val="20"/>
          <w:szCs w:val="20"/>
          <w:color w:val="auto"/>
        </w:rPr>
      </w:pPr>
      <w:r>
        <w:rPr>
          <w:rFonts w:ascii="Times New Roman" w:cs="Times New Roman" w:eastAsia="Times New Roman" w:hAnsi="Times New Roman"/>
          <w:sz w:val="20"/>
          <w:szCs w:val="20"/>
          <w:color w:val="1E1E1E"/>
        </w:rPr>
        <w:t>the use of the product, including, among other options, the ability to redirect the product to a different shipping destination. Store revenue is recognized at the point of sale. This represents the point at which the customer obtains control of the product and has the ability to direct the use of the product.</w:t>
      </w:r>
    </w:p>
    <w:p>
      <w:pPr>
        <w:spacing w:after="0" w:line="138" w:lineRule="exact"/>
        <w:rPr>
          <w:sz w:val="20"/>
          <w:szCs w:val="20"/>
          <w:color w:val="auto"/>
        </w:rPr>
      </w:pPr>
    </w:p>
    <w:p>
      <w:pPr>
        <w:jc w:val="both"/>
        <w:ind w:right="280" w:firstLine="490"/>
        <w:spacing w:after="0" w:line="309" w:lineRule="auto"/>
        <w:rPr>
          <w:sz w:val="20"/>
          <w:szCs w:val="20"/>
          <w:color w:val="auto"/>
        </w:rPr>
      </w:pPr>
      <w:r>
        <w:rPr>
          <w:rFonts w:ascii="Times New Roman" w:cs="Times New Roman" w:eastAsia="Times New Roman" w:hAnsi="Times New Roman"/>
          <w:sz w:val="19"/>
          <w:szCs w:val="19"/>
          <w:color w:val="1E1E1E"/>
        </w:rPr>
        <w:t>We recognize shipping and handling fees as revenue included in net sales when generated from a customer order upon shipment or at the point of sale. Costs of shipping and handling are included in selling, general and administrative expenses.</w:t>
      </w:r>
    </w:p>
    <w:p>
      <w:pPr>
        <w:spacing w:after="0" w:line="1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E1E1E"/>
        </w:rPr>
        <w:t>Sales tax collected is not recognized as revenue as it is ultimately remitted to governmental authorities.</w:t>
      </w:r>
    </w:p>
    <w:p>
      <w:pPr>
        <w:spacing w:after="0" w:line="197" w:lineRule="exact"/>
        <w:rPr>
          <w:sz w:val="20"/>
          <w:szCs w:val="20"/>
          <w:color w:val="auto"/>
        </w:rPr>
      </w:pPr>
    </w:p>
    <w:p>
      <w:pPr>
        <w:ind w:right="60" w:firstLine="490"/>
        <w:spacing w:after="0" w:line="248" w:lineRule="auto"/>
        <w:rPr>
          <w:sz w:val="20"/>
          <w:szCs w:val="20"/>
          <w:color w:val="auto"/>
        </w:rPr>
      </w:pPr>
      <w:r>
        <w:rPr>
          <w:rFonts w:ascii="Times New Roman" w:cs="Times New Roman" w:eastAsia="Times New Roman" w:hAnsi="Times New Roman"/>
          <w:sz w:val="20"/>
          <w:szCs w:val="20"/>
          <w:color w:val="1E1E1E"/>
        </w:rPr>
        <w:t>We reserve for projected merchandise returns based on both historical and actual experience, as well as various other assumptions that we believe to be reasonable. Actual merchandise returns are monitored regularly and have not been materially different from the estimates recorded. Product returns often represent merchandise that can be resold. Amounts refunded to customers are generally made by issuing the same payment tender as used in the original purchase. Merchandise exchanges of the same product and price are not considered merchandise returns and are therefore excluded when calculating the sales returns reserve.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Inventories</w:t>
      </w:r>
    </w:p>
    <w:p>
      <w:pPr>
        <w:spacing w:after="0" w:line="196"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Our inventories are composed of finished goods and are stated at the lower of cost or net realizable value, with cost determined using the first-in, first-out method. Net realizable value is defined as the “estimated selling prices in the ordinary course of business, less reasonably predictable costs of completion, disposal and transportation.” The inventory value is adjusted periodically, if needed, to reflect current market conditions and inventory composition, which requires our judgments that may significantly affect the ending inventory valuation, as well as gross margin. The estimates used in inventory valuation are obsolescence (including excess and slow-moving inventory and lower of cost or market reserves) and estimates of inventory shrinkage. We adjust our inventory for obsolescence based on historical trends, aging reports, specific identification, current retail prices and our estimates of future retail sales prices.</w:t>
      </w:r>
    </w:p>
    <w:p>
      <w:pPr>
        <w:spacing w:after="0" w:line="162" w:lineRule="exact"/>
        <w:rPr>
          <w:sz w:val="20"/>
          <w:szCs w:val="20"/>
          <w:color w:val="auto"/>
        </w:rPr>
      </w:pPr>
    </w:p>
    <w:p>
      <w:pPr>
        <w:ind w:right="100" w:firstLine="475"/>
        <w:spacing w:after="0" w:line="261" w:lineRule="auto"/>
        <w:rPr>
          <w:sz w:val="20"/>
          <w:szCs w:val="20"/>
          <w:color w:val="auto"/>
        </w:rPr>
      </w:pPr>
      <w:r>
        <w:rPr>
          <w:rFonts w:ascii="Times New Roman" w:cs="Times New Roman" w:eastAsia="Times New Roman" w:hAnsi="Times New Roman"/>
          <w:sz w:val="20"/>
          <w:szCs w:val="20"/>
          <w:color w:val="1E1E1E"/>
        </w:rPr>
        <w:t>The reserve for inventory shrinkage is adjusted to reflect the trend of historical physical inventory count results. The Company performs its retail store physical inventory counts in July and the difference between actual and estimated shrinkage, recorded in Cost of goods sold, may cause fluctuations, particularly in second fiscal quarter results.</w:t>
      </w:r>
    </w:p>
    <w:p>
      <w:pPr>
        <w:spacing w:after="0" w:line="138"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1E1E1E"/>
        </w:rPr>
        <w:t>Due to these factors, our obsolescence and shrinkage reserves contain uncertainties. Both estimates have calculations that require us to make assumptions and to apply judgment regarding a number of factors, including market conditions, the selling environment, historical results and current inventory trends. If actual observed obsolescence or periodic updates of our shrinkage estimates differ from our original estimates, we adjust our inventory reserves accordingly throughout the period. We do not believe that changes in the assumptions used in these estimates would have a significant effect on our net income or inventory balances. We have not made any material changes to our assumptions included in the calculations of the obsolescence and shrinkage reserves during the periods presented, nor have we recorded significant adjustments related to the physical inventory process.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Income Taxes</w:t>
      </w:r>
    </w:p>
    <w:p>
      <w:pPr>
        <w:spacing w:after="0" w:line="200" w:lineRule="exact"/>
        <w:rPr>
          <w:sz w:val="20"/>
          <w:szCs w:val="20"/>
          <w:color w:val="auto"/>
        </w:rPr>
      </w:pPr>
    </w:p>
    <w:p>
      <w:pPr>
        <w:ind w:right="60" w:firstLine="490"/>
        <w:spacing w:after="0" w:line="250" w:lineRule="auto"/>
        <w:rPr>
          <w:sz w:val="20"/>
          <w:szCs w:val="20"/>
          <w:color w:val="auto"/>
        </w:rPr>
      </w:pPr>
      <w:r>
        <w:rPr>
          <w:rFonts w:ascii="Times New Roman" w:cs="Times New Roman" w:eastAsia="Times New Roman" w:hAnsi="Times New Roman"/>
          <w:sz w:val="20"/>
          <w:szCs w:val="20"/>
          <w:color w:val="1E1E1E"/>
        </w:rPr>
        <w:t xml:space="preserve">We account for income taxes and the related accounts using the asset and liability method in accordance with ASC Topic 740, </w:t>
      </w:r>
      <w:r>
        <w:rPr>
          <w:rFonts w:ascii="Times New Roman" w:cs="Times New Roman" w:eastAsia="Times New Roman" w:hAnsi="Times New Roman"/>
          <w:sz w:val="20"/>
          <w:szCs w:val="20"/>
          <w:i w:val="1"/>
          <w:iCs w:val="1"/>
          <w:color w:val="1E1E1E"/>
        </w:rPr>
        <w:t>Income Taxes</w:t>
      </w:r>
      <w:r>
        <w:rPr>
          <w:rFonts w:ascii="Times New Roman" w:cs="Times New Roman" w:eastAsia="Times New Roman" w:hAnsi="Times New Roman"/>
          <w:sz w:val="20"/>
          <w:szCs w:val="20"/>
          <w:color w:val="1E1E1E"/>
        </w:rPr>
        <w:t xml:space="preserve"> (“ASC 740”). Under this method, we accrue income taxes payable or refundable and recognize deferred tax assets and liabilities based on differences between U.S. GAAP and tax bases of assets and liabilities. We measure deferred tax assets and liabilities using enacted tax rates in effect for the years in which the differences are expected to reverse, and recognize the effect of a change in enacted rates in the period of enactment.</w:t>
      </w:r>
    </w:p>
    <w:p>
      <w:pPr>
        <w:spacing w:after="0" w:line="151" w:lineRule="exact"/>
        <w:rPr>
          <w:sz w:val="20"/>
          <w:szCs w:val="20"/>
          <w:color w:val="auto"/>
        </w:rPr>
      </w:pPr>
    </w:p>
    <w:p>
      <w:pPr>
        <w:ind w:right="300" w:firstLine="490"/>
        <w:spacing w:after="0" w:line="250" w:lineRule="auto"/>
        <w:rPr>
          <w:sz w:val="20"/>
          <w:szCs w:val="20"/>
          <w:color w:val="auto"/>
        </w:rPr>
      </w:pPr>
      <w:r>
        <w:rPr>
          <w:rFonts w:ascii="Times New Roman" w:cs="Times New Roman" w:eastAsia="Times New Roman" w:hAnsi="Times New Roman"/>
          <w:sz w:val="20"/>
          <w:szCs w:val="20"/>
          <w:color w:val="1E1E1E"/>
        </w:rPr>
        <w:t>We record net deferred tax assets to the extent we believe these assets will more likely than not be realized. In making such determination, we consider all available positive and negative evidence, including future reversals of existing taxable temporary differences, projected future taxable income, tax planning strategies and recent financial operations. A valuation allowance is established if it is more likely than not that some portion or all of the deferred income tax asset will not be realized. A valuation allowance was recognized for the year ended February 2, 2025.</w:t>
      </w:r>
    </w:p>
    <w:p>
      <w:pPr>
        <w:spacing w:after="0" w:line="151" w:lineRule="exact"/>
        <w:rPr>
          <w:sz w:val="20"/>
          <w:szCs w:val="20"/>
          <w:color w:val="auto"/>
        </w:rPr>
      </w:pPr>
    </w:p>
    <w:p>
      <w:pPr>
        <w:jc w:val="both"/>
        <w:ind w:right="80" w:firstLine="490"/>
        <w:spacing w:after="0" w:line="261" w:lineRule="auto"/>
        <w:rPr>
          <w:sz w:val="20"/>
          <w:szCs w:val="20"/>
          <w:color w:val="auto"/>
        </w:rPr>
      </w:pPr>
      <w:r>
        <w:rPr>
          <w:rFonts w:ascii="Times New Roman" w:cs="Times New Roman" w:eastAsia="Times New Roman" w:hAnsi="Times New Roman"/>
          <w:sz w:val="20"/>
          <w:szCs w:val="20"/>
          <w:color w:val="1E1E1E"/>
        </w:rPr>
        <w:t>We establish assets and liabilities for uncertain tax positions taken or expected to be taken in income tax returns, using a more-likely-than-not recognition threshold. We recognize penalties and interest related to uncertain tax positions as income tax expense.</w:t>
      </w:r>
    </w:p>
    <w:p>
      <w:pPr>
        <w:spacing w:after="0" w:line="143" w:lineRule="exact"/>
        <w:rPr>
          <w:sz w:val="20"/>
          <w:szCs w:val="20"/>
          <w:color w:val="auto"/>
        </w:rPr>
      </w:pPr>
    </w:p>
    <w:p>
      <w:pPr>
        <w:ind w:right="940" w:firstLine="490"/>
        <w:spacing w:after="0" w:line="281" w:lineRule="auto"/>
        <w:rPr>
          <w:sz w:val="20"/>
          <w:szCs w:val="20"/>
          <w:color w:val="auto"/>
        </w:rPr>
      </w:pPr>
      <w:r>
        <w:rPr>
          <w:rFonts w:ascii="Times New Roman" w:cs="Times New Roman" w:eastAsia="Times New Roman" w:hAnsi="Times New Roman"/>
          <w:sz w:val="20"/>
          <w:szCs w:val="20"/>
          <w:color w:val="1E1E1E"/>
        </w:rPr>
        <w:t>See Note 9 “Income Taxes,” of Notes to Consolidated Financial Statements included in this Annual Report on Form 10-K.</w:t>
      </w:r>
    </w:p>
    <w:p>
      <w:pPr>
        <w:sectPr>
          <w:pgSz w:w="11880" w:h="15480" w:orient="portrait"/>
          <w:cols w:equalWidth="0" w:num="1">
            <w:col w:w="10240"/>
          </w:cols>
          <w:pgMar w:left="820" w:top="877" w:right="820" w:bottom="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36</w:t>
      </w:r>
    </w:p>
    <w:p>
      <w:pPr>
        <w:sectPr>
          <w:pgSz w:w="11880" w:h="15480" w:orient="portrait"/>
          <w:cols w:equalWidth="0" w:num="1">
            <w:col w:w="10240"/>
          </w:cols>
          <w:pgMar w:left="820" w:top="877" w:right="820" w:bottom="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7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1E1E1E"/>
              </w:rPr>
              <w:t>ITEM 8.</w:t>
            </w:r>
          </w:p>
        </w:tc>
        <w:tc>
          <w:tcPr>
            <w:tcW w:w="720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FINANCIAL STATEMENTS AND SUPPLEMENTARY DATA</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1"/>
        </w:trPr>
        <w:tc>
          <w:tcPr>
            <w:tcW w:w="900" w:type="dxa"/>
            <w:vAlign w:val="bottom"/>
          </w:tcPr>
          <w:p>
            <w:pPr>
              <w:spacing w:after="0"/>
              <w:rPr>
                <w:sz w:val="24"/>
                <w:szCs w:val="24"/>
                <w:color w:val="auto"/>
              </w:rPr>
            </w:pPr>
          </w:p>
        </w:tc>
        <w:tc>
          <w:tcPr>
            <w:tcW w:w="7200" w:type="dxa"/>
            <w:vAlign w:val="bottom"/>
          </w:tcPr>
          <w:p>
            <w:pPr>
              <w:ind w:left="2480"/>
              <w:spacing w:after="0"/>
              <w:rPr>
                <w:sz w:val="20"/>
                <w:szCs w:val="20"/>
                <w:color w:val="auto"/>
              </w:rPr>
            </w:pPr>
            <w:r>
              <w:rPr>
                <w:rFonts w:ascii="Times New Roman" w:cs="Times New Roman" w:eastAsia="Times New Roman" w:hAnsi="Times New Roman"/>
                <w:sz w:val="20"/>
                <w:szCs w:val="20"/>
                <w:color w:val="1E1E1E"/>
              </w:rPr>
              <w:t>Index to Consolidated Financial Statements</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0" w:type="dxa"/>
            <w:vAlign w:val="bottom"/>
            <w:tcBorders>
              <w:bottom w:val="single" w:sz="8" w:color="E2E2E2"/>
            </w:tcBorders>
          </w:tcPr>
          <w:p>
            <w:pPr>
              <w:spacing w:after="0"/>
              <w:rPr>
                <w:sz w:val="20"/>
                <w:szCs w:val="20"/>
                <w:color w:val="auto"/>
              </w:rPr>
            </w:pPr>
          </w:p>
        </w:tc>
        <w:tc>
          <w:tcPr>
            <w:tcW w:w="7200" w:type="dxa"/>
            <w:vAlign w:val="bottom"/>
            <w:tcBorders>
              <w:bottom w:val="single" w:sz="8" w:color="E2E2E2"/>
            </w:tcBorders>
          </w:tcPr>
          <w:p>
            <w:pPr>
              <w:spacing w:after="0"/>
              <w:rPr>
                <w:sz w:val="20"/>
                <w:szCs w:val="20"/>
                <w:color w:val="auto"/>
              </w:rPr>
            </w:pPr>
          </w:p>
        </w:tc>
        <w:tc>
          <w:tcPr>
            <w:tcW w:w="2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Page</w:t>
            </w:r>
          </w:p>
        </w:tc>
        <w:tc>
          <w:tcPr>
            <w:tcW w:w="0" w:type="dxa"/>
            <w:vAlign w:val="bottom"/>
          </w:tcPr>
          <w:p>
            <w:pPr>
              <w:spacing w:after="0"/>
              <w:rPr>
                <w:sz w:val="1"/>
                <w:szCs w:val="1"/>
                <w:color w:val="auto"/>
              </w:rPr>
            </w:pPr>
          </w:p>
        </w:tc>
      </w:tr>
      <w:tr>
        <w:trPr>
          <w:trHeight w:val="277"/>
        </w:trPr>
        <w:tc>
          <w:tcPr>
            <w:tcW w:w="810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Report of Independent Registered Public Accounting Firm (KPMG LLP, PCAOB ID No. 185)</w:t>
            </w:r>
          </w:p>
        </w:tc>
        <w:tc>
          <w:tcPr>
            <w:tcW w:w="2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38</w:t>
            </w:r>
          </w:p>
        </w:tc>
        <w:tc>
          <w:tcPr>
            <w:tcW w:w="0" w:type="dxa"/>
            <w:vAlign w:val="bottom"/>
          </w:tcPr>
          <w:p>
            <w:pPr>
              <w:spacing w:after="0"/>
              <w:rPr>
                <w:sz w:val="1"/>
                <w:szCs w:val="1"/>
                <w:color w:val="auto"/>
              </w:rPr>
            </w:pPr>
          </w:p>
        </w:tc>
      </w:tr>
      <w:tr>
        <w:trPr>
          <w:trHeight w:val="280"/>
        </w:trPr>
        <w:tc>
          <w:tcPr>
            <w:tcW w:w="81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1E1E1E"/>
              </w:rPr>
              <w:t>Consolidated Balance Sheets as of February 2, 2025 and January 28, 2024</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41</w:t>
            </w:r>
          </w:p>
        </w:tc>
        <w:tc>
          <w:tcPr>
            <w:tcW w:w="0" w:type="dxa"/>
            <w:vAlign w:val="bottom"/>
          </w:tcPr>
          <w:p>
            <w:pPr>
              <w:spacing w:after="0"/>
              <w:rPr>
                <w:sz w:val="1"/>
                <w:szCs w:val="1"/>
                <w:color w:val="auto"/>
              </w:rPr>
            </w:pPr>
          </w:p>
        </w:tc>
      </w:tr>
      <w:tr>
        <w:trPr>
          <w:trHeight w:val="212"/>
        </w:trPr>
        <w:tc>
          <w:tcPr>
            <w:tcW w:w="8100" w:type="dxa"/>
            <w:vAlign w:val="bottom"/>
            <w:gridSpan w:val="2"/>
            <w:shd w:val="clear" w:color="auto" w:fill="E2E2E2"/>
          </w:tcPr>
          <w:p>
            <w:pPr>
              <w:ind w:left="60"/>
              <w:spacing w:after="0" w:line="211" w:lineRule="exact"/>
              <w:rPr>
                <w:sz w:val="20"/>
                <w:szCs w:val="20"/>
                <w:color w:val="auto"/>
              </w:rPr>
            </w:pPr>
            <w:r>
              <w:rPr>
                <w:rFonts w:ascii="Times New Roman" w:cs="Times New Roman" w:eastAsia="Times New Roman" w:hAnsi="Times New Roman"/>
                <w:sz w:val="20"/>
                <w:szCs w:val="20"/>
                <w:color w:val="1E1E1E"/>
              </w:rPr>
              <w:t>Consolidated Statements of Operations for Fiscal Years Ended February 2, 2025 and January 28,</w:t>
            </w:r>
          </w:p>
        </w:tc>
        <w:tc>
          <w:tcPr>
            <w:tcW w:w="2140" w:type="dxa"/>
            <w:vAlign w:val="bottom"/>
            <w:shd w:val="clear" w:color="auto" w:fill="E2E2E2"/>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9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2024</w:t>
            </w:r>
          </w:p>
        </w:tc>
        <w:tc>
          <w:tcPr>
            <w:tcW w:w="7200" w:type="dxa"/>
            <w:vAlign w:val="bottom"/>
            <w:shd w:val="clear" w:color="auto" w:fill="E2E2E2"/>
          </w:tcPr>
          <w:p>
            <w:pPr>
              <w:spacing w:after="0"/>
              <w:rPr>
                <w:sz w:val="23"/>
                <w:szCs w:val="23"/>
                <w:color w:val="auto"/>
              </w:rPr>
            </w:pPr>
          </w:p>
        </w:tc>
        <w:tc>
          <w:tcPr>
            <w:tcW w:w="2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42</w:t>
            </w:r>
          </w:p>
        </w:tc>
        <w:tc>
          <w:tcPr>
            <w:tcW w:w="0" w:type="dxa"/>
            <w:vAlign w:val="bottom"/>
          </w:tcPr>
          <w:p>
            <w:pPr>
              <w:spacing w:after="0"/>
              <w:rPr>
                <w:sz w:val="1"/>
                <w:szCs w:val="1"/>
                <w:color w:val="auto"/>
              </w:rPr>
            </w:pPr>
          </w:p>
        </w:tc>
      </w:tr>
      <w:tr>
        <w:trPr>
          <w:trHeight w:val="208"/>
        </w:trPr>
        <w:tc>
          <w:tcPr>
            <w:tcW w:w="810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20"/>
                <w:szCs w:val="20"/>
                <w:color w:val="1E1E1E"/>
              </w:rPr>
              <w:t>Consolidated Statements of Comprehensive Income for Fiscal Years Ended February 2, 2025 and</w:t>
            </w:r>
          </w:p>
        </w:tc>
        <w:tc>
          <w:tcPr>
            <w:tcW w:w="2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43</w:t>
            </w:r>
          </w:p>
        </w:tc>
        <w:tc>
          <w:tcPr>
            <w:tcW w:w="0" w:type="dxa"/>
            <w:vAlign w:val="bottom"/>
          </w:tcPr>
          <w:p>
            <w:pPr>
              <w:spacing w:after="0"/>
              <w:rPr>
                <w:sz w:val="1"/>
                <w:szCs w:val="1"/>
                <w:color w:val="auto"/>
              </w:rPr>
            </w:pPr>
          </w:p>
        </w:tc>
      </w:tr>
      <w:tr>
        <w:trPr>
          <w:trHeight w:val="273"/>
        </w:trPr>
        <w:tc>
          <w:tcPr>
            <w:tcW w:w="81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1E1E1E"/>
              </w:rPr>
              <w:t>January 28, 2024</w:t>
            </w:r>
          </w:p>
        </w:tc>
        <w:tc>
          <w:tcPr>
            <w:tcW w:w="2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8100" w:type="dxa"/>
            <w:vAlign w:val="bottom"/>
            <w:gridSpan w:val="2"/>
            <w:shd w:val="clear" w:color="auto" w:fill="E2E2E2"/>
          </w:tcPr>
          <w:p>
            <w:pPr>
              <w:ind w:left="60"/>
              <w:spacing w:after="0" w:line="211" w:lineRule="exact"/>
              <w:rPr>
                <w:sz w:val="20"/>
                <w:szCs w:val="20"/>
                <w:color w:val="auto"/>
              </w:rPr>
            </w:pPr>
            <w:r>
              <w:rPr>
                <w:rFonts w:ascii="Times New Roman" w:cs="Times New Roman" w:eastAsia="Times New Roman" w:hAnsi="Times New Roman"/>
                <w:sz w:val="20"/>
                <w:szCs w:val="20"/>
                <w:color w:val="1E1E1E"/>
              </w:rPr>
              <w:t>Consolidated Statements of Shareholders’ Equity for Fiscal Years Ended February 2, 2025 and</w:t>
            </w:r>
          </w:p>
        </w:tc>
        <w:tc>
          <w:tcPr>
            <w:tcW w:w="2140" w:type="dxa"/>
            <w:vAlign w:val="bottom"/>
            <w:shd w:val="clear" w:color="auto" w:fill="E2E2E2"/>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810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January 28, 2024</w:t>
            </w:r>
          </w:p>
        </w:tc>
        <w:tc>
          <w:tcPr>
            <w:tcW w:w="2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w:t>
            </w:r>
          </w:p>
        </w:tc>
        <w:tc>
          <w:tcPr>
            <w:tcW w:w="0" w:type="dxa"/>
            <w:vAlign w:val="bottom"/>
          </w:tcPr>
          <w:p>
            <w:pPr>
              <w:spacing w:after="0"/>
              <w:rPr>
                <w:sz w:val="1"/>
                <w:szCs w:val="1"/>
                <w:color w:val="auto"/>
              </w:rPr>
            </w:pPr>
          </w:p>
        </w:tc>
      </w:tr>
      <w:tr>
        <w:trPr>
          <w:trHeight w:val="208"/>
        </w:trPr>
        <w:tc>
          <w:tcPr>
            <w:tcW w:w="810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20"/>
                <w:szCs w:val="20"/>
                <w:color w:val="1E1E1E"/>
              </w:rPr>
              <w:t>Consolidated Statements of Cash Flows for Fiscal Years Ended February 2, 2025 and January 28,</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2024</w:t>
            </w:r>
          </w:p>
        </w:tc>
        <w:tc>
          <w:tcPr>
            <w:tcW w:w="720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45</w:t>
            </w:r>
          </w:p>
        </w:tc>
        <w:tc>
          <w:tcPr>
            <w:tcW w:w="0" w:type="dxa"/>
            <w:vAlign w:val="bottom"/>
          </w:tcPr>
          <w:p>
            <w:pPr>
              <w:spacing w:after="0"/>
              <w:rPr>
                <w:sz w:val="1"/>
                <w:szCs w:val="1"/>
                <w:color w:val="auto"/>
              </w:rPr>
            </w:pPr>
          </w:p>
        </w:tc>
      </w:tr>
      <w:tr>
        <w:trPr>
          <w:trHeight w:val="282"/>
        </w:trPr>
        <w:tc>
          <w:tcPr>
            <w:tcW w:w="810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Notes to Consolidated Financial Statements</w:t>
            </w:r>
          </w:p>
        </w:tc>
        <w:tc>
          <w:tcPr>
            <w:tcW w:w="2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46</w:t>
            </w:r>
          </w:p>
        </w:tc>
        <w:tc>
          <w:tcPr>
            <w:tcW w:w="0" w:type="dxa"/>
            <w:vAlign w:val="bottom"/>
          </w:tcPr>
          <w:p>
            <w:pPr>
              <w:spacing w:after="0"/>
              <w:rPr>
                <w:sz w:val="1"/>
                <w:szCs w:val="1"/>
                <w:color w:val="auto"/>
              </w:rPr>
            </w:pPr>
          </w:p>
        </w:tc>
      </w:tr>
      <w:tr>
        <w:trPr>
          <w:trHeight w:val="276"/>
        </w:trPr>
        <w:tc>
          <w:tcPr>
            <w:tcW w:w="81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1E1E1E"/>
              </w:rPr>
              <w:t>Schedule II Valuation and Qualifying Accounts</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40"/>
          </w:cols>
          <w:pgMar w:left="820" w:top="101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37</w:t>
      </w:r>
    </w:p>
    <w:p>
      <w:pPr>
        <w:sectPr>
          <w:pgSz w:w="11880" w:h="15480" w:orient="portrait"/>
          <w:cols w:equalWidth="0" w:num="1">
            <w:col w:w="10240"/>
          </w:cols>
          <w:pgMar w:left="820" w:top="1016" w:right="820" w:bottom="0" w:gutter="0" w:footer="0" w:header="0"/>
          <w:type w:val="continuous"/>
        </w:sectPr>
      </w:pPr>
    </w:p>
    <w:bookmarkStart w:id="43" w:name="page44"/>
    <w:bookmarkEnd w:id="43"/>
    <w:p>
      <w:pPr>
        <w:ind w:left="2620"/>
        <w:spacing w:after="0"/>
        <w:rPr>
          <w:sz w:val="20"/>
          <w:szCs w:val="20"/>
          <w:color w:val="auto"/>
        </w:rPr>
      </w:pPr>
      <w:r>
        <w:rPr>
          <w:rFonts w:ascii="Times New Roman" w:cs="Times New Roman" w:eastAsia="Times New Roman" w:hAnsi="Times New Roman"/>
          <w:sz w:val="20"/>
          <w:szCs w:val="20"/>
          <w:b w:val="1"/>
          <w:bCs w:val="1"/>
          <w:color w:val="1E1E1E"/>
        </w:rPr>
        <w:t>Report of Independent Registered Public Accounting Firm</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To the Shareholders and Board of Directors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Duluth Holdings Inc.</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Opinion on the Consolidated Financial Statements</w:t>
      </w:r>
    </w:p>
    <w:p>
      <w:pPr>
        <w:spacing w:after="0" w:line="27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1E1E1E"/>
        </w:rPr>
        <w:t>We have audited the accompanying consolidated balance sheets of Duluth Holdings Inc. and subsidiaries (the Company) as of February 2, 2025 and January 28, 2024, the related consolidated statements of operations, comprehensive income, shareholders’ equity, and cash flows for the years then ended, and the related notes and financial statement schedule II - Valuation and Qualifying Accounts (collectively, the consolidated financial statements). In our opinion, the consolidated financial statements present fairly, in all material respects, the financial position of the Company as of February 2, 2025 and January 28, 2024, and the results of its operations and its cash flows for each of the years then ended, in conformity with U.S. generally accepted accounting principles.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Basis for Opinion</w:t>
      </w:r>
    </w:p>
    <w:p>
      <w:pPr>
        <w:spacing w:after="0" w:line="22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1E1E1E"/>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1E1E1E"/>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Critical Audit Matter</w:t>
      </w:r>
    </w:p>
    <w:p>
      <w:pPr>
        <w:spacing w:after="0" w:line="22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1E1E1E"/>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1E1E1E"/>
        </w:rPr>
        <w:t>Product return reserve</w:t>
      </w:r>
    </w:p>
    <w:p>
      <w:pPr>
        <w:spacing w:after="0" w:line="237" w:lineRule="exact"/>
        <w:rPr>
          <w:sz w:val="20"/>
          <w:szCs w:val="20"/>
          <w:color w:val="auto"/>
        </w:rPr>
      </w:pPr>
    </w:p>
    <w:p>
      <w:pPr>
        <w:ind w:left="360" w:right="180"/>
        <w:spacing w:after="0" w:line="271" w:lineRule="auto"/>
        <w:rPr>
          <w:sz w:val="20"/>
          <w:szCs w:val="20"/>
          <w:color w:val="auto"/>
        </w:rPr>
      </w:pPr>
      <w:r>
        <w:rPr>
          <w:rFonts w:ascii="Times New Roman" w:cs="Times New Roman" w:eastAsia="Times New Roman" w:hAnsi="Times New Roman"/>
          <w:sz w:val="20"/>
          <w:szCs w:val="20"/>
          <w:color w:val="1E1E1E"/>
        </w:rPr>
        <w:t>As discussed in Note 5 to the consolidated financial statements, as of February 2, 2025 the Company recorded $4,568 thousand in reserves for product returns within accrued expenses and other current liabilities. Management estimates the product return reserve using its own historical sales and product return information.</w:t>
      </w:r>
    </w:p>
    <w:p>
      <w:pPr>
        <w:spacing w:after="0" w:line="142" w:lineRule="exact"/>
        <w:rPr>
          <w:sz w:val="20"/>
          <w:szCs w:val="20"/>
          <w:color w:val="auto"/>
        </w:rPr>
      </w:pPr>
    </w:p>
    <w:p>
      <w:pPr>
        <w:ind w:left="360" w:right="220"/>
        <w:spacing w:after="0" w:line="271" w:lineRule="auto"/>
        <w:rPr>
          <w:sz w:val="20"/>
          <w:szCs w:val="20"/>
          <w:color w:val="auto"/>
        </w:rPr>
      </w:pPr>
      <w:r>
        <w:rPr>
          <w:rFonts w:ascii="Times New Roman" w:cs="Times New Roman" w:eastAsia="Times New Roman" w:hAnsi="Times New Roman"/>
          <w:sz w:val="20"/>
          <w:szCs w:val="20"/>
          <w:color w:val="1E1E1E"/>
        </w:rPr>
        <w:t>We identified the assessment of the product return reserve as a critical audit matter. A high degree of auditor judgement was required to assess whether the historical return rate used to estimate the reserve for product returns is indicative of future returns.</w:t>
      </w:r>
    </w:p>
    <w:p>
      <w:pPr>
        <w:spacing w:after="0" w:line="128" w:lineRule="exact"/>
        <w:rPr>
          <w:sz w:val="20"/>
          <w:szCs w:val="20"/>
          <w:color w:val="auto"/>
        </w:rPr>
      </w:pPr>
    </w:p>
    <w:p>
      <w:pPr>
        <w:ind w:left="360" w:right="60"/>
        <w:spacing w:after="0" w:line="247" w:lineRule="auto"/>
        <w:rPr>
          <w:sz w:val="20"/>
          <w:szCs w:val="20"/>
          <w:color w:val="auto"/>
        </w:rPr>
      </w:pPr>
      <w:r>
        <w:rPr>
          <w:rFonts w:ascii="Times New Roman" w:cs="Times New Roman" w:eastAsia="Times New Roman" w:hAnsi="Times New Roman"/>
          <w:sz w:val="20"/>
          <w:szCs w:val="20"/>
          <w:color w:val="1E1E1E"/>
        </w:rPr>
        <w:t>The following are the primary procedures we performed to address this critical audit matter. We evaluated and tested the design and implementation of certain internal controls related to the product return reserve. This included controls related to determining the historical return rate used to estimate product returns. We assessed the Company’s ability to accurately estimate the product return rate by comparing prior period estimates to actual product return rates experienced. We analyzed the product return rate assumption by evaluating the consistency of the assumption with the trend of actual historical product return rates and by comparing the product return reserve to actual product returns received after the balance sheet date</w:t>
      </w:r>
      <w:r>
        <w:rPr>
          <w:rFonts w:ascii="Arial" w:cs="Arial" w:eastAsia="Arial" w:hAnsi="Arial"/>
          <w:sz w:val="20"/>
          <w:szCs w:val="20"/>
          <w:color w:val="1E1E1E"/>
        </w:rPr>
        <w:t>.</w:t>
      </w:r>
    </w:p>
    <w:p>
      <w:pPr>
        <w:sectPr>
          <w:pgSz w:w="11880" w:h="15480" w:orient="portrait"/>
          <w:cols w:equalWidth="0" w:num="1">
            <w:col w:w="10160"/>
          </w:cols>
          <w:pgMar w:left="820" w:top="922" w:right="900" w:bottom="0" w:gutter="0" w:footer="0" w:header="0"/>
        </w:sect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1E1E1E"/>
        </w:rPr>
        <w:t>38</w:t>
      </w:r>
    </w:p>
    <w:p>
      <w:pPr>
        <w:sectPr>
          <w:pgSz w:w="11880" w:h="15480" w:orient="portrait"/>
          <w:cols w:equalWidth="0" w:num="1">
            <w:col w:w="10160"/>
          </w:cols>
          <w:pgMar w:left="820" w:top="922" w:right="900" w:bottom="0" w:gutter="0" w:footer="0" w:header="0"/>
          <w:type w:val="continuous"/>
        </w:sectPr>
      </w:pPr>
    </w:p>
    <w:bookmarkStart w:id="44" w:name="page45"/>
    <w:bookmarkEnd w:id="44"/>
    <w:p>
      <w:pPr>
        <w:jc w:val="right"/>
        <w:ind w:right="3880"/>
        <w:spacing w:after="0"/>
        <w:rPr>
          <w:sz w:val="20"/>
          <w:szCs w:val="20"/>
          <w:color w:val="auto"/>
        </w:rPr>
      </w:pPr>
      <w:r>
        <w:rPr>
          <w:rFonts w:ascii="Times New Roman" w:cs="Times New Roman" w:eastAsia="Times New Roman" w:hAnsi="Times New Roman"/>
          <w:sz w:val="20"/>
          <w:szCs w:val="20"/>
          <w:color w:val="1E1E1E"/>
        </w:rPr>
        <w:t>/s/ KPMG LLP</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We have served as the Company’s auditor since 2021.</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Milwaukee, Wisconsin</w:t>
      </w:r>
    </w:p>
    <w:p>
      <w:pPr>
        <w:spacing w:after="0"/>
        <w:rPr>
          <w:sz w:val="20"/>
          <w:szCs w:val="20"/>
          <w:color w:val="auto"/>
        </w:rPr>
      </w:pPr>
      <w:r>
        <w:rPr>
          <w:rFonts w:ascii="Times New Roman" w:cs="Times New Roman" w:eastAsia="Times New Roman" w:hAnsi="Times New Roman"/>
          <w:sz w:val="20"/>
          <w:szCs w:val="20"/>
          <w:color w:val="1E1E1E"/>
        </w:rPr>
        <w:t>March 21, 2025</w:t>
      </w:r>
    </w:p>
    <w:p>
      <w:pPr>
        <w:sectPr>
          <w:pgSz w:w="11880" w:h="15480" w:orient="portrait"/>
          <w:cols w:equalWidth="0" w:num="1">
            <w:col w:w="9620"/>
          </w:cols>
          <w:pgMar w:left="820" w:top="110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color w:val="1E1E1E"/>
        </w:rPr>
        <w:t>39</w:t>
      </w:r>
    </w:p>
    <w:p>
      <w:pPr>
        <w:sectPr>
          <w:pgSz w:w="11880" w:h="15480" w:orient="portrait"/>
          <w:cols w:equalWidth="0" w:num="1">
            <w:col w:w="9620"/>
          </w:cols>
          <w:pgMar w:left="820" w:top="1107" w:right="1440" w:bottom="0"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20"/>
          <w:szCs w:val="20"/>
          <w:b w:val="1"/>
          <w:bCs w:val="1"/>
          <w:color w:val="1E1E1E"/>
        </w:rPr>
        <w:t>DULUTH HOLDINGS INC.</w:t>
      </w:r>
    </w:p>
    <w:p>
      <w:pPr>
        <w:jc w:val="center"/>
        <w:ind w:right="-79"/>
        <w:spacing w:after="0"/>
        <w:rPr>
          <w:sz w:val="20"/>
          <w:szCs w:val="20"/>
          <w:color w:val="auto"/>
        </w:rPr>
      </w:pPr>
      <w:r>
        <w:rPr>
          <w:rFonts w:ascii="Times New Roman" w:cs="Times New Roman" w:eastAsia="Times New Roman" w:hAnsi="Times New Roman"/>
          <w:sz w:val="20"/>
          <w:szCs w:val="20"/>
          <w:b w:val="1"/>
          <w:bCs w:val="1"/>
          <w:color w:val="1E1E1E"/>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1E1E1E"/>
        </w:rPr>
        <w:t>(Amounts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840" w:type="dxa"/>
            <w:vAlign w:val="bottom"/>
            <w:tcBorders>
              <w:bottom w:val="single" w:sz="8" w:color="E2E2E2"/>
            </w:tcBorders>
          </w:tcPr>
          <w:p>
            <w:pPr>
              <w:spacing w:after="0"/>
              <w:rPr>
                <w:sz w:val="17"/>
                <w:szCs w:val="17"/>
                <w:color w:val="auto"/>
              </w:rPr>
            </w:pPr>
          </w:p>
        </w:tc>
        <w:tc>
          <w:tcPr>
            <w:tcW w:w="16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1380" w:type="dxa"/>
            <w:vAlign w:val="bottom"/>
            <w:tcBorders>
              <w:bottom w:val="single" w:sz="8" w:color="1E1E1E"/>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1E1E1E"/>
              </w:rPr>
              <w:t>February 2, 2025</w:t>
            </w:r>
          </w:p>
        </w:tc>
        <w:tc>
          <w:tcPr>
            <w:tcW w:w="180" w:type="dxa"/>
            <w:vAlign w:val="bottom"/>
            <w:tcBorders>
              <w:bottom w:val="single" w:sz="8" w:color="E2E2E2"/>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1380" w:type="dxa"/>
            <w:vAlign w:val="bottom"/>
            <w:tcBorders>
              <w:bottom w:val="single" w:sz="8" w:color="1E1E1E"/>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1E1E1E"/>
              </w:rPr>
              <w:t>January 28, 2024</w:t>
            </w:r>
          </w:p>
        </w:tc>
      </w:tr>
      <w:tr>
        <w:trPr>
          <w:trHeight w:val="206"/>
        </w:trPr>
        <w:tc>
          <w:tcPr>
            <w:tcW w:w="6840" w:type="dxa"/>
            <w:vAlign w:val="bottom"/>
            <w:shd w:val="clear" w:color="auto" w:fill="E2E2E2"/>
          </w:tcPr>
          <w:p>
            <w:pPr>
              <w:spacing w:after="0" w:line="206" w:lineRule="exact"/>
              <w:rPr>
                <w:sz w:val="20"/>
                <w:szCs w:val="20"/>
                <w:color w:val="auto"/>
              </w:rPr>
            </w:pPr>
            <w:r>
              <w:rPr>
                <w:rFonts w:ascii="Times New Roman" w:cs="Times New Roman" w:eastAsia="Times New Roman" w:hAnsi="Times New Roman"/>
                <w:sz w:val="20"/>
                <w:szCs w:val="20"/>
                <w:b w:val="1"/>
                <w:bCs w:val="1"/>
                <w:color w:val="1E1E1E"/>
              </w:rPr>
              <w:t>ASSETS</w:t>
            </w:r>
          </w:p>
        </w:tc>
        <w:tc>
          <w:tcPr>
            <w:tcW w:w="16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140" w:type="dxa"/>
            <w:vAlign w:val="bottom"/>
            <w:shd w:val="clear" w:color="auto" w:fill="E2E2E2"/>
          </w:tcPr>
          <w:p>
            <w:pPr>
              <w:spacing w:after="0"/>
              <w:rPr>
                <w:sz w:val="17"/>
                <w:szCs w:val="17"/>
                <w:color w:val="auto"/>
              </w:rPr>
            </w:pPr>
          </w:p>
        </w:tc>
        <w:tc>
          <w:tcPr>
            <w:tcW w:w="138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40" w:type="dxa"/>
            <w:vAlign w:val="bottom"/>
            <w:shd w:val="clear" w:color="auto" w:fill="E2E2E2"/>
          </w:tcPr>
          <w:p>
            <w:pPr>
              <w:spacing w:after="0"/>
              <w:rPr>
                <w:sz w:val="17"/>
                <w:szCs w:val="17"/>
                <w:color w:val="auto"/>
              </w:rPr>
            </w:pPr>
          </w:p>
        </w:tc>
        <w:tc>
          <w:tcPr>
            <w:tcW w:w="1380" w:type="dxa"/>
            <w:vAlign w:val="bottom"/>
            <w:shd w:val="clear" w:color="auto" w:fill="E2E2E2"/>
          </w:tcPr>
          <w:p>
            <w:pPr>
              <w:spacing w:after="0"/>
              <w:rPr>
                <w:sz w:val="17"/>
                <w:szCs w:val="17"/>
                <w:color w:val="auto"/>
              </w:rPr>
            </w:pPr>
          </w:p>
        </w:tc>
      </w:tr>
      <w:tr>
        <w:trPr>
          <w:trHeight w:val="226"/>
        </w:trPr>
        <w:tc>
          <w:tcPr>
            <w:tcW w:w="68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Current Assets: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6"/>
        </w:trPr>
        <w:tc>
          <w:tcPr>
            <w:tcW w:w="6840" w:type="dxa"/>
            <w:vAlign w:val="bottom"/>
            <w:shd w:val="clear" w:color="auto" w:fill="E2E2E2"/>
          </w:tcPr>
          <w:p>
            <w:pPr>
              <w:ind w:left="120"/>
              <w:spacing w:after="0" w:line="226" w:lineRule="exact"/>
              <w:rPr>
                <w:sz w:val="20"/>
                <w:szCs w:val="20"/>
                <w:color w:val="auto"/>
              </w:rPr>
            </w:pPr>
            <w:r>
              <w:rPr>
                <w:rFonts w:ascii="Times New Roman" w:cs="Times New Roman" w:eastAsia="Times New Roman" w:hAnsi="Times New Roman"/>
                <w:sz w:val="20"/>
                <w:szCs w:val="20"/>
                <w:color w:val="1E1E1E"/>
              </w:rPr>
              <w:t>Cash and cash equivalents</w:t>
            </w:r>
          </w:p>
        </w:tc>
        <w:tc>
          <w:tcPr>
            <w:tcW w:w="320" w:type="dxa"/>
            <w:vAlign w:val="bottom"/>
            <w:gridSpan w:val="3"/>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3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3,335</w:t>
            </w:r>
          </w:p>
        </w:tc>
        <w:tc>
          <w:tcPr>
            <w:tcW w:w="180" w:type="dxa"/>
            <w:vAlign w:val="bottom"/>
            <w:shd w:val="clear" w:color="auto" w:fill="E2E2E2"/>
          </w:tcPr>
          <w:p>
            <w:pPr>
              <w:spacing w:after="0"/>
              <w:rPr>
                <w:sz w:val="19"/>
                <w:szCs w:val="19"/>
                <w:color w:val="auto"/>
              </w:rPr>
            </w:pPr>
          </w:p>
        </w:tc>
        <w:tc>
          <w:tcPr>
            <w:tcW w:w="14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w w:val="79"/>
                <w:shd w:val="clear" w:color="auto" w:fill="E2E2E2"/>
              </w:rPr>
              <w:t>$</w:t>
            </w:r>
          </w:p>
        </w:tc>
        <w:tc>
          <w:tcPr>
            <w:tcW w:w="13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32,157</w:t>
            </w:r>
          </w:p>
        </w:tc>
      </w:tr>
      <w:tr>
        <w:trPr>
          <w:trHeight w:val="226"/>
        </w:trPr>
        <w:tc>
          <w:tcPr>
            <w:tcW w:w="684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1E1E1E"/>
              </w:rPr>
              <w:t>Receivables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3,970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5,955</w:t>
            </w:r>
          </w:p>
        </w:tc>
      </w:tr>
      <w:tr>
        <w:trPr>
          <w:trHeight w:val="226"/>
        </w:trPr>
        <w:tc>
          <w:tcPr>
            <w:tcW w:w="6840" w:type="dxa"/>
            <w:vAlign w:val="bottom"/>
            <w:shd w:val="clear" w:color="auto" w:fill="E2E2E2"/>
          </w:tcPr>
          <w:p>
            <w:pPr>
              <w:ind w:left="120"/>
              <w:spacing w:after="0" w:line="226" w:lineRule="exact"/>
              <w:rPr>
                <w:sz w:val="20"/>
                <w:szCs w:val="20"/>
                <w:color w:val="auto"/>
              </w:rPr>
            </w:pPr>
            <w:r>
              <w:rPr>
                <w:rFonts w:ascii="Times New Roman" w:cs="Times New Roman" w:eastAsia="Times New Roman" w:hAnsi="Times New Roman"/>
                <w:sz w:val="20"/>
                <w:szCs w:val="20"/>
                <w:color w:val="1E1E1E"/>
              </w:rPr>
              <w:t>Income taxes receivable</w:t>
            </w:r>
          </w:p>
        </w:tc>
        <w:tc>
          <w:tcPr>
            <w:tcW w:w="16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13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8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13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617</w:t>
            </w:r>
          </w:p>
        </w:tc>
      </w:tr>
      <w:tr>
        <w:trPr>
          <w:trHeight w:val="298"/>
        </w:trPr>
        <w:tc>
          <w:tcPr>
            <w:tcW w:w="68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Inventory, net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166,545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125,757</w:t>
            </w:r>
          </w:p>
        </w:tc>
      </w:tr>
      <w:tr>
        <w:trPr>
          <w:trHeight w:val="226"/>
        </w:trPr>
        <w:tc>
          <w:tcPr>
            <w:tcW w:w="6840" w:type="dxa"/>
            <w:vAlign w:val="bottom"/>
            <w:shd w:val="clear" w:color="auto" w:fill="E2E2E2"/>
          </w:tcPr>
          <w:p>
            <w:pPr>
              <w:ind w:left="120"/>
              <w:spacing w:after="0" w:line="226" w:lineRule="exact"/>
              <w:rPr>
                <w:sz w:val="20"/>
                <w:szCs w:val="20"/>
                <w:color w:val="auto"/>
              </w:rPr>
            </w:pPr>
            <w:r>
              <w:rPr>
                <w:rFonts w:ascii="Times New Roman" w:cs="Times New Roman" w:eastAsia="Times New Roman" w:hAnsi="Times New Roman"/>
                <w:sz w:val="20"/>
                <w:szCs w:val="20"/>
                <w:color w:val="1E1E1E"/>
              </w:rPr>
              <w:t>Prepaid expenses &amp; other current assets</w:t>
            </w:r>
          </w:p>
        </w:tc>
        <w:tc>
          <w:tcPr>
            <w:tcW w:w="16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40" w:type="dxa"/>
            <w:vAlign w:val="bottom"/>
            <w:tcBorders>
              <w:bottom w:val="single" w:sz="8" w:color="1E1E1E"/>
            </w:tcBorders>
            <w:shd w:val="clear" w:color="auto" w:fill="E2E2E2"/>
          </w:tcPr>
          <w:p>
            <w:pPr>
              <w:spacing w:after="0"/>
              <w:rPr>
                <w:sz w:val="19"/>
                <w:szCs w:val="19"/>
                <w:color w:val="auto"/>
              </w:rPr>
            </w:pPr>
          </w:p>
        </w:tc>
        <w:tc>
          <w:tcPr>
            <w:tcW w:w="1380" w:type="dxa"/>
            <w:vAlign w:val="bottom"/>
            <w:tcBorders>
              <w:bottom w:val="single" w:sz="8" w:color="1E1E1E"/>
            </w:tcBorders>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17,781</w:t>
            </w:r>
          </w:p>
        </w:tc>
        <w:tc>
          <w:tcPr>
            <w:tcW w:w="180" w:type="dxa"/>
            <w:vAlign w:val="bottom"/>
            <w:shd w:val="clear" w:color="auto" w:fill="E2E2E2"/>
          </w:tcPr>
          <w:p>
            <w:pPr>
              <w:spacing w:after="0"/>
              <w:rPr>
                <w:sz w:val="19"/>
                <w:szCs w:val="19"/>
                <w:color w:val="auto"/>
              </w:rPr>
            </w:pPr>
          </w:p>
        </w:tc>
        <w:tc>
          <w:tcPr>
            <w:tcW w:w="140" w:type="dxa"/>
            <w:vAlign w:val="bottom"/>
            <w:tcBorders>
              <w:bottom w:val="single" w:sz="8" w:color="1E1E1E"/>
            </w:tcBorders>
            <w:shd w:val="clear" w:color="auto" w:fill="E2E2E2"/>
          </w:tcPr>
          <w:p>
            <w:pPr>
              <w:spacing w:after="0"/>
              <w:rPr>
                <w:sz w:val="19"/>
                <w:szCs w:val="19"/>
                <w:color w:val="auto"/>
              </w:rPr>
            </w:pPr>
          </w:p>
        </w:tc>
        <w:tc>
          <w:tcPr>
            <w:tcW w:w="1380" w:type="dxa"/>
            <w:vAlign w:val="bottom"/>
            <w:tcBorders>
              <w:bottom w:val="single" w:sz="8" w:color="1E1E1E"/>
            </w:tcBorders>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16,488</w:t>
            </w:r>
          </w:p>
        </w:tc>
      </w:tr>
      <w:tr>
        <w:trPr>
          <w:trHeight w:val="206"/>
        </w:trPr>
        <w:tc>
          <w:tcPr>
            <w:tcW w:w="6840" w:type="dxa"/>
            <w:vAlign w:val="bottom"/>
          </w:tcPr>
          <w:p>
            <w:pPr>
              <w:ind w:left="240"/>
              <w:spacing w:after="0" w:line="206" w:lineRule="exact"/>
              <w:rPr>
                <w:sz w:val="20"/>
                <w:szCs w:val="20"/>
                <w:color w:val="auto"/>
              </w:rPr>
            </w:pPr>
            <w:r>
              <w:rPr>
                <w:rFonts w:ascii="Times New Roman" w:cs="Times New Roman" w:eastAsia="Times New Roman" w:hAnsi="Times New Roman"/>
                <w:sz w:val="20"/>
                <w:szCs w:val="20"/>
                <w:color w:val="1E1E1E"/>
              </w:rPr>
              <w:t>Total current assets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1E1E1E"/>
              </w:rPr>
              <w:t>191,631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1E1E1E"/>
              </w:rPr>
              <w:t>180,974</w:t>
            </w:r>
          </w:p>
        </w:tc>
      </w:tr>
      <w:tr>
        <w:trPr>
          <w:trHeight w:val="226"/>
        </w:trPr>
        <w:tc>
          <w:tcPr>
            <w:tcW w:w="684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Property and equipment, net</w:t>
            </w:r>
          </w:p>
        </w:tc>
        <w:tc>
          <w:tcPr>
            <w:tcW w:w="16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13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111,560</w:t>
            </w:r>
          </w:p>
        </w:tc>
        <w:tc>
          <w:tcPr>
            <w:tcW w:w="18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13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132,718</w:t>
            </w:r>
          </w:p>
        </w:tc>
      </w:tr>
      <w:tr>
        <w:trPr>
          <w:trHeight w:val="226"/>
        </w:trPr>
        <w:tc>
          <w:tcPr>
            <w:tcW w:w="68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Operating lease right-of-use assets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102,663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121,430</w:t>
            </w:r>
          </w:p>
        </w:tc>
      </w:tr>
      <w:tr>
        <w:trPr>
          <w:trHeight w:val="226"/>
        </w:trPr>
        <w:tc>
          <w:tcPr>
            <w:tcW w:w="684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Finance lease right-of-use assets, net</w:t>
            </w:r>
          </w:p>
        </w:tc>
        <w:tc>
          <w:tcPr>
            <w:tcW w:w="16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13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32,957</w:t>
            </w:r>
          </w:p>
        </w:tc>
        <w:tc>
          <w:tcPr>
            <w:tcW w:w="18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13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40,315</w:t>
            </w:r>
          </w:p>
        </w:tc>
      </w:tr>
      <w:tr>
        <w:trPr>
          <w:trHeight w:val="221"/>
        </w:trPr>
        <w:tc>
          <w:tcPr>
            <w:tcW w:w="6840" w:type="dxa"/>
            <w:vAlign w:val="bottom"/>
          </w:tcPr>
          <w:p>
            <w:pPr>
              <w:spacing w:after="0" w:line="221" w:lineRule="exact"/>
              <w:rPr>
                <w:sz w:val="20"/>
                <w:szCs w:val="20"/>
                <w:color w:val="auto"/>
              </w:rPr>
            </w:pPr>
            <w:r>
              <w:rPr>
                <w:rFonts w:ascii="Times New Roman" w:cs="Times New Roman" w:eastAsia="Times New Roman" w:hAnsi="Times New Roman"/>
                <w:sz w:val="20"/>
                <w:szCs w:val="20"/>
                <w:color w:val="1E1E1E"/>
              </w:rPr>
              <w:t>Available-for-sale security</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1E1E1E"/>
              </w:rPr>
              <w:t>4,491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1E1E1E"/>
              </w:rPr>
              <w:t>4,986</w:t>
            </w:r>
          </w:p>
        </w:tc>
      </w:tr>
      <w:tr>
        <w:trPr>
          <w:trHeight w:val="226"/>
        </w:trPr>
        <w:tc>
          <w:tcPr>
            <w:tcW w:w="684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Other assets, net</w:t>
            </w:r>
          </w:p>
        </w:tc>
        <w:tc>
          <w:tcPr>
            <w:tcW w:w="16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13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9,140</w:t>
            </w:r>
          </w:p>
        </w:tc>
        <w:tc>
          <w:tcPr>
            <w:tcW w:w="18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13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9,020</w:t>
            </w:r>
          </w:p>
        </w:tc>
      </w:tr>
      <w:tr>
        <w:trPr>
          <w:trHeight w:val="226"/>
        </w:trPr>
        <w:tc>
          <w:tcPr>
            <w:tcW w:w="6840" w:type="dxa"/>
            <w:vAlign w:val="bottom"/>
            <w:tcBorders>
              <w:bottom w:val="single" w:sz="8" w:color="E2E2E2"/>
            </w:tcBorders>
          </w:tcPr>
          <w:p>
            <w:pPr>
              <w:spacing w:after="0" w:line="226" w:lineRule="exact"/>
              <w:rPr>
                <w:sz w:val="20"/>
                <w:szCs w:val="20"/>
                <w:color w:val="auto"/>
              </w:rPr>
            </w:pPr>
            <w:r>
              <w:rPr>
                <w:rFonts w:ascii="Times New Roman" w:cs="Times New Roman" w:eastAsia="Times New Roman" w:hAnsi="Times New Roman"/>
                <w:sz w:val="20"/>
                <w:szCs w:val="20"/>
                <w:color w:val="1E1E1E"/>
              </w:rPr>
              <w:t>Deferred tax assets</w:t>
            </w:r>
          </w:p>
        </w:tc>
        <w:tc>
          <w:tcPr>
            <w:tcW w:w="16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140" w:type="dxa"/>
            <w:vAlign w:val="bottom"/>
            <w:tcBorders>
              <w:bottom w:val="single" w:sz="8" w:color="1E1E1E"/>
            </w:tcBorders>
          </w:tcPr>
          <w:p>
            <w:pPr>
              <w:spacing w:after="0"/>
              <w:rPr>
                <w:sz w:val="19"/>
                <w:szCs w:val="19"/>
                <w:color w:val="auto"/>
              </w:rPr>
            </w:pPr>
          </w:p>
        </w:tc>
        <w:tc>
          <w:tcPr>
            <w:tcW w:w="138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80" w:type="dxa"/>
            <w:vAlign w:val="bottom"/>
            <w:tcBorders>
              <w:bottom w:val="single" w:sz="8" w:color="E2E2E2"/>
            </w:tcBorders>
          </w:tcPr>
          <w:p>
            <w:pPr>
              <w:spacing w:after="0"/>
              <w:rPr>
                <w:sz w:val="19"/>
                <w:szCs w:val="19"/>
                <w:color w:val="auto"/>
              </w:rPr>
            </w:pPr>
          </w:p>
        </w:tc>
        <w:tc>
          <w:tcPr>
            <w:tcW w:w="140" w:type="dxa"/>
            <w:vAlign w:val="bottom"/>
            <w:tcBorders>
              <w:bottom w:val="single" w:sz="8" w:color="1E1E1E"/>
            </w:tcBorders>
          </w:tcPr>
          <w:p>
            <w:pPr>
              <w:spacing w:after="0"/>
              <w:rPr>
                <w:sz w:val="19"/>
                <w:szCs w:val="19"/>
                <w:color w:val="auto"/>
              </w:rPr>
            </w:pPr>
          </w:p>
        </w:tc>
        <w:tc>
          <w:tcPr>
            <w:tcW w:w="138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1,767</w:t>
            </w:r>
          </w:p>
        </w:tc>
      </w:tr>
      <w:tr>
        <w:trPr>
          <w:trHeight w:val="214"/>
        </w:trPr>
        <w:tc>
          <w:tcPr>
            <w:tcW w:w="6840" w:type="dxa"/>
            <w:vAlign w:val="bottom"/>
            <w:shd w:val="clear" w:color="auto" w:fill="E2E2E2"/>
          </w:tcPr>
          <w:p>
            <w:pPr>
              <w:ind w:left="240"/>
              <w:spacing w:after="0" w:line="206" w:lineRule="exact"/>
              <w:rPr>
                <w:sz w:val="20"/>
                <w:szCs w:val="20"/>
                <w:color w:val="auto"/>
              </w:rPr>
            </w:pPr>
            <w:r>
              <w:rPr>
                <w:rFonts w:ascii="Times New Roman" w:cs="Times New Roman" w:eastAsia="Times New Roman" w:hAnsi="Times New Roman"/>
                <w:sz w:val="20"/>
                <w:szCs w:val="20"/>
                <w:color w:val="1E1E1E"/>
              </w:rPr>
              <w:t>Total assets</w:t>
            </w:r>
          </w:p>
        </w:tc>
        <w:tc>
          <w:tcPr>
            <w:tcW w:w="160" w:type="dxa"/>
            <w:vAlign w:val="bottom"/>
            <w:shd w:val="clear" w:color="auto" w:fill="E2E2E2"/>
          </w:tcPr>
          <w:p>
            <w:pPr>
              <w:spacing w:after="0"/>
              <w:rPr>
                <w:sz w:val="18"/>
                <w:szCs w:val="18"/>
                <w:color w:val="auto"/>
              </w:rPr>
            </w:pPr>
          </w:p>
        </w:tc>
        <w:tc>
          <w:tcPr>
            <w:tcW w:w="20" w:type="dxa"/>
            <w:vAlign w:val="bottom"/>
            <w:shd w:val="clear" w:color="auto" w:fill="E2E2E2"/>
          </w:tcPr>
          <w:p>
            <w:pPr>
              <w:spacing w:after="0"/>
              <w:rPr>
                <w:sz w:val="18"/>
                <w:szCs w:val="18"/>
                <w:color w:val="auto"/>
              </w:rPr>
            </w:pPr>
          </w:p>
        </w:tc>
        <w:tc>
          <w:tcPr>
            <w:tcW w:w="14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w w:val="79"/>
              </w:rPr>
              <w:t>$</w:t>
            </w:r>
          </w:p>
        </w:tc>
        <w:tc>
          <w:tcPr>
            <w:tcW w:w="138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452,442</w:t>
            </w:r>
          </w:p>
        </w:tc>
        <w:tc>
          <w:tcPr>
            <w:tcW w:w="180" w:type="dxa"/>
            <w:vAlign w:val="bottom"/>
            <w:shd w:val="clear" w:color="auto" w:fill="E2E2E2"/>
          </w:tcPr>
          <w:p>
            <w:pPr>
              <w:spacing w:after="0"/>
              <w:rPr>
                <w:sz w:val="18"/>
                <w:szCs w:val="18"/>
                <w:color w:val="auto"/>
              </w:rPr>
            </w:pPr>
          </w:p>
        </w:tc>
        <w:tc>
          <w:tcPr>
            <w:tcW w:w="14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w w:val="79"/>
              </w:rPr>
              <w:t>$</w:t>
            </w:r>
          </w:p>
        </w:tc>
        <w:tc>
          <w:tcPr>
            <w:tcW w:w="138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491,210</w:t>
            </w:r>
          </w:p>
        </w:tc>
      </w:tr>
      <w:tr>
        <w:trPr>
          <w:trHeight w:val="197"/>
        </w:trPr>
        <w:tc>
          <w:tcPr>
            <w:tcW w:w="6840" w:type="dxa"/>
            <w:vAlign w:val="bottom"/>
          </w:tcPr>
          <w:p>
            <w:pPr>
              <w:spacing w:after="0" w:line="197" w:lineRule="exact"/>
              <w:rPr>
                <w:sz w:val="20"/>
                <w:szCs w:val="20"/>
                <w:color w:val="auto"/>
              </w:rPr>
            </w:pPr>
            <w:r>
              <w:rPr>
                <w:rFonts w:ascii="Times New Roman" w:cs="Times New Roman" w:eastAsia="Times New Roman" w:hAnsi="Times New Roman"/>
                <w:sz w:val="20"/>
                <w:szCs w:val="20"/>
                <w:b w:val="1"/>
                <w:bCs w:val="1"/>
                <w:color w:val="1E1E1E"/>
              </w:rPr>
              <w:t>LIABILITIES AND SHAREHOLDERS' EQUITY</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6"/>
        </w:trPr>
        <w:tc>
          <w:tcPr>
            <w:tcW w:w="684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Current liabilities:</w:t>
            </w:r>
          </w:p>
        </w:tc>
        <w:tc>
          <w:tcPr>
            <w:tcW w:w="16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138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1380" w:type="dxa"/>
            <w:vAlign w:val="bottom"/>
            <w:shd w:val="clear" w:color="auto" w:fill="E2E2E2"/>
          </w:tcPr>
          <w:p>
            <w:pPr>
              <w:spacing w:after="0"/>
              <w:rPr>
                <w:sz w:val="19"/>
                <w:szCs w:val="19"/>
                <w:color w:val="auto"/>
              </w:rPr>
            </w:pPr>
          </w:p>
        </w:tc>
      </w:tr>
      <w:tr>
        <w:trPr>
          <w:trHeight w:val="226"/>
        </w:trPr>
        <w:tc>
          <w:tcPr>
            <w:tcW w:w="684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1E1E1E"/>
              </w:rPr>
              <w:t>Trade accounts payable</w:t>
            </w:r>
          </w:p>
        </w:tc>
        <w:tc>
          <w:tcPr>
            <w:tcW w:w="320" w:type="dxa"/>
            <w:vAlign w:val="bottom"/>
            <w:gridSpan w:val="3"/>
          </w:tcPr>
          <w:p>
            <w:pPr>
              <w:jc w:val="right"/>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3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73,882</w:t>
            </w:r>
          </w:p>
        </w:tc>
        <w:tc>
          <w:tcPr>
            <w:tcW w:w="180" w:type="dxa"/>
            <w:vAlign w:val="bottom"/>
          </w:tcPr>
          <w:p>
            <w:pPr>
              <w:spacing w:after="0"/>
              <w:rPr>
                <w:sz w:val="19"/>
                <w:szCs w:val="19"/>
                <w:color w:val="auto"/>
              </w:rPr>
            </w:pPr>
          </w:p>
        </w:tc>
        <w:tc>
          <w:tcPr>
            <w:tcW w:w="1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w w:val="79"/>
              </w:rPr>
              <w:t>$</w:t>
            </w:r>
          </w:p>
        </w:tc>
        <w:tc>
          <w:tcPr>
            <w:tcW w:w="13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51,122</w:t>
            </w:r>
          </w:p>
        </w:tc>
      </w:tr>
      <w:tr>
        <w:trPr>
          <w:trHeight w:val="226"/>
        </w:trPr>
        <w:tc>
          <w:tcPr>
            <w:tcW w:w="6840" w:type="dxa"/>
            <w:vAlign w:val="bottom"/>
            <w:shd w:val="clear" w:color="auto" w:fill="E2E2E2"/>
          </w:tcPr>
          <w:p>
            <w:pPr>
              <w:ind w:left="120"/>
              <w:spacing w:after="0" w:line="226" w:lineRule="exact"/>
              <w:rPr>
                <w:sz w:val="20"/>
                <w:szCs w:val="20"/>
                <w:color w:val="auto"/>
              </w:rPr>
            </w:pPr>
            <w:r>
              <w:rPr>
                <w:rFonts w:ascii="Times New Roman" w:cs="Times New Roman" w:eastAsia="Times New Roman" w:hAnsi="Times New Roman"/>
                <w:sz w:val="20"/>
                <w:szCs w:val="20"/>
                <w:color w:val="1E1E1E"/>
              </w:rPr>
              <w:t>Accrued expenses and other current liabilities</w:t>
            </w:r>
          </w:p>
        </w:tc>
        <w:tc>
          <w:tcPr>
            <w:tcW w:w="16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13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35,684</w:t>
            </w:r>
          </w:p>
        </w:tc>
        <w:tc>
          <w:tcPr>
            <w:tcW w:w="18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13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34,111</w:t>
            </w:r>
          </w:p>
        </w:tc>
      </w:tr>
      <w:tr>
        <w:trPr>
          <w:trHeight w:val="221"/>
        </w:trPr>
        <w:tc>
          <w:tcPr>
            <w:tcW w:w="6840" w:type="dxa"/>
            <w:vAlign w:val="bottom"/>
          </w:tcPr>
          <w:p>
            <w:pPr>
              <w:ind w:left="120"/>
              <w:spacing w:after="0" w:line="221" w:lineRule="exact"/>
              <w:rPr>
                <w:sz w:val="20"/>
                <w:szCs w:val="20"/>
                <w:color w:val="auto"/>
              </w:rPr>
            </w:pPr>
            <w:r>
              <w:rPr>
                <w:rFonts w:ascii="Times New Roman" w:cs="Times New Roman" w:eastAsia="Times New Roman" w:hAnsi="Times New Roman"/>
                <w:sz w:val="20"/>
                <w:szCs w:val="20"/>
                <w:color w:val="1E1E1E"/>
              </w:rPr>
              <w:t>Income tax payable</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1E1E1E"/>
              </w:rPr>
              <w:t>65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1E1E1E"/>
              </w:rPr>
              <w:t>—</w:t>
            </w:r>
          </w:p>
        </w:tc>
      </w:tr>
      <w:tr>
        <w:trPr>
          <w:trHeight w:val="226"/>
        </w:trPr>
        <w:tc>
          <w:tcPr>
            <w:tcW w:w="6840" w:type="dxa"/>
            <w:vAlign w:val="bottom"/>
            <w:shd w:val="clear" w:color="auto" w:fill="E2E2E2"/>
          </w:tcPr>
          <w:p>
            <w:pPr>
              <w:ind w:left="120"/>
              <w:spacing w:after="0" w:line="226" w:lineRule="exact"/>
              <w:rPr>
                <w:sz w:val="20"/>
                <w:szCs w:val="20"/>
                <w:color w:val="auto"/>
              </w:rPr>
            </w:pPr>
            <w:r>
              <w:rPr>
                <w:rFonts w:ascii="Times New Roman" w:cs="Times New Roman" w:eastAsia="Times New Roman" w:hAnsi="Times New Roman"/>
                <w:sz w:val="20"/>
                <w:szCs w:val="20"/>
                <w:color w:val="1E1E1E"/>
              </w:rPr>
              <w:t>Current portion of operating lease liabilities</w:t>
            </w:r>
          </w:p>
        </w:tc>
        <w:tc>
          <w:tcPr>
            <w:tcW w:w="16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13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15,534</w:t>
            </w:r>
          </w:p>
        </w:tc>
        <w:tc>
          <w:tcPr>
            <w:tcW w:w="18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13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16,401</w:t>
            </w:r>
          </w:p>
        </w:tc>
      </w:tr>
      <w:tr>
        <w:trPr>
          <w:trHeight w:val="226"/>
        </w:trPr>
        <w:tc>
          <w:tcPr>
            <w:tcW w:w="684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1E1E1E"/>
              </w:rPr>
              <w:t>Current portion of finance lease liabilities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2,541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3,149</w:t>
            </w:r>
          </w:p>
        </w:tc>
      </w:tr>
      <w:tr>
        <w:trPr>
          <w:trHeight w:val="226"/>
        </w:trPr>
        <w:tc>
          <w:tcPr>
            <w:tcW w:w="6840" w:type="dxa"/>
            <w:vAlign w:val="bottom"/>
            <w:shd w:val="clear" w:color="auto" w:fill="E2E2E2"/>
          </w:tcPr>
          <w:p>
            <w:pPr>
              <w:ind w:left="120"/>
              <w:spacing w:after="0" w:line="226" w:lineRule="exact"/>
              <w:rPr>
                <w:sz w:val="20"/>
                <w:szCs w:val="20"/>
                <w:color w:val="auto"/>
              </w:rPr>
            </w:pPr>
            <w:r>
              <w:rPr>
                <w:rFonts w:ascii="Times New Roman" w:cs="Times New Roman" w:eastAsia="Times New Roman" w:hAnsi="Times New Roman"/>
                <w:sz w:val="20"/>
                <w:szCs w:val="20"/>
                <w:color w:val="1E1E1E"/>
              </w:rPr>
              <w:t>Current maturities of TRI long-term debt</w:t>
            </w:r>
          </w:p>
        </w:tc>
        <w:tc>
          <w:tcPr>
            <w:tcW w:w="16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40" w:type="dxa"/>
            <w:vAlign w:val="bottom"/>
            <w:tcBorders>
              <w:bottom w:val="single" w:sz="8" w:color="1E1E1E"/>
            </w:tcBorders>
            <w:shd w:val="clear" w:color="auto" w:fill="E2E2E2"/>
          </w:tcPr>
          <w:p>
            <w:pPr>
              <w:spacing w:after="0"/>
              <w:rPr>
                <w:sz w:val="19"/>
                <w:szCs w:val="19"/>
                <w:color w:val="auto"/>
              </w:rPr>
            </w:pPr>
          </w:p>
        </w:tc>
        <w:tc>
          <w:tcPr>
            <w:tcW w:w="1380" w:type="dxa"/>
            <w:vAlign w:val="bottom"/>
            <w:tcBorders>
              <w:bottom w:val="single" w:sz="8" w:color="1E1E1E"/>
            </w:tcBorders>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931</w:t>
            </w:r>
          </w:p>
        </w:tc>
        <w:tc>
          <w:tcPr>
            <w:tcW w:w="180" w:type="dxa"/>
            <w:vAlign w:val="bottom"/>
            <w:shd w:val="clear" w:color="auto" w:fill="E2E2E2"/>
          </w:tcPr>
          <w:p>
            <w:pPr>
              <w:spacing w:after="0"/>
              <w:rPr>
                <w:sz w:val="19"/>
                <w:szCs w:val="19"/>
                <w:color w:val="auto"/>
              </w:rPr>
            </w:pPr>
          </w:p>
        </w:tc>
        <w:tc>
          <w:tcPr>
            <w:tcW w:w="140" w:type="dxa"/>
            <w:vAlign w:val="bottom"/>
            <w:tcBorders>
              <w:bottom w:val="single" w:sz="8" w:color="1E1E1E"/>
            </w:tcBorders>
            <w:shd w:val="clear" w:color="auto" w:fill="E2E2E2"/>
          </w:tcPr>
          <w:p>
            <w:pPr>
              <w:spacing w:after="0"/>
              <w:rPr>
                <w:sz w:val="19"/>
                <w:szCs w:val="19"/>
                <w:color w:val="auto"/>
              </w:rPr>
            </w:pPr>
          </w:p>
        </w:tc>
        <w:tc>
          <w:tcPr>
            <w:tcW w:w="1380" w:type="dxa"/>
            <w:vAlign w:val="bottom"/>
            <w:tcBorders>
              <w:bottom w:val="single" w:sz="8" w:color="1E1E1E"/>
            </w:tcBorders>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847</w:t>
            </w:r>
          </w:p>
        </w:tc>
      </w:tr>
      <w:tr>
        <w:trPr>
          <w:trHeight w:val="206"/>
        </w:trPr>
        <w:tc>
          <w:tcPr>
            <w:tcW w:w="6840" w:type="dxa"/>
            <w:vAlign w:val="bottom"/>
          </w:tcPr>
          <w:p>
            <w:pPr>
              <w:ind w:left="240"/>
              <w:spacing w:after="0" w:line="206" w:lineRule="exact"/>
              <w:rPr>
                <w:sz w:val="20"/>
                <w:szCs w:val="20"/>
                <w:color w:val="auto"/>
              </w:rPr>
            </w:pPr>
            <w:r>
              <w:rPr>
                <w:rFonts w:ascii="Times New Roman" w:cs="Times New Roman" w:eastAsia="Times New Roman" w:hAnsi="Times New Roman"/>
                <w:sz w:val="20"/>
                <w:szCs w:val="20"/>
                <w:color w:val="1E1E1E"/>
              </w:rPr>
              <w:t>Total current liabilities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1E1E1E"/>
              </w:rPr>
              <w:t>128,637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1E1E1E"/>
              </w:rPr>
              <w:t>105,630</w:t>
            </w:r>
          </w:p>
        </w:tc>
      </w:tr>
      <w:tr>
        <w:trPr>
          <w:trHeight w:val="226"/>
        </w:trPr>
        <w:tc>
          <w:tcPr>
            <w:tcW w:w="684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Operating lease liabilities, less current portion</w:t>
            </w:r>
          </w:p>
        </w:tc>
        <w:tc>
          <w:tcPr>
            <w:tcW w:w="16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13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89,222</w:t>
            </w:r>
          </w:p>
        </w:tc>
        <w:tc>
          <w:tcPr>
            <w:tcW w:w="18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13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106,413</w:t>
            </w:r>
          </w:p>
        </w:tc>
      </w:tr>
      <w:tr>
        <w:trPr>
          <w:trHeight w:val="226"/>
        </w:trPr>
        <w:tc>
          <w:tcPr>
            <w:tcW w:w="68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Finance lease liabilities, less current portion</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30,621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34,276</w:t>
            </w:r>
          </w:p>
        </w:tc>
      </w:tr>
      <w:tr>
        <w:trPr>
          <w:trHeight w:val="226"/>
        </w:trPr>
        <w:tc>
          <w:tcPr>
            <w:tcW w:w="684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TRI long-term debt, less current maturities</w:t>
            </w:r>
          </w:p>
        </w:tc>
        <w:tc>
          <w:tcPr>
            <w:tcW w:w="16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13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24,283</w:t>
            </w:r>
          </w:p>
        </w:tc>
        <w:tc>
          <w:tcPr>
            <w:tcW w:w="18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13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25,141</w:t>
            </w:r>
          </w:p>
        </w:tc>
      </w:tr>
      <w:tr>
        <w:trPr>
          <w:trHeight w:val="221"/>
        </w:trPr>
        <w:tc>
          <w:tcPr>
            <w:tcW w:w="6840" w:type="dxa"/>
            <w:vAlign w:val="bottom"/>
            <w:tcBorders>
              <w:bottom w:val="single" w:sz="8" w:color="E2E2E2"/>
            </w:tcBorders>
          </w:tcPr>
          <w:p>
            <w:pPr>
              <w:spacing w:after="0" w:line="221" w:lineRule="exact"/>
              <w:rPr>
                <w:sz w:val="20"/>
                <w:szCs w:val="20"/>
                <w:color w:val="auto"/>
              </w:rPr>
            </w:pPr>
            <w:r>
              <w:rPr>
                <w:rFonts w:ascii="Times New Roman" w:cs="Times New Roman" w:eastAsia="Times New Roman" w:hAnsi="Times New Roman"/>
                <w:sz w:val="20"/>
                <w:szCs w:val="20"/>
                <w:color w:val="1E1E1E"/>
              </w:rPr>
              <w:t>Deferred tax liabilities</w:t>
            </w:r>
          </w:p>
        </w:tc>
        <w:tc>
          <w:tcPr>
            <w:tcW w:w="16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140" w:type="dxa"/>
            <w:vAlign w:val="bottom"/>
            <w:tcBorders>
              <w:bottom w:val="single" w:sz="8" w:color="1E1E1E"/>
            </w:tcBorders>
          </w:tcPr>
          <w:p>
            <w:pPr>
              <w:spacing w:after="0"/>
              <w:rPr>
                <w:sz w:val="19"/>
                <w:szCs w:val="19"/>
                <w:color w:val="auto"/>
              </w:rPr>
            </w:pPr>
          </w:p>
        </w:tc>
        <w:tc>
          <w:tcPr>
            <w:tcW w:w="1380" w:type="dxa"/>
            <w:vAlign w:val="bottom"/>
            <w:tcBorders>
              <w:bottom w:val="single" w:sz="8" w:color="1E1E1E"/>
            </w:tcBorders>
          </w:tcPr>
          <w:p>
            <w:pPr>
              <w:jc w:val="right"/>
              <w:spacing w:after="0" w:line="221" w:lineRule="exact"/>
              <w:rPr>
                <w:sz w:val="20"/>
                <w:szCs w:val="20"/>
                <w:color w:val="auto"/>
              </w:rPr>
            </w:pPr>
            <w:r>
              <w:rPr>
                <w:rFonts w:ascii="Times New Roman" w:cs="Times New Roman" w:eastAsia="Times New Roman" w:hAnsi="Times New Roman"/>
                <w:sz w:val="20"/>
                <w:szCs w:val="20"/>
                <w:color w:val="1E1E1E"/>
              </w:rPr>
              <w:t>—</w:t>
            </w:r>
          </w:p>
        </w:tc>
        <w:tc>
          <w:tcPr>
            <w:tcW w:w="180" w:type="dxa"/>
            <w:vAlign w:val="bottom"/>
            <w:tcBorders>
              <w:bottom w:val="single" w:sz="8" w:color="E2E2E2"/>
            </w:tcBorders>
          </w:tcPr>
          <w:p>
            <w:pPr>
              <w:spacing w:after="0"/>
              <w:rPr>
                <w:sz w:val="19"/>
                <w:szCs w:val="19"/>
                <w:color w:val="auto"/>
              </w:rPr>
            </w:pPr>
          </w:p>
        </w:tc>
        <w:tc>
          <w:tcPr>
            <w:tcW w:w="140" w:type="dxa"/>
            <w:vAlign w:val="bottom"/>
            <w:tcBorders>
              <w:bottom w:val="single" w:sz="8" w:color="1E1E1E"/>
            </w:tcBorders>
          </w:tcPr>
          <w:p>
            <w:pPr>
              <w:spacing w:after="0"/>
              <w:rPr>
                <w:sz w:val="19"/>
                <w:szCs w:val="19"/>
                <w:color w:val="auto"/>
              </w:rPr>
            </w:pPr>
          </w:p>
        </w:tc>
        <w:tc>
          <w:tcPr>
            <w:tcW w:w="1380" w:type="dxa"/>
            <w:vAlign w:val="bottom"/>
            <w:tcBorders>
              <w:bottom w:val="single" w:sz="8" w:color="1E1E1E"/>
            </w:tcBorders>
          </w:tcPr>
          <w:p>
            <w:pPr>
              <w:jc w:val="right"/>
              <w:spacing w:after="0" w:line="221" w:lineRule="exact"/>
              <w:rPr>
                <w:sz w:val="20"/>
                <w:szCs w:val="20"/>
                <w:color w:val="auto"/>
              </w:rPr>
            </w:pPr>
            <w:r>
              <w:rPr>
                <w:rFonts w:ascii="Times New Roman" w:cs="Times New Roman" w:eastAsia="Times New Roman" w:hAnsi="Times New Roman"/>
                <w:sz w:val="20"/>
                <w:szCs w:val="20"/>
                <w:color w:val="1E1E1E"/>
              </w:rPr>
              <w:t>—</w:t>
            </w:r>
          </w:p>
        </w:tc>
      </w:tr>
      <w:tr>
        <w:trPr>
          <w:trHeight w:val="206"/>
        </w:trPr>
        <w:tc>
          <w:tcPr>
            <w:tcW w:w="6840" w:type="dxa"/>
            <w:vAlign w:val="bottom"/>
            <w:shd w:val="clear" w:color="auto" w:fill="E2E2E2"/>
          </w:tcPr>
          <w:p>
            <w:pPr>
              <w:ind w:left="240"/>
              <w:spacing w:after="0" w:line="206" w:lineRule="exact"/>
              <w:rPr>
                <w:sz w:val="20"/>
                <w:szCs w:val="20"/>
                <w:color w:val="auto"/>
              </w:rPr>
            </w:pPr>
            <w:r>
              <w:rPr>
                <w:rFonts w:ascii="Times New Roman" w:cs="Times New Roman" w:eastAsia="Times New Roman" w:hAnsi="Times New Roman"/>
                <w:sz w:val="20"/>
                <w:szCs w:val="20"/>
                <w:color w:val="1E1E1E"/>
              </w:rPr>
              <w:t>Total liabilities</w:t>
            </w:r>
          </w:p>
        </w:tc>
        <w:tc>
          <w:tcPr>
            <w:tcW w:w="16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140" w:type="dxa"/>
            <w:vAlign w:val="bottom"/>
            <w:shd w:val="clear" w:color="auto" w:fill="E2E2E2"/>
          </w:tcPr>
          <w:p>
            <w:pPr>
              <w:spacing w:after="0"/>
              <w:rPr>
                <w:sz w:val="17"/>
                <w:szCs w:val="17"/>
                <w:color w:val="auto"/>
              </w:rPr>
            </w:pPr>
          </w:p>
        </w:tc>
        <w:tc>
          <w:tcPr>
            <w:tcW w:w="138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272,763</w:t>
            </w:r>
          </w:p>
        </w:tc>
        <w:tc>
          <w:tcPr>
            <w:tcW w:w="180" w:type="dxa"/>
            <w:vAlign w:val="bottom"/>
            <w:shd w:val="clear" w:color="auto" w:fill="E2E2E2"/>
          </w:tcPr>
          <w:p>
            <w:pPr>
              <w:spacing w:after="0"/>
              <w:rPr>
                <w:sz w:val="17"/>
                <w:szCs w:val="17"/>
                <w:color w:val="auto"/>
              </w:rPr>
            </w:pPr>
          </w:p>
        </w:tc>
        <w:tc>
          <w:tcPr>
            <w:tcW w:w="140" w:type="dxa"/>
            <w:vAlign w:val="bottom"/>
            <w:shd w:val="clear" w:color="auto" w:fill="E2E2E2"/>
          </w:tcPr>
          <w:p>
            <w:pPr>
              <w:spacing w:after="0"/>
              <w:rPr>
                <w:sz w:val="17"/>
                <w:szCs w:val="17"/>
                <w:color w:val="auto"/>
              </w:rPr>
            </w:pPr>
          </w:p>
        </w:tc>
        <w:tc>
          <w:tcPr>
            <w:tcW w:w="138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271,460</w:t>
            </w:r>
          </w:p>
        </w:tc>
      </w:tr>
      <w:tr>
        <w:trPr>
          <w:trHeight w:val="226"/>
        </w:trPr>
        <w:tc>
          <w:tcPr>
            <w:tcW w:w="68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Shareholders' equity:</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9"/>
        </w:trPr>
        <w:tc>
          <w:tcPr>
            <w:tcW w:w="68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Preferred stock, no par value; 10,000 shares authorized; no shares</w:t>
            </w:r>
          </w:p>
        </w:tc>
        <w:tc>
          <w:tcPr>
            <w:tcW w:w="1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140" w:type="dxa"/>
            <w:vAlign w:val="bottom"/>
            <w:shd w:val="clear" w:color="auto" w:fill="E2E2E2"/>
          </w:tcPr>
          <w:p>
            <w:pPr>
              <w:spacing w:after="0"/>
              <w:rPr>
                <w:sz w:val="22"/>
                <w:szCs w:val="22"/>
                <w:color w:val="auto"/>
              </w:rPr>
            </w:pPr>
          </w:p>
        </w:tc>
        <w:tc>
          <w:tcPr>
            <w:tcW w:w="1380" w:type="dxa"/>
            <w:vAlign w:val="bottom"/>
            <w:shd w:val="clear" w:color="auto" w:fill="E2E2E2"/>
          </w:tcPr>
          <w:p>
            <w:pPr>
              <w:spacing w:after="0"/>
              <w:rPr>
                <w:sz w:val="22"/>
                <w:szCs w:val="22"/>
                <w:color w:val="auto"/>
              </w:rPr>
            </w:pPr>
          </w:p>
        </w:tc>
        <w:tc>
          <w:tcPr>
            <w:tcW w:w="180" w:type="dxa"/>
            <w:vAlign w:val="bottom"/>
            <w:shd w:val="clear" w:color="auto" w:fill="E2E2E2"/>
          </w:tcPr>
          <w:p>
            <w:pPr>
              <w:spacing w:after="0"/>
              <w:rPr>
                <w:sz w:val="22"/>
                <w:szCs w:val="22"/>
                <w:color w:val="auto"/>
              </w:rPr>
            </w:pPr>
          </w:p>
        </w:tc>
        <w:tc>
          <w:tcPr>
            <w:tcW w:w="140" w:type="dxa"/>
            <w:vAlign w:val="bottom"/>
            <w:shd w:val="clear" w:color="auto" w:fill="E2E2E2"/>
          </w:tcPr>
          <w:p>
            <w:pPr>
              <w:spacing w:after="0"/>
              <w:rPr>
                <w:sz w:val="22"/>
                <w:szCs w:val="22"/>
                <w:color w:val="auto"/>
              </w:rPr>
            </w:pPr>
          </w:p>
        </w:tc>
        <w:tc>
          <w:tcPr>
            <w:tcW w:w="1380" w:type="dxa"/>
            <w:vAlign w:val="bottom"/>
            <w:shd w:val="clear" w:color="auto" w:fill="E2E2E2"/>
          </w:tcPr>
          <w:p>
            <w:pPr>
              <w:spacing w:after="0"/>
              <w:rPr>
                <w:sz w:val="22"/>
                <w:szCs w:val="22"/>
                <w:color w:val="auto"/>
              </w:rPr>
            </w:pPr>
          </w:p>
        </w:tc>
      </w:tr>
      <w:tr>
        <w:trPr>
          <w:trHeight w:val="269"/>
        </w:trPr>
        <w:tc>
          <w:tcPr>
            <w:tcW w:w="6840" w:type="dxa"/>
            <w:vAlign w:val="bottom"/>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issued or outstanding as of February 2, 2025 and January 28, 2024</w:t>
            </w:r>
          </w:p>
        </w:tc>
        <w:tc>
          <w:tcPr>
            <w:tcW w:w="16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40" w:type="dxa"/>
            <w:vAlign w:val="bottom"/>
            <w:shd w:val="clear" w:color="auto" w:fill="E2E2E2"/>
          </w:tcPr>
          <w:p>
            <w:pPr>
              <w:spacing w:after="0"/>
              <w:rPr>
                <w:sz w:val="23"/>
                <w:szCs w:val="23"/>
                <w:color w:val="auto"/>
              </w:rPr>
            </w:pP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shd w:val="clear" w:color="auto" w:fill="E2E2E2"/>
          </w:tcPr>
          <w:p>
            <w:pPr>
              <w:spacing w:after="0"/>
              <w:rPr>
                <w:sz w:val="23"/>
                <w:szCs w:val="23"/>
                <w:color w:val="auto"/>
              </w:rPr>
            </w:pPr>
          </w:p>
        </w:tc>
        <w:tc>
          <w:tcPr>
            <w:tcW w:w="140" w:type="dxa"/>
            <w:vAlign w:val="bottom"/>
            <w:shd w:val="clear" w:color="auto" w:fill="E2E2E2"/>
          </w:tcPr>
          <w:p>
            <w:pPr>
              <w:spacing w:after="0"/>
              <w:rPr>
                <w:sz w:val="23"/>
                <w:szCs w:val="23"/>
                <w:color w:val="auto"/>
              </w:rPr>
            </w:pP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37"/>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1E1E1E"/>
              </w:rPr>
              <w:t>Common stock (Class A), no par value; 10,000 shares authorized;</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0"/>
        </w:trPr>
        <w:tc>
          <w:tcPr>
            <w:tcW w:w="684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3,364 shares issued and outstanding as of February 2, 2025 and</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3"/>
        </w:trPr>
        <w:tc>
          <w:tcPr>
            <w:tcW w:w="684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January 28, 2024</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37"/>
        </w:trPr>
        <w:tc>
          <w:tcPr>
            <w:tcW w:w="68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Common stock (Class B), no par value; 200,000 shares authorized;</w:t>
            </w:r>
          </w:p>
        </w:tc>
        <w:tc>
          <w:tcPr>
            <w:tcW w:w="16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40" w:type="dxa"/>
            <w:vAlign w:val="bottom"/>
            <w:shd w:val="clear" w:color="auto" w:fill="E2E2E2"/>
          </w:tcPr>
          <w:p>
            <w:pPr>
              <w:spacing w:after="0"/>
              <w:rPr>
                <w:sz w:val="20"/>
                <w:szCs w:val="20"/>
                <w:color w:val="auto"/>
              </w:rPr>
            </w:pPr>
          </w:p>
        </w:tc>
        <w:tc>
          <w:tcPr>
            <w:tcW w:w="138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40" w:type="dxa"/>
            <w:vAlign w:val="bottom"/>
            <w:shd w:val="clear" w:color="auto" w:fill="E2E2E2"/>
          </w:tcPr>
          <w:p>
            <w:pPr>
              <w:spacing w:after="0"/>
              <w:rPr>
                <w:sz w:val="20"/>
                <w:szCs w:val="20"/>
                <w:color w:val="auto"/>
              </w:rPr>
            </w:pPr>
          </w:p>
        </w:tc>
        <w:tc>
          <w:tcPr>
            <w:tcW w:w="1380" w:type="dxa"/>
            <w:vAlign w:val="bottom"/>
            <w:shd w:val="clear" w:color="auto" w:fill="E2E2E2"/>
          </w:tcPr>
          <w:p>
            <w:pPr>
              <w:spacing w:after="0"/>
              <w:rPr>
                <w:sz w:val="20"/>
                <w:szCs w:val="20"/>
                <w:color w:val="auto"/>
              </w:rPr>
            </w:pPr>
          </w:p>
        </w:tc>
      </w:tr>
      <w:tr>
        <w:trPr>
          <w:trHeight w:val="214"/>
        </w:trPr>
        <w:tc>
          <w:tcPr>
            <w:tcW w:w="6840" w:type="dxa"/>
            <w:vAlign w:val="bottom"/>
            <w:shd w:val="clear" w:color="auto" w:fill="E2E2E2"/>
          </w:tcPr>
          <w:p>
            <w:pPr>
              <w:spacing w:after="0" w:line="214" w:lineRule="exact"/>
              <w:rPr>
                <w:sz w:val="20"/>
                <w:szCs w:val="20"/>
                <w:color w:val="auto"/>
              </w:rPr>
            </w:pPr>
            <w:r>
              <w:rPr>
                <w:rFonts w:ascii="Times New Roman" w:cs="Times New Roman" w:eastAsia="Times New Roman" w:hAnsi="Times New Roman"/>
                <w:sz w:val="20"/>
                <w:szCs w:val="20"/>
                <w:color w:val="1E1E1E"/>
              </w:rPr>
              <w:t>32,077 shares issued and 31,813 shares outstanding as of February 2, 2025 and</w:t>
            </w:r>
          </w:p>
        </w:tc>
        <w:tc>
          <w:tcPr>
            <w:tcW w:w="160" w:type="dxa"/>
            <w:vAlign w:val="bottom"/>
            <w:shd w:val="clear" w:color="auto" w:fill="E2E2E2"/>
          </w:tcPr>
          <w:p>
            <w:pPr>
              <w:spacing w:after="0"/>
              <w:rPr>
                <w:sz w:val="18"/>
                <w:szCs w:val="18"/>
                <w:color w:val="auto"/>
              </w:rPr>
            </w:pPr>
          </w:p>
        </w:tc>
        <w:tc>
          <w:tcPr>
            <w:tcW w:w="20" w:type="dxa"/>
            <w:vAlign w:val="bottom"/>
            <w:shd w:val="clear" w:color="auto" w:fill="E2E2E2"/>
          </w:tcPr>
          <w:p>
            <w:pPr>
              <w:spacing w:after="0"/>
              <w:rPr>
                <w:sz w:val="18"/>
                <w:szCs w:val="18"/>
                <w:color w:val="auto"/>
              </w:rPr>
            </w:pPr>
          </w:p>
        </w:tc>
        <w:tc>
          <w:tcPr>
            <w:tcW w:w="140" w:type="dxa"/>
            <w:vAlign w:val="bottom"/>
            <w:shd w:val="clear" w:color="auto" w:fill="E2E2E2"/>
          </w:tcPr>
          <w:p>
            <w:pPr>
              <w:spacing w:after="0"/>
              <w:rPr>
                <w:sz w:val="18"/>
                <w:szCs w:val="18"/>
                <w:color w:val="auto"/>
              </w:rPr>
            </w:pPr>
          </w:p>
        </w:tc>
        <w:tc>
          <w:tcPr>
            <w:tcW w:w="1380" w:type="dxa"/>
            <w:vAlign w:val="bottom"/>
            <w:shd w:val="clear" w:color="auto" w:fill="E2E2E2"/>
          </w:tcPr>
          <w:p>
            <w:pPr>
              <w:spacing w:after="0"/>
              <w:rPr>
                <w:sz w:val="18"/>
                <w:szCs w:val="18"/>
                <w:color w:val="auto"/>
              </w:rPr>
            </w:pPr>
          </w:p>
        </w:tc>
        <w:tc>
          <w:tcPr>
            <w:tcW w:w="180" w:type="dxa"/>
            <w:vAlign w:val="bottom"/>
            <w:shd w:val="clear" w:color="auto" w:fill="E2E2E2"/>
          </w:tcPr>
          <w:p>
            <w:pPr>
              <w:spacing w:after="0"/>
              <w:rPr>
                <w:sz w:val="18"/>
                <w:szCs w:val="18"/>
                <w:color w:val="auto"/>
              </w:rPr>
            </w:pPr>
          </w:p>
        </w:tc>
        <w:tc>
          <w:tcPr>
            <w:tcW w:w="140" w:type="dxa"/>
            <w:vAlign w:val="bottom"/>
            <w:shd w:val="clear" w:color="auto" w:fill="E2E2E2"/>
          </w:tcPr>
          <w:p>
            <w:pPr>
              <w:spacing w:after="0"/>
              <w:rPr>
                <w:sz w:val="18"/>
                <w:szCs w:val="18"/>
                <w:color w:val="auto"/>
              </w:rPr>
            </w:pPr>
          </w:p>
        </w:tc>
        <w:tc>
          <w:tcPr>
            <w:tcW w:w="1380" w:type="dxa"/>
            <w:vAlign w:val="bottom"/>
            <w:shd w:val="clear" w:color="auto" w:fill="E2E2E2"/>
          </w:tcPr>
          <w:p>
            <w:pPr>
              <w:spacing w:after="0"/>
              <w:rPr>
                <w:sz w:val="18"/>
                <w:szCs w:val="18"/>
                <w:color w:val="auto"/>
              </w:rPr>
            </w:pPr>
          </w:p>
        </w:tc>
      </w:tr>
      <w:tr>
        <w:trPr>
          <w:trHeight w:val="269"/>
        </w:trPr>
        <w:tc>
          <w:tcPr>
            <w:tcW w:w="68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31,178 shares issued and 31,023 outstanding as of January 28, 2024</w:t>
            </w:r>
          </w:p>
        </w:tc>
        <w:tc>
          <w:tcPr>
            <w:tcW w:w="16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40" w:type="dxa"/>
            <w:vAlign w:val="bottom"/>
            <w:shd w:val="clear" w:color="auto" w:fill="E2E2E2"/>
          </w:tcPr>
          <w:p>
            <w:pPr>
              <w:spacing w:after="0"/>
              <w:rPr>
                <w:sz w:val="23"/>
                <w:szCs w:val="23"/>
                <w:color w:val="auto"/>
              </w:rPr>
            </w:pP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shd w:val="clear" w:color="auto" w:fill="E2E2E2"/>
          </w:tcPr>
          <w:p>
            <w:pPr>
              <w:spacing w:after="0"/>
              <w:rPr>
                <w:sz w:val="23"/>
                <w:szCs w:val="23"/>
                <w:color w:val="auto"/>
              </w:rPr>
            </w:pPr>
          </w:p>
        </w:tc>
        <w:tc>
          <w:tcPr>
            <w:tcW w:w="140" w:type="dxa"/>
            <w:vAlign w:val="bottom"/>
            <w:shd w:val="clear" w:color="auto" w:fill="E2E2E2"/>
          </w:tcPr>
          <w:p>
            <w:pPr>
              <w:spacing w:after="0"/>
              <w:rPr>
                <w:sz w:val="23"/>
                <w:szCs w:val="23"/>
                <w:color w:val="auto"/>
              </w:rPr>
            </w:pP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70"/>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1E1E1E"/>
              </w:rPr>
              <w:t>Treasury stock, at cost; 264 and 155 shares as of February 2, 2025 and</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53"/>
        </w:trPr>
        <w:tc>
          <w:tcPr>
            <w:tcW w:w="684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January 28, 2024, respectively</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(2,332)</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(1,738)</w:t>
            </w:r>
          </w:p>
        </w:tc>
      </w:tr>
      <w:tr>
        <w:trPr>
          <w:trHeight w:val="226"/>
        </w:trPr>
        <w:tc>
          <w:tcPr>
            <w:tcW w:w="684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Capital stock</w:t>
            </w:r>
          </w:p>
        </w:tc>
        <w:tc>
          <w:tcPr>
            <w:tcW w:w="16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13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108,009</w:t>
            </w:r>
          </w:p>
        </w:tc>
        <w:tc>
          <w:tcPr>
            <w:tcW w:w="180" w:type="dxa"/>
            <w:vAlign w:val="bottom"/>
            <w:shd w:val="clear" w:color="auto" w:fill="E2E2E2"/>
          </w:tcPr>
          <w:p>
            <w:pPr>
              <w:spacing w:after="0"/>
              <w:rPr>
                <w:sz w:val="19"/>
                <w:szCs w:val="19"/>
                <w:color w:val="auto"/>
              </w:rPr>
            </w:pPr>
          </w:p>
        </w:tc>
        <w:tc>
          <w:tcPr>
            <w:tcW w:w="140" w:type="dxa"/>
            <w:vAlign w:val="bottom"/>
            <w:shd w:val="clear" w:color="auto" w:fill="E2E2E2"/>
          </w:tcPr>
          <w:p>
            <w:pPr>
              <w:spacing w:after="0"/>
              <w:rPr>
                <w:sz w:val="19"/>
                <w:szCs w:val="19"/>
                <w:color w:val="auto"/>
              </w:rPr>
            </w:pPr>
          </w:p>
        </w:tc>
        <w:tc>
          <w:tcPr>
            <w:tcW w:w="13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103,579</w:t>
            </w:r>
          </w:p>
        </w:tc>
      </w:tr>
      <w:tr>
        <w:trPr>
          <w:trHeight w:val="226"/>
        </w:trPr>
        <w:tc>
          <w:tcPr>
            <w:tcW w:w="68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Retained earnings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77,721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121,392</w:t>
            </w:r>
          </w:p>
        </w:tc>
      </w:tr>
      <w:tr>
        <w:trPr>
          <w:trHeight w:val="226"/>
        </w:trPr>
        <w:tc>
          <w:tcPr>
            <w:tcW w:w="684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Accumulated other comprehensive income</w:t>
            </w:r>
          </w:p>
        </w:tc>
        <w:tc>
          <w:tcPr>
            <w:tcW w:w="16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40" w:type="dxa"/>
            <w:vAlign w:val="bottom"/>
            <w:tcBorders>
              <w:bottom w:val="single" w:sz="8" w:color="1E1E1E"/>
            </w:tcBorders>
            <w:shd w:val="clear" w:color="auto" w:fill="E2E2E2"/>
          </w:tcPr>
          <w:p>
            <w:pPr>
              <w:spacing w:after="0"/>
              <w:rPr>
                <w:sz w:val="19"/>
                <w:szCs w:val="19"/>
                <w:color w:val="auto"/>
              </w:rPr>
            </w:pPr>
          </w:p>
        </w:tc>
        <w:tc>
          <w:tcPr>
            <w:tcW w:w="1380" w:type="dxa"/>
            <w:vAlign w:val="bottom"/>
            <w:tcBorders>
              <w:bottom w:val="single" w:sz="8" w:color="1E1E1E"/>
            </w:tcBorders>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(722)</w:t>
            </w:r>
          </w:p>
        </w:tc>
        <w:tc>
          <w:tcPr>
            <w:tcW w:w="180" w:type="dxa"/>
            <w:vAlign w:val="bottom"/>
            <w:shd w:val="clear" w:color="auto" w:fill="E2E2E2"/>
          </w:tcPr>
          <w:p>
            <w:pPr>
              <w:spacing w:after="0"/>
              <w:rPr>
                <w:sz w:val="19"/>
                <w:szCs w:val="19"/>
                <w:color w:val="auto"/>
              </w:rPr>
            </w:pPr>
          </w:p>
        </w:tc>
        <w:tc>
          <w:tcPr>
            <w:tcW w:w="140" w:type="dxa"/>
            <w:vAlign w:val="bottom"/>
            <w:tcBorders>
              <w:bottom w:val="single" w:sz="8" w:color="1E1E1E"/>
            </w:tcBorders>
            <w:shd w:val="clear" w:color="auto" w:fill="E2E2E2"/>
          </w:tcPr>
          <w:p>
            <w:pPr>
              <w:spacing w:after="0"/>
              <w:rPr>
                <w:sz w:val="19"/>
                <w:szCs w:val="19"/>
                <w:color w:val="auto"/>
              </w:rPr>
            </w:pPr>
          </w:p>
        </w:tc>
        <w:tc>
          <w:tcPr>
            <w:tcW w:w="1380" w:type="dxa"/>
            <w:vAlign w:val="bottom"/>
            <w:tcBorders>
              <w:bottom w:val="single" w:sz="8" w:color="1E1E1E"/>
            </w:tcBorders>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(427)</w:t>
            </w:r>
          </w:p>
        </w:tc>
      </w:tr>
      <w:tr>
        <w:trPr>
          <w:trHeight w:val="201"/>
        </w:trPr>
        <w:tc>
          <w:tcPr>
            <w:tcW w:w="6840" w:type="dxa"/>
            <w:vAlign w:val="bottom"/>
          </w:tcPr>
          <w:p>
            <w:pPr>
              <w:ind w:left="240"/>
              <w:spacing w:after="0" w:line="201" w:lineRule="exact"/>
              <w:rPr>
                <w:sz w:val="20"/>
                <w:szCs w:val="20"/>
                <w:color w:val="auto"/>
              </w:rPr>
            </w:pPr>
            <w:r>
              <w:rPr>
                <w:rFonts w:ascii="Times New Roman" w:cs="Times New Roman" w:eastAsia="Times New Roman" w:hAnsi="Times New Roman"/>
                <w:sz w:val="20"/>
                <w:szCs w:val="20"/>
                <w:color w:val="1E1E1E"/>
              </w:rPr>
              <w:t>Total shareholders' equity of Duluth Holdings Inc.</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1E1E1E"/>
              </w:rPr>
              <w:t>182,676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1E1E1E"/>
              </w:rPr>
              <w:t>222,806</w:t>
            </w:r>
          </w:p>
        </w:tc>
      </w:tr>
      <w:tr>
        <w:trPr>
          <w:trHeight w:val="226"/>
        </w:trPr>
        <w:tc>
          <w:tcPr>
            <w:tcW w:w="684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Noncontrolling interest</w:t>
            </w:r>
          </w:p>
        </w:tc>
        <w:tc>
          <w:tcPr>
            <w:tcW w:w="16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40" w:type="dxa"/>
            <w:vAlign w:val="bottom"/>
            <w:tcBorders>
              <w:bottom w:val="single" w:sz="8" w:color="1E1E1E"/>
            </w:tcBorders>
            <w:shd w:val="clear" w:color="auto" w:fill="E2E2E2"/>
          </w:tcPr>
          <w:p>
            <w:pPr>
              <w:spacing w:after="0"/>
              <w:rPr>
                <w:sz w:val="19"/>
                <w:szCs w:val="19"/>
                <w:color w:val="auto"/>
              </w:rPr>
            </w:pPr>
          </w:p>
        </w:tc>
        <w:tc>
          <w:tcPr>
            <w:tcW w:w="1380" w:type="dxa"/>
            <w:vAlign w:val="bottom"/>
            <w:tcBorders>
              <w:bottom w:val="single" w:sz="8" w:color="1E1E1E"/>
            </w:tcBorders>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(2,997)</w:t>
            </w:r>
          </w:p>
        </w:tc>
        <w:tc>
          <w:tcPr>
            <w:tcW w:w="180" w:type="dxa"/>
            <w:vAlign w:val="bottom"/>
            <w:shd w:val="clear" w:color="auto" w:fill="E2E2E2"/>
          </w:tcPr>
          <w:p>
            <w:pPr>
              <w:spacing w:after="0"/>
              <w:rPr>
                <w:sz w:val="19"/>
                <w:szCs w:val="19"/>
                <w:color w:val="auto"/>
              </w:rPr>
            </w:pPr>
          </w:p>
        </w:tc>
        <w:tc>
          <w:tcPr>
            <w:tcW w:w="140" w:type="dxa"/>
            <w:vAlign w:val="bottom"/>
            <w:tcBorders>
              <w:bottom w:val="single" w:sz="8" w:color="1E1E1E"/>
            </w:tcBorders>
            <w:shd w:val="clear" w:color="auto" w:fill="E2E2E2"/>
          </w:tcPr>
          <w:p>
            <w:pPr>
              <w:spacing w:after="0"/>
              <w:rPr>
                <w:sz w:val="19"/>
                <w:szCs w:val="19"/>
                <w:color w:val="auto"/>
              </w:rPr>
            </w:pPr>
          </w:p>
        </w:tc>
        <w:tc>
          <w:tcPr>
            <w:tcW w:w="1380" w:type="dxa"/>
            <w:vAlign w:val="bottom"/>
            <w:tcBorders>
              <w:bottom w:val="single" w:sz="8" w:color="1E1E1E"/>
            </w:tcBorders>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(3,056)</w:t>
            </w:r>
          </w:p>
        </w:tc>
      </w:tr>
      <w:tr>
        <w:trPr>
          <w:trHeight w:val="206"/>
        </w:trPr>
        <w:tc>
          <w:tcPr>
            <w:tcW w:w="6840" w:type="dxa"/>
            <w:vAlign w:val="bottom"/>
            <w:tcBorders>
              <w:bottom w:val="single" w:sz="8" w:color="E2E2E2"/>
            </w:tcBorders>
          </w:tcPr>
          <w:p>
            <w:pPr>
              <w:ind w:left="240"/>
              <w:spacing w:after="0" w:line="206" w:lineRule="exact"/>
              <w:rPr>
                <w:sz w:val="20"/>
                <w:szCs w:val="20"/>
                <w:color w:val="auto"/>
              </w:rPr>
            </w:pPr>
            <w:r>
              <w:rPr>
                <w:rFonts w:ascii="Times New Roman" w:cs="Times New Roman" w:eastAsia="Times New Roman" w:hAnsi="Times New Roman"/>
                <w:sz w:val="20"/>
                <w:szCs w:val="20"/>
                <w:color w:val="1E1E1E"/>
              </w:rPr>
              <w:t>Total shareholders' equity</w:t>
            </w:r>
          </w:p>
        </w:tc>
        <w:tc>
          <w:tcPr>
            <w:tcW w:w="16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1380" w:type="dxa"/>
            <w:vAlign w:val="bottom"/>
            <w:tcBorders>
              <w:bottom w:val="single" w:sz="8" w:color="1E1E1E"/>
            </w:tcBorders>
          </w:tcPr>
          <w:p>
            <w:pPr>
              <w:jc w:val="right"/>
              <w:spacing w:after="0" w:line="206" w:lineRule="exact"/>
              <w:rPr>
                <w:sz w:val="20"/>
                <w:szCs w:val="20"/>
                <w:color w:val="auto"/>
              </w:rPr>
            </w:pPr>
            <w:r>
              <w:rPr>
                <w:rFonts w:ascii="Times New Roman" w:cs="Times New Roman" w:eastAsia="Times New Roman" w:hAnsi="Times New Roman"/>
                <w:sz w:val="20"/>
                <w:szCs w:val="20"/>
                <w:color w:val="1E1E1E"/>
              </w:rPr>
              <w:t>179,679</w:t>
            </w:r>
          </w:p>
        </w:tc>
        <w:tc>
          <w:tcPr>
            <w:tcW w:w="180" w:type="dxa"/>
            <w:vAlign w:val="bottom"/>
            <w:tcBorders>
              <w:bottom w:val="single" w:sz="8" w:color="E2E2E2"/>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1380" w:type="dxa"/>
            <w:vAlign w:val="bottom"/>
            <w:tcBorders>
              <w:bottom w:val="single" w:sz="8" w:color="1E1E1E"/>
            </w:tcBorders>
          </w:tcPr>
          <w:p>
            <w:pPr>
              <w:jc w:val="right"/>
              <w:spacing w:after="0" w:line="206" w:lineRule="exact"/>
              <w:rPr>
                <w:sz w:val="20"/>
                <w:szCs w:val="20"/>
                <w:color w:val="auto"/>
              </w:rPr>
            </w:pPr>
            <w:r>
              <w:rPr>
                <w:rFonts w:ascii="Times New Roman" w:cs="Times New Roman" w:eastAsia="Times New Roman" w:hAnsi="Times New Roman"/>
                <w:sz w:val="20"/>
                <w:szCs w:val="20"/>
                <w:color w:val="1E1E1E"/>
              </w:rPr>
              <w:t>219,750</w:t>
            </w:r>
          </w:p>
        </w:tc>
      </w:tr>
      <w:tr>
        <w:trPr>
          <w:trHeight w:val="214"/>
        </w:trPr>
        <w:tc>
          <w:tcPr>
            <w:tcW w:w="6840" w:type="dxa"/>
            <w:vAlign w:val="bottom"/>
            <w:shd w:val="clear" w:color="auto" w:fill="E2E2E2"/>
          </w:tcPr>
          <w:p>
            <w:pPr>
              <w:ind w:left="240"/>
              <w:spacing w:after="0" w:line="206" w:lineRule="exact"/>
              <w:rPr>
                <w:sz w:val="20"/>
                <w:szCs w:val="20"/>
                <w:color w:val="auto"/>
              </w:rPr>
            </w:pPr>
            <w:r>
              <w:rPr>
                <w:rFonts w:ascii="Times New Roman" w:cs="Times New Roman" w:eastAsia="Times New Roman" w:hAnsi="Times New Roman"/>
                <w:sz w:val="20"/>
                <w:szCs w:val="20"/>
                <w:color w:val="1E1E1E"/>
              </w:rPr>
              <w:t>Total liabilities and shareholders' equity</w:t>
            </w:r>
          </w:p>
        </w:tc>
        <w:tc>
          <w:tcPr>
            <w:tcW w:w="160" w:type="dxa"/>
            <w:vAlign w:val="bottom"/>
            <w:shd w:val="clear" w:color="auto" w:fill="E2E2E2"/>
          </w:tcPr>
          <w:p>
            <w:pPr>
              <w:spacing w:after="0"/>
              <w:rPr>
                <w:sz w:val="18"/>
                <w:szCs w:val="18"/>
                <w:color w:val="auto"/>
              </w:rPr>
            </w:pPr>
          </w:p>
        </w:tc>
        <w:tc>
          <w:tcPr>
            <w:tcW w:w="20" w:type="dxa"/>
            <w:vAlign w:val="bottom"/>
            <w:tcBorders>
              <w:bottom w:val="single" w:sz="8" w:color="1E1E1E"/>
            </w:tcBorders>
            <w:shd w:val="clear" w:color="auto" w:fill="E2E2E2"/>
          </w:tcPr>
          <w:p>
            <w:pPr>
              <w:spacing w:after="0"/>
              <w:rPr>
                <w:sz w:val="18"/>
                <w:szCs w:val="18"/>
                <w:color w:val="auto"/>
              </w:rPr>
            </w:pPr>
          </w:p>
        </w:tc>
        <w:tc>
          <w:tcPr>
            <w:tcW w:w="14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w w:val="79"/>
              </w:rPr>
              <w:t>$</w:t>
            </w:r>
          </w:p>
        </w:tc>
        <w:tc>
          <w:tcPr>
            <w:tcW w:w="138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452,442</w:t>
            </w:r>
          </w:p>
        </w:tc>
        <w:tc>
          <w:tcPr>
            <w:tcW w:w="180" w:type="dxa"/>
            <w:vAlign w:val="bottom"/>
            <w:shd w:val="clear" w:color="auto" w:fill="E2E2E2"/>
          </w:tcPr>
          <w:p>
            <w:pPr>
              <w:spacing w:after="0"/>
              <w:rPr>
                <w:sz w:val="18"/>
                <w:szCs w:val="18"/>
                <w:color w:val="auto"/>
              </w:rPr>
            </w:pPr>
          </w:p>
        </w:tc>
        <w:tc>
          <w:tcPr>
            <w:tcW w:w="14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w w:val="79"/>
              </w:rPr>
              <w:t>$</w:t>
            </w:r>
          </w:p>
        </w:tc>
        <w:tc>
          <w:tcPr>
            <w:tcW w:w="138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491,210</w:t>
            </w:r>
          </w:p>
        </w:tc>
      </w:tr>
    </w:tbl>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The accompanying notes are an integral part of these consolidated financial statements.</w:t>
      </w:r>
    </w:p>
    <w:p>
      <w:pPr>
        <w:sectPr>
          <w:pgSz w:w="11880" w:h="15480" w:orient="portrait"/>
          <w:cols w:equalWidth="0" w:num="1">
            <w:col w:w="10240"/>
          </w:cols>
          <w:pgMar w:left="820" w:top="87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40</w:t>
      </w:r>
    </w:p>
    <w:p>
      <w:pPr>
        <w:sectPr>
          <w:pgSz w:w="11880" w:h="15480" w:orient="portrait"/>
          <w:cols w:equalWidth="0" w:num="1">
            <w:col w:w="10240"/>
          </w:cols>
          <w:pgMar w:left="820" w:top="874" w:right="820" w:bottom="0" w:gutter="0" w:footer="0" w:header="0"/>
          <w:type w:val="continuous"/>
        </w:sectPr>
      </w:pPr>
    </w:p>
    <w:bookmarkStart w:id="46" w:name="page47"/>
    <w:bookmarkEnd w:id="46"/>
    <w:p>
      <w:pPr>
        <w:jc w:val="center"/>
        <w:spacing w:after="0"/>
        <w:rPr>
          <w:sz w:val="20"/>
          <w:szCs w:val="20"/>
          <w:color w:val="auto"/>
        </w:rPr>
      </w:pPr>
      <w:r>
        <w:rPr>
          <w:rFonts w:ascii="Times New Roman" w:cs="Times New Roman" w:eastAsia="Times New Roman" w:hAnsi="Times New Roman"/>
          <w:sz w:val="20"/>
          <w:szCs w:val="20"/>
          <w:b w:val="1"/>
          <w:bCs w:val="1"/>
          <w:color w:val="1E1E1E"/>
        </w:rPr>
        <w:t>DULUTH HOLDINGS INC.</w:t>
      </w:r>
    </w:p>
    <w:p>
      <w:pPr>
        <w:ind w:left="3500"/>
        <w:spacing w:after="0"/>
        <w:rPr>
          <w:sz w:val="20"/>
          <w:szCs w:val="20"/>
          <w:color w:val="auto"/>
        </w:rPr>
      </w:pPr>
      <w:r>
        <w:rPr>
          <w:rFonts w:ascii="Times New Roman" w:cs="Times New Roman" w:eastAsia="Times New Roman" w:hAnsi="Times New Roman"/>
          <w:sz w:val="20"/>
          <w:szCs w:val="20"/>
          <w:b w:val="1"/>
          <w:bCs w:val="1"/>
          <w:color w:val="1E1E1E"/>
        </w:rPr>
        <w:t>Consolidated Statements of Operations</w:t>
      </w:r>
    </w:p>
    <w:p>
      <w:pPr>
        <w:ind w:left="3020"/>
        <w:spacing w:after="0"/>
        <w:rPr>
          <w:sz w:val="20"/>
          <w:szCs w:val="20"/>
          <w:color w:val="auto"/>
        </w:rPr>
      </w:pPr>
      <w:r>
        <w:rPr>
          <w:rFonts w:ascii="Times New Roman" w:cs="Times New Roman" w:eastAsia="Times New Roman" w:hAnsi="Times New Roman"/>
          <w:sz w:val="20"/>
          <w:szCs w:val="20"/>
          <w:b w:val="1"/>
          <w:bCs w:val="1"/>
          <w:color w:val="1E1E1E"/>
        </w:rPr>
        <w:t>(Amounts in thousands, except per share figures)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3660" w:type="dxa"/>
            <w:vAlign w:val="bottom"/>
            <w:tcBorders>
              <w:bottom w:val="single" w:sz="8" w:color="1E1E1E"/>
            </w:tcBorders>
            <w:gridSpan w:val="5"/>
          </w:tcPr>
          <w:p>
            <w:pPr>
              <w:jc w:val="right"/>
              <w:ind w:right="1200"/>
              <w:spacing w:after="0"/>
              <w:rPr>
                <w:sz w:val="20"/>
                <w:szCs w:val="20"/>
                <w:color w:val="auto"/>
              </w:rPr>
            </w:pPr>
            <w:r>
              <w:rPr>
                <w:rFonts w:ascii="Times New Roman" w:cs="Times New Roman" w:eastAsia="Times New Roman" w:hAnsi="Times New Roman"/>
                <w:sz w:val="16"/>
                <w:szCs w:val="16"/>
                <w:b w:val="1"/>
                <w:bCs w:val="1"/>
                <w:color w:val="1E1E1E"/>
              </w:rPr>
              <w:t>Fiscal Year Ended</w:t>
            </w:r>
          </w:p>
        </w:tc>
      </w:tr>
      <w:tr>
        <w:trPr>
          <w:trHeight w:val="206"/>
        </w:trPr>
        <w:tc>
          <w:tcPr>
            <w:tcW w:w="6160" w:type="dxa"/>
            <w:vAlign w:val="bottom"/>
            <w:tcBorders>
              <w:bottom w:val="single" w:sz="8" w:color="E2E2E2"/>
            </w:tcBorders>
          </w:tcPr>
          <w:p>
            <w:pPr>
              <w:spacing w:after="0"/>
              <w:rPr>
                <w:sz w:val="17"/>
                <w:szCs w:val="17"/>
                <w:color w:val="auto"/>
              </w:rPr>
            </w:pPr>
          </w:p>
        </w:tc>
        <w:tc>
          <w:tcPr>
            <w:tcW w:w="20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1620" w:type="dxa"/>
            <w:vAlign w:val="bottom"/>
            <w:tcBorders>
              <w:bottom w:val="single" w:sz="8" w:color="1E1E1E"/>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1E1E1E"/>
              </w:rPr>
              <w:t>February 2, 2025</w:t>
            </w:r>
          </w:p>
        </w:tc>
        <w:tc>
          <w:tcPr>
            <w:tcW w:w="20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220" w:type="dxa"/>
            <w:vAlign w:val="bottom"/>
            <w:tcBorders>
              <w:bottom w:val="single" w:sz="8" w:color="1E1E1E"/>
            </w:tcBorders>
          </w:tcPr>
          <w:p>
            <w:pPr>
              <w:spacing w:after="0"/>
              <w:rPr>
                <w:sz w:val="17"/>
                <w:szCs w:val="17"/>
                <w:color w:val="auto"/>
              </w:rPr>
            </w:pPr>
          </w:p>
        </w:tc>
        <w:tc>
          <w:tcPr>
            <w:tcW w:w="1600" w:type="dxa"/>
            <w:vAlign w:val="bottom"/>
            <w:tcBorders>
              <w:bottom w:val="single" w:sz="8" w:color="1E1E1E"/>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1E1E1E"/>
              </w:rPr>
              <w:t>January 28, 2024</w:t>
            </w:r>
          </w:p>
        </w:tc>
      </w:tr>
      <w:tr>
        <w:trPr>
          <w:trHeight w:val="201"/>
        </w:trPr>
        <w:tc>
          <w:tcPr>
            <w:tcW w:w="6160" w:type="dxa"/>
            <w:vAlign w:val="bottom"/>
            <w:shd w:val="clear" w:color="auto" w:fill="E2E2E2"/>
          </w:tcPr>
          <w:p>
            <w:pPr>
              <w:spacing w:after="0" w:line="201" w:lineRule="exact"/>
              <w:rPr>
                <w:sz w:val="20"/>
                <w:szCs w:val="20"/>
                <w:color w:val="auto"/>
              </w:rPr>
            </w:pPr>
            <w:r>
              <w:rPr>
                <w:rFonts w:ascii="Times New Roman" w:cs="Times New Roman" w:eastAsia="Times New Roman" w:hAnsi="Times New Roman"/>
                <w:sz w:val="20"/>
                <w:szCs w:val="20"/>
                <w:color w:val="1E1E1E"/>
              </w:rPr>
              <w:t>Net sales</w:t>
            </w:r>
          </w:p>
        </w:tc>
        <w:tc>
          <w:tcPr>
            <w:tcW w:w="20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200" w:type="dxa"/>
            <w:vAlign w:val="bottom"/>
            <w:shd w:val="clear" w:color="auto" w:fill="E2E2E2"/>
          </w:tcPr>
          <w:p>
            <w:pPr>
              <w:jc w:val="right"/>
              <w:spacing w:after="0" w:line="201" w:lineRule="exact"/>
              <w:rPr>
                <w:sz w:val="20"/>
                <w:szCs w:val="20"/>
                <w:color w:val="auto"/>
              </w:rPr>
            </w:pPr>
            <w:r>
              <w:rPr>
                <w:rFonts w:ascii="Times New Roman" w:cs="Times New Roman" w:eastAsia="Times New Roman" w:hAnsi="Times New Roman"/>
                <w:sz w:val="20"/>
                <w:szCs w:val="20"/>
                <w:color w:val="1E1E1E"/>
                <w:w w:val="79"/>
              </w:rPr>
              <w:t>$</w:t>
            </w:r>
          </w:p>
        </w:tc>
        <w:tc>
          <w:tcPr>
            <w:tcW w:w="1620" w:type="dxa"/>
            <w:vAlign w:val="bottom"/>
            <w:shd w:val="clear" w:color="auto" w:fill="E2E2E2"/>
          </w:tcPr>
          <w:p>
            <w:pPr>
              <w:jc w:val="right"/>
              <w:spacing w:after="0" w:line="201" w:lineRule="exact"/>
              <w:rPr>
                <w:sz w:val="20"/>
                <w:szCs w:val="20"/>
                <w:color w:val="auto"/>
              </w:rPr>
            </w:pPr>
            <w:r>
              <w:rPr>
                <w:rFonts w:ascii="Times New Roman" w:cs="Times New Roman" w:eastAsia="Times New Roman" w:hAnsi="Times New Roman"/>
                <w:sz w:val="20"/>
                <w:szCs w:val="20"/>
                <w:color w:val="1E1E1E"/>
              </w:rPr>
              <w:t>626,629</w:t>
            </w:r>
          </w:p>
        </w:tc>
        <w:tc>
          <w:tcPr>
            <w:tcW w:w="20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220" w:type="dxa"/>
            <w:vAlign w:val="bottom"/>
            <w:shd w:val="clear" w:color="auto" w:fill="E2E2E2"/>
          </w:tcPr>
          <w:p>
            <w:pPr>
              <w:jc w:val="right"/>
              <w:ind w:right="19"/>
              <w:spacing w:after="0" w:line="201" w:lineRule="exact"/>
              <w:rPr>
                <w:sz w:val="20"/>
                <w:szCs w:val="20"/>
                <w:color w:val="auto"/>
              </w:rPr>
            </w:pPr>
            <w:r>
              <w:rPr>
                <w:rFonts w:ascii="Times New Roman" w:cs="Times New Roman" w:eastAsia="Times New Roman" w:hAnsi="Times New Roman"/>
                <w:sz w:val="20"/>
                <w:szCs w:val="20"/>
                <w:color w:val="1E1E1E"/>
                <w:w w:val="79"/>
              </w:rPr>
              <w:t>$</w:t>
            </w:r>
          </w:p>
        </w:tc>
        <w:tc>
          <w:tcPr>
            <w:tcW w:w="1600" w:type="dxa"/>
            <w:vAlign w:val="bottom"/>
            <w:shd w:val="clear" w:color="auto" w:fill="E2E2E2"/>
          </w:tcPr>
          <w:p>
            <w:pPr>
              <w:jc w:val="right"/>
              <w:spacing w:after="0" w:line="201" w:lineRule="exact"/>
              <w:rPr>
                <w:sz w:val="20"/>
                <w:szCs w:val="20"/>
                <w:color w:val="auto"/>
              </w:rPr>
            </w:pPr>
            <w:r>
              <w:rPr>
                <w:rFonts w:ascii="Times New Roman" w:cs="Times New Roman" w:eastAsia="Times New Roman" w:hAnsi="Times New Roman"/>
                <w:sz w:val="20"/>
                <w:szCs w:val="20"/>
                <w:color w:val="1E1E1E"/>
              </w:rPr>
              <w:t>646,681</w:t>
            </w:r>
          </w:p>
        </w:tc>
      </w:tr>
      <w:tr>
        <w:trPr>
          <w:trHeight w:val="226"/>
        </w:trPr>
        <w:tc>
          <w:tcPr>
            <w:tcW w:w="6160" w:type="dxa"/>
            <w:vAlign w:val="bottom"/>
            <w:tcBorders>
              <w:bottom w:val="single" w:sz="8" w:color="E2E2E2"/>
            </w:tcBorders>
          </w:tcPr>
          <w:p>
            <w:pPr>
              <w:spacing w:after="0" w:line="226" w:lineRule="exact"/>
              <w:rPr>
                <w:sz w:val="20"/>
                <w:szCs w:val="20"/>
                <w:color w:val="auto"/>
              </w:rPr>
            </w:pPr>
            <w:r>
              <w:rPr>
                <w:rFonts w:ascii="Times New Roman" w:cs="Times New Roman" w:eastAsia="Times New Roman" w:hAnsi="Times New Roman"/>
                <w:sz w:val="20"/>
                <w:szCs w:val="20"/>
                <w:color w:val="1E1E1E"/>
              </w:rPr>
              <w:t>Cost of goods sold (excluding depreciation and amortization)</w:t>
            </w:r>
          </w:p>
        </w:tc>
        <w:tc>
          <w:tcPr>
            <w:tcW w:w="20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162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318,119</w:t>
            </w:r>
          </w:p>
        </w:tc>
        <w:tc>
          <w:tcPr>
            <w:tcW w:w="20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160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321,710</w:t>
            </w:r>
          </w:p>
        </w:tc>
      </w:tr>
      <w:tr>
        <w:trPr>
          <w:trHeight w:val="206"/>
        </w:trPr>
        <w:tc>
          <w:tcPr>
            <w:tcW w:w="6160" w:type="dxa"/>
            <w:vAlign w:val="bottom"/>
            <w:shd w:val="clear" w:color="auto" w:fill="E2E2E2"/>
          </w:tcPr>
          <w:p>
            <w:pPr>
              <w:spacing w:after="0" w:line="206" w:lineRule="exact"/>
              <w:rPr>
                <w:sz w:val="20"/>
                <w:szCs w:val="20"/>
                <w:color w:val="auto"/>
              </w:rPr>
            </w:pPr>
            <w:r>
              <w:rPr>
                <w:rFonts w:ascii="Times New Roman" w:cs="Times New Roman" w:eastAsia="Times New Roman" w:hAnsi="Times New Roman"/>
                <w:sz w:val="20"/>
                <w:szCs w:val="20"/>
                <w:color w:val="1E1E1E"/>
              </w:rPr>
              <w:t>Gross profit</w:t>
            </w:r>
          </w:p>
        </w:tc>
        <w:tc>
          <w:tcPr>
            <w:tcW w:w="20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200" w:type="dxa"/>
            <w:vAlign w:val="bottom"/>
            <w:shd w:val="clear" w:color="auto" w:fill="E2E2E2"/>
          </w:tcPr>
          <w:p>
            <w:pPr>
              <w:spacing w:after="0"/>
              <w:rPr>
                <w:sz w:val="17"/>
                <w:szCs w:val="17"/>
                <w:color w:val="auto"/>
              </w:rPr>
            </w:pPr>
          </w:p>
        </w:tc>
        <w:tc>
          <w:tcPr>
            <w:tcW w:w="162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308,510</w:t>
            </w:r>
          </w:p>
        </w:tc>
        <w:tc>
          <w:tcPr>
            <w:tcW w:w="20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220" w:type="dxa"/>
            <w:vAlign w:val="bottom"/>
            <w:shd w:val="clear" w:color="auto" w:fill="E2E2E2"/>
          </w:tcPr>
          <w:p>
            <w:pPr>
              <w:spacing w:after="0"/>
              <w:rPr>
                <w:sz w:val="17"/>
                <w:szCs w:val="17"/>
                <w:color w:val="auto"/>
              </w:rPr>
            </w:pPr>
          </w:p>
        </w:tc>
        <w:tc>
          <w:tcPr>
            <w:tcW w:w="160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324,971</w:t>
            </w:r>
          </w:p>
        </w:tc>
      </w:tr>
      <w:tr>
        <w:trPr>
          <w:trHeight w:val="226"/>
        </w:trPr>
        <w:tc>
          <w:tcPr>
            <w:tcW w:w="61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Selling, general and administrative expenses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337,623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334,540</w:t>
            </w:r>
          </w:p>
        </w:tc>
      </w:tr>
      <w:tr>
        <w:trPr>
          <w:trHeight w:val="226"/>
        </w:trPr>
        <w:tc>
          <w:tcPr>
            <w:tcW w:w="616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Restructuring expense</w:t>
            </w:r>
          </w:p>
        </w:tc>
        <w:tc>
          <w:tcPr>
            <w:tcW w:w="20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00" w:type="dxa"/>
            <w:vAlign w:val="bottom"/>
            <w:tcBorders>
              <w:bottom w:val="single" w:sz="8" w:color="1E1E1E"/>
            </w:tcBorders>
            <w:shd w:val="clear" w:color="auto" w:fill="E2E2E2"/>
          </w:tcPr>
          <w:p>
            <w:pPr>
              <w:spacing w:after="0"/>
              <w:rPr>
                <w:sz w:val="19"/>
                <w:szCs w:val="19"/>
                <w:color w:val="auto"/>
              </w:rPr>
            </w:pPr>
          </w:p>
        </w:tc>
        <w:tc>
          <w:tcPr>
            <w:tcW w:w="1620" w:type="dxa"/>
            <w:vAlign w:val="bottom"/>
            <w:tcBorders>
              <w:bottom w:val="single" w:sz="8" w:color="1E1E1E"/>
            </w:tcBorders>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7,748</w:t>
            </w:r>
          </w:p>
        </w:tc>
        <w:tc>
          <w:tcPr>
            <w:tcW w:w="20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20" w:type="dxa"/>
            <w:vAlign w:val="bottom"/>
            <w:tcBorders>
              <w:bottom w:val="single" w:sz="8" w:color="1E1E1E"/>
            </w:tcBorders>
            <w:shd w:val="clear" w:color="auto" w:fill="E2E2E2"/>
          </w:tcPr>
          <w:p>
            <w:pPr>
              <w:spacing w:after="0"/>
              <w:rPr>
                <w:sz w:val="19"/>
                <w:szCs w:val="19"/>
                <w:color w:val="auto"/>
              </w:rPr>
            </w:pPr>
          </w:p>
        </w:tc>
        <w:tc>
          <w:tcPr>
            <w:tcW w:w="1600" w:type="dxa"/>
            <w:vAlign w:val="bottom"/>
            <w:tcBorders>
              <w:bottom w:val="single" w:sz="8" w:color="1E1E1E"/>
            </w:tcBorders>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w:t>
            </w:r>
          </w:p>
        </w:tc>
      </w:tr>
      <w:tr>
        <w:trPr>
          <w:trHeight w:val="206"/>
        </w:trPr>
        <w:tc>
          <w:tcPr>
            <w:tcW w:w="6160" w:type="dxa"/>
            <w:vAlign w:val="bottom"/>
          </w:tcPr>
          <w:p>
            <w:pPr>
              <w:spacing w:after="0" w:line="206" w:lineRule="exact"/>
              <w:rPr>
                <w:sz w:val="20"/>
                <w:szCs w:val="20"/>
                <w:color w:val="auto"/>
              </w:rPr>
            </w:pPr>
            <w:r>
              <w:rPr>
                <w:rFonts w:ascii="Times New Roman" w:cs="Times New Roman" w:eastAsia="Times New Roman" w:hAnsi="Times New Roman"/>
                <w:sz w:val="20"/>
                <w:szCs w:val="20"/>
                <w:color w:val="1E1E1E"/>
              </w:rPr>
              <w:t>Operating loss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1E1E1E"/>
              </w:rPr>
              <w:t>(36,861)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1E1E1E"/>
              </w:rPr>
              <w:t>(9,569)</w:t>
            </w:r>
          </w:p>
        </w:tc>
      </w:tr>
      <w:tr>
        <w:trPr>
          <w:trHeight w:val="226"/>
        </w:trPr>
        <w:tc>
          <w:tcPr>
            <w:tcW w:w="6380" w:type="dxa"/>
            <w:vAlign w:val="bottom"/>
            <w:gridSpan w:val="3"/>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Interest expense</w:t>
            </w:r>
          </w:p>
        </w:tc>
        <w:tc>
          <w:tcPr>
            <w:tcW w:w="200" w:type="dxa"/>
            <w:vAlign w:val="bottom"/>
            <w:shd w:val="clear" w:color="auto" w:fill="E2E2E2"/>
          </w:tcPr>
          <w:p>
            <w:pPr>
              <w:spacing w:after="0"/>
              <w:rPr>
                <w:sz w:val="19"/>
                <w:szCs w:val="19"/>
                <w:color w:val="auto"/>
              </w:rPr>
            </w:pPr>
          </w:p>
        </w:tc>
        <w:tc>
          <w:tcPr>
            <w:tcW w:w="162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4,554</w:t>
            </w:r>
          </w:p>
        </w:tc>
        <w:tc>
          <w:tcPr>
            <w:tcW w:w="20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20" w:type="dxa"/>
            <w:vAlign w:val="bottom"/>
            <w:shd w:val="clear" w:color="auto" w:fill="E2E2E2"/>
          </w:tcPr>
          <w:p>
            <w:pPr>
              <w:spacing w:after="0"/>
              <w:rPr>
                <w:sz w:val="19"/>
                <w:szCs w:val="19"/>
                <w:color w:val="auto"/>
              </w:rPr>
            </w:pPr>
          </w:p>
        </w:tc>
        <w:tc>
          <w:tcPr>
            <w:tcW w:w="160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4,156</w:t>
            </w:r>
          </w:p>
        </w:tc>
      </w:tr>
      <w:tr>
        <w:trPr>
          <w:trHeight w:val="226"/>
        </w:trPr>
        <w:tc>
          <w:tcPr>
            <w:tcW w:w="6380" w:type="dxa"/>
            <w:vAlign w:val="bottom"/>
            <w:tcBorders>
              <w:bottom w:val="single" w:sz="8" w:color="E2E2E2"/>
            </w:tcBorders>
            <w:gridSpan w:val="3"/>
          </w:tcPr>
          <w:p>
            <w:pPr>
              <w:spacing w:after="0" w:line="226" w:lineRule="exact"/>
              <w:rPr>
                <w:sz w:val="20"/>
                <w:szCs w:val="20"/>
                <w:color w:val="auto"/>
              </w:rPr>
            </w:pPr>
            <w:r>
              <w:rPr>
                <w:rFonts w:ascii="Times New Roman" w:cs="Times New Roman" w:eastAsia="Times New Roman" w:hAnsi="Times New Roman"/>
                <w:sz w:val="20"/>
                <w:szCs w:val="20"/>
                <w:color w:val="1E1E1E"/>
              </w:rPr>
              <w:t>Other income, net</w:t>
            </w:r>
          </w:p>
        </w:tc>
        <w:tc>
          <w:tcPr>
            <w:tcW w:w="200" w:type="dxa"/>
            <w:vAlign w:val="bottom"/>
            <w:tcBorders>
              <w:bottom w:val="single" w:sz="8" w:color="1E1E1E"/>
            </w:tcBorders>
          </w:tcPr>
          <w:p>
            <w:pPr>
              <w:spacing w:after="0"/>
              <w:rPr>
                <w:sz w:val="19"/>
                <w:szCs w:val="19"/>
                <w:color w:val="auto"/>
              </w:rPr>
            </w:pPr>
          </w:p>
        </w:tc>
        <w:tc>
          <w:tcPr>
            <w:tcW w:w="162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173</w:t>
            </w:r>
          </w:p>
        </w:tc>
        <w:tc>
          <w:tcPr>
            <w:tcW w:w="20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160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923</w:t>
            </w:r>
          </w:p>
        </w:tc>
      </w:tr>
      <w:tr>
        <w:trPr>
          <w:trHeight w:val="201"/>
        </w:trPr>
        <w:tc>
          <w:tcPr>
            <w:tcW w:w="6160" w:type="dxa"/>
            <w:vAlign w:val="bottom"/>
            <w:shd w:val="clear" w:color="auto" w:fill="E2E2E2"/>
          </w:tcPr>
          <w:p>
            <w:pPr>
              <w:spacing w:after="0" w:line="201" w:lineRule="exact"/>
              <w:rPr>
                <w:sz w:val="20"/>
                <w:szCs w:val="20"/>
                <w:color w:val="auto"/>
              </w:rPr>
            </w:pPr>
            <w:r>
              <w:rPr>
                <w:rFonts w:ascii="Times New Roman" w:cs="Times New Roman" w:eastAsia="Times New Roman" w:hAnsi="Times New Roman"/>
                <w:sz w:val="20"/>
                <w:szCs w:val="20"/>
                <w:color w:val="1E1E1E"/>
              </w:rPr>
              <w:t>Loss before income taxes</w:t>
            </w:r>
          </w:p>
        </w:tc>
        <w:tc>
          <w:tcPr>
            <w:tcW w:w="20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200" w:type="dxa"/>
            <w:vAlign w:val="bottom"/>
            <w:shd w:val="clear" w:color="auto" w:fill="E2E2E2"/>
          </w:tcPr>
          <w:p>
            <w:pPr>
              <w:spacing w:after="0"/>
              <w:rPr>
                <w:sz w:val="17"/>
                <w:szCs w:val="17"/>
                <w:color w:val="auto"/>
              </w:rPr>
            </w:pPr>
          </w:p>
        </w:tc>
        <w:tc>
          <w:tcPr>
            <w:tcW w:w="1620" w:type="dxa"/>
            <w:vAlign w:val="bottom"/>
            <w:shd w:val="clear" w:color="auto" w:fill="E2E2E2"/>
          </w:tcPr>
          <w:p>
            <w:pPr>
              <w:jc w:val="right"/>
              <w:spacing w:after="0" w:line="201" w:lineRule="exact"/>
              <w:rPr>
                <w:sz w:val="20"/>
                <w:szCs w:val="20"/>
                <w:color w:val="auto"/>
              </w:rPr>
            </w:pPr>
            <w:r>
              <w:rPr>
                <w:rFonts w:ascii="Times New Roman" w:cs="Times New Roman" w:eastAsia="Times New Roman" w:hAnsi="Times New Roman"/>
                <w:sz w:val="20"/>
                <w:szCs w:val="20"/>
                <w:color w:val="1E1E1E"/>
              </w:rPr>
              <w:t>(41,242)</w:t>
            </w:r>
          </w:p>
        </w:tc>
        <w:tc>
          <w:tcPr>
            <w:tcW w:w="20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220" w:type="dxa"/>
            <w:vAlign w:val="bottom"/>
            <w:shd w:val="clear" w:color="auto" w:fill="E2E2E2"/>
          </w:tcPr>
          <w:p>
            <w:pPr>
              <w:spacing w:after="0"/>
              <w:rPr>
                <w:sz w:val="17"/>
                <w:szCs w:val="17"/>
                <w:color w:val="auto"/>
              </w:rPr>
            </w:pPr>
          </w:p>
        </w:tc>
        <w:tc>
          <w:tcPr>
            <w:tcW w:w="1600" w:type="dxa"/>
            <w:vAlign w:val="bottom"/>
            <w:shd w:val="clear" w:color="auto" w:fill="E2E2E2"/>
          </w:tcPr>
          <w:p>
            <w:pPr>
              <w:jc w:val="right"/>
              <w:spacing w:after="0" w:line="201" w:lineRule="exact"/>
              <w:rPr>
                <w:sz w:val="20"/>
                <w:szCs w:val="20"/>
                <w:color w:val="auto"/>
              </w:rPr>
            </w:pPr>
            <w:r>
              <w:rPr>
                <w:rFonts w:ascii="Times New Roman" w:cs="Times New Roman" w:eastAsia="Times New Roman" w:hAnsi="Times New Roman"/>
                <w:sz w:val="20"/>
                <w:szCs w:val="20"/>
                <w:color w:val="1E1E1E"/>
              </w:rPr>
              <w:t>(12,802)</w:t>
            </w:r>
          </w:p>
        </w:tc>
      </w:tr>
      <w:tr>
        <w:trPr>
          <w:trHeight w:val="226"/>
        </w:trPr>
        <w:tc>
          <w:tcPr>
            <w:tcW w:w="6380" w:type="dxa"/>
            <w:vAlign w:val="bottom"/>
            <w:tcBorders>
              <w:bottom w:val="single" w:sz="8" w:color="E2E2E2"/>
            </w:tcBorders>
            <w:gridSpan w:val="3"/>
          </w:tcPr>
          <w:p>
            <w:pPr>
              <w:spacing w:after="0" w:line="226" w:lineRule="exact"/>
              <w:rPr>
                <w:sz w:val="20"/>
                <w:szCs w:val="20"/>
                <w:color w:val="auto"/>
              </w:rPr>
            </w:pPr>
            <w:r>
              <w:rPr>
                <w:rFonts w:ascii="Times New Roman" w:cs="Times New Roman" w:eastAsia="Times New Roman" w:hAnsi="Times New Roman"/>
                <w:sz w:val="20"/>
                <w:szCs w:val="20"/>
                <w:color w:val="1E1E1E"/>
              </w:rPr>
              <w:t>Income tax expense (benefit)</w:t>
            </w:r>
          </w:p>
        </w:tc>
        <w:tc>
          <w:tcPr>
            <w:tcW w:w="200" w:type="dxa"/>
            <w:vAlign w:val="bottom"/>
            <w:tcBorders>
              <w:bottom w:val="single" w:sz="8" w:color="1E1E1E"/>
            </w:tcBorders>
          </w:tcPr>
          <w:p>
            <w:pPr>
              <w:spacing w:after="0"/>
              <w:rPr>
                <w:sz w:val="19"/>
                <w:szCs w:val="19"/>
                <w:color w:val="auto"/>
              </w:rPr>
            </w:pPr>
          </w:p>
        </w:tc>
        <w:tc>
          <w:tcPr>
            <w:tcW w:w="162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2,370</w:t>
            </w:r>
          </w:p>
        </w:tc>
        <w:tc>
          <w:tcPr>
            <w:tcW w:w="20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160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(2,862)</w:t>
            </w:r>
          </w:p>
        </w:tc>
      </w:tr>
      <w:tr>
        <w:trPr>
          <w:trHeight w:val="206"/>
        </w:trPr>
        <w:tc>
          <w:tcPr>
            <w:tcW w:w="6160" w:type="dxa"/>
            <w:vAlign w:val="bottom"/>
            <w:shd w:val="clear" w:color="auto" w:fill="E2E2E2"/>
          </w:tcPr>
          <w:p>
            <w:pPr>
              <w:spacing w:after="0" w:line="206" w:lineRule="exact"/>
              <w:rPr>
                <w:sz w:val="20"/>
                <w:szCs w:val="20"/>
                <w:color w:val="auto"/>
              </w:rPr>
            </w:pPr>
            <w:r>
              <w:rPr>
                <w:rFonts w:ascii="Times New Roman" w:cs="Times New Roman" w:eastAsia="Times New Roman" w:hAnsi="Times New Roman"/>
                <w:sz w:val="20"/>
                <w:szCs w:val="20"/>
                <w:color w:val="1E1E1E"/>
              </w:rPr>
              <w:t>Net loss</w:t>
            </w:r>
          </w:p>
        </w:tc>
        <w:tc>
          <w:tcPr>
            <w:tcW w:w="20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200" w:type="dxa"/>
            <w:vAlign w:val="bottom"/>
            <w:shd w:val="clear" w:color="auto" w:fill="E2E2E2"/>
          </w:tcPr>
          <w:p>
            <w:pPr>
              <w:spacing w:after="0"/>
              <w:rPr>
                <w:sz w:val="17"/>
                <w:szCs w:val="17"/>
                <w:color w:val="auto"/>
              </w:rPr>
            </w:pPr>
          </w:p>
        </w:tc>
        <w:tc>
          <w:tcPr>
            <w:tcW w:w="162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(43,612)</w:t>
            </w:r>
          </w:p>
        </w:tc>
        <w:tc>
          <w:tcPr>
            <w:tcW w:w="20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220" w:type="dxa"/>
            <w:vAlign w:val="bottom"/>
            <w:shd w:val="clear" w:color="auto" w:fill="E2E2E2"/>
          </w:tcPr>
          <w:p>
            <w:pPr>
              <w:spacing w:after="0"/>
              <w:rPr>
                <w:sz w:val="17"/>
                <w:szCs w:val="17"/>
                <w:color w:val="auto"/>
              </w:rPr>
            </w:pPr>
          </w:p>
        </w:tc>
        <w:tc>
          <w:tcPr>
            <w:tcW w:w="160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(9,940)</w:t>
            </w:r>
          </w:p>
        </w:tc>
      </w:tr>
      <w:tr>
        <w:trPr>
          <w:trHeight w:val="226"/>
        </w:trPr>
        <w:tc>
          <w:tcPr>
            <w:tcW w:w="6380" w:type="dxa"/>
            <w:vAlign w:val="bottom"/>
            <w:tcBorders>
              <w:bottom w:val="single" w:sz="8" w:color="E2E2E2"/>
            </w:tcBorders>
            <w:gridSpan w:val="3"/>
          </w:tcPr>
          <w:p>
            <w:pPr>
              <w:spacing w:after="0" w:line="226" w:lineRule="exact"/>
              <w:rPr>
                <w:sz w:val="20"/>
                <w:szCs w:val="20"/>
                <w:color w:val="auto"/>
              </w:rPr>
            </w:pPr>
            <w:r>
              <w:rPr>
                <w:rFonts w:ascii="Times New Roman" w:cs="Times New Roman" w:eastAsia="Times New Roman" w:hAnsi="Times New Roman"/>
                <w:sz w:val="20"/>
                <w:szCs w:val="20"/>
                <w:color w:val="1E1E1E"/>
              </w:rPr>
              <w:t>Less: Net income (loss) attributable to noncontrolling interest</w:t>
            </w:r>
          </w:p>
        </w:tc>
        <w:tc>
          <w:tcPr>
            <w:tcW w:w="200" w:type="dxa"/>
            <w:vAlign w:val="bottom"/>
            <w:tcBorders>
              <w:bottom w:val="single" w:sz="8" w:color="1E1E1E"/>
            </w:tcBorders>
          </w:tcPr>
          <w:p>
            <w:pPr>
              <w:spacing w:after="0"/>
              <w:rPr>
                <w:sz w:val="19"/>
                <w:szCs w:val="19"/>
                <w:color w:val="auto"/>
              </w:rPr>
            </w:pPr>
          </w:p>
        </w:tc>
        <w:tc>
          <w:tcPr>
            <w:tcW w:w="162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59</w:t>
            </w:r>
          </w:p>
        </w:tc>
        <w:tc>
          <w:tcPr>
            <w:tcW w:w="20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160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(17)</w:t>
            </w:r>
          </w:p>
        </w:tc>
      </w:tr>
      <w:tr>
        <w:trPr>
          <w:trHeight w:val="214"/>
        </w:trPr>
        <w:tc>
          <w:tcPr>
            <w:tcW w:w="6160" w:type="dxa"/>
            <w:vAlign w:val="bottom"/>
            <w:shd w:val="clear" w:color="auto" w:fill="E2E2E2"/>
          </w:tcPr>
          <w:p>
            <w:pPr>
              <w:spacing w:after="0" w:line="206" w:lineRule="exact"/>
              <w:rPr>
                <w:sz w:val="20"/>
                <w:szCs w:val="20"/>
                <w:color w:val="auto"/>
              </w:rPr>
            </w:pPr>
            <w:r>
              <w:rPr>
                <w:rFonts w:ascii="Times New Roman" w:cs="Times New Roman" w:eastAsia="Times New Roman" w:hAnsi="Times New Roman"/>
                <w:sz w:val="20"/>
                <w:szCs w:val="20"/>
                <w:color w:val="1E1E1E"/>
              </w:rPr>
              <w:t>Net loss attributable to controlling interest</w:t>
            </w:r>
          </w:p>
        </w:tc>
        <w:tc>
          <w:tcPr>
            <w:tcW w:w="200" w:type="dxa"/>
            <w:vAlign w:val="bottom"/>
            <w:shd w:val="clear" w:color="auto" w:fill="E2E2E2"/>
          </w:tcPr>
          <w:p>
            <w:pPr>
              <w:spacing w:after="0"/>
              <w:rPr>
                <w:sz w:val="18"/>
                <w:szCs w:val="18"/>
                <w:color w:val="auto"/>
              </w:rPr>
            </w:pPr>
          </w:p>
        </w:tc>
        <w:tc>
          <w:tcPr>
            <w:tcW w:w="20" w:type="dxa"/>
            <w:vAlign w:val="bottom"/>
            <w:shd w:val="clear" w:color="auto" w:fill="E2E2E2"/>
          </w:tcPr>
          <w:p>
            <w:pPr>
              <w:spacing w:after="0"/>
              <w:rPr>
                <w:sz w:val="18"/>
                <w:szCs w:val="18"/>
                <w:color w:val="auto"/>
              </w:rPr>
            </w:pPr>
          </w:p>
        </w:tc>
        <w:tc>
          <w:tcPr>
            <w:tcW w:w="20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w w:val="79"/>
              </w:rPr>
              <w:t>$</w:t>
            </w:r>
          </w:p>
        </w:tc>
        <w:tc>
          <w:tcPr>
            <w:tcW w:w="162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(43,671)</w:t>
            </w:r>
          </w:p>
        </w:tc>
        <w:tc>
          <w:tcPr>
            <w:tcW w:w="200" w:type="dxa"/>
            <w:vAlign w:val="bottom"/>
            <w:shd w:val="clear" w:color="auto" w:fill="E2E2E2"/>
          </w:tcPr>
          <w:p>
            <w:pPr>
              <w:spacing w:after="0"/>
              <w:rPr>
                <w:sz w:val="18"/>
                <w:szCs w:val="18"/>
                <w:color w:val="auto"/>
              </w:rPr>
            </w:pPr>
          </w:p>
        </w:tc>
        <w:tc>
          <w:tcPr>
            <w:tcW w:w="20" w:type="dxa"/>
            <w:vAlign w:val="bottom"/>
            <w:shd w:val="clear" w:color="auto" w:fill="E2E2E2"/>
          </w:tcPr>
          <w:p>
            <w:pPr>
              <w:spacing w:after="0"/>
              <w:rPr>
                <w:sz w:val="18"/>
                <w:szCs w:val="18"/>
                <w:color w:val="auto"/>
              </w:rPr>
            </w:pPr>
          </w:p>
        </w:tc>
        <w:tc>
          <w:tcPr>
            <w:tcW w:w="220" w:type="dxa"/>
            <w:vAlign w:val="bottom"/>
            <w:tcBorders>
              <w:bottom w:val="single" w:sz="8" w:color="1E1E1E"/>
            </w:tcBorders>
            <w:shd w:val="clear" w:color="auto" w:fill="E2E2E2"/>
          </w:tcPr>
          <w:p>
            <w:pPr>
              <w:jc w:val="right"/>
              <w:ind w:right="19"/>
              <w:spacing w:after="0" w:line="206" w:lineRule="exact"/>
              <w:rPr>
                <w:sz w:val="20"/>
                <w:szCs w:val="20"/>
                <w:color w:val="auto"/>
              </w:rPr>
            </w:pPr>
            <w:r>
              <w:rPr>
                <w:rFonts w:ascii="Times New Roman" w:cs="Times New Roman" w:eastAsia="Times New Roman" w:hAnsi="Times New Roman"/>
                <w:sz w:val="20"/>
                <w:szCs w:val="20"/>
                <w:color w:val="1E1E1E"/>
                <w:w w:val="79"/>
              </w:rPr>
              <w:t>$</w:t>
            </w:r>
          </w:p>
        </w:tc>
        <w:tc>
          <w:tcPr>
            <w:tcW w:w="160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(9,923)</w:t>
            </w:r>
          </w:p>
        </w:tc>
      </w:tr>
      <w:tr>
        <w:trPr>
          <w:trHeight w:val="197"/>
        </w:trPr>
        <w:tc>
          <w:tcPr>
            <w:tcW w:w="6380" w:type="dxa"/>
            <w:vAlign w:val="bottom"/>
            <w:gridSpan w:val="3"/>
          </w:tcPr>
          <w:p>
            <w:pPr>
              <w:spacing w:after="0" w:line="197" w:lineRule="exact"/>
              <w:rPr>
                <w:sz w:val="20"/>
                <w:szCs w:val="20"/>
                <w:color w:val="auto"/>
              </w:rPr>
            </w:pPr>
            <w:r>
              <w:rPr>
                <w:rFonts w:ascii="Times New Roman" w:cs="Times New Roman" w:eastAsia="Times New Roman" w:hAnsi="Times New Roman"/>
                <w:sz w:val="20"/>
                <w:szCs w:val="20"/>
                <w:b w:val="1"/>
                <w:bCs w:val="1"/>
                <w:color w:val="1E1E1E"/>
              </w:rPr>
              <w:t>Basic earnings per share (Class A and Class B):</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27"/>
        </w:trPr>
        <w:tc>
          <w:tcPr>
            <w:tcW w:w="6380" w:type="dxa"/>
            <w:vAlign w:val="bottom"/>
            <w:gridSpan w:val="3"/>
            <w:shd w:val="clear" w:color="auto" w:fill="E2E2E2"/>
          </w:tcPr>
          <w:p>
            <w:pPr>
              <w:spacing w:after="0" w:line="228" w:lineRule="exact"/>
              <w:rPr>
                <w:sz w:val="20"/>
                <w:szCs w:val="20"/>
                <w:color w:val="auto"/>
              </w:rPr>
            </w:pPr>
            <w:r>
              <w:rPr>
                <w:rFonts w:ascii="Times New Roman" w:cs="Times New Roman" w:eastAsia="Times New Roman" w:hAnsi="Times New Roman"/>
                <w:sz w:val="20"/>
                <w:szCs w:val="20"/>
                <w:color w:val="1E1E1E"/>
              </w:rPr>
              <w:t>Weighted average shares of</w:t>
            </w:r>
          </w:p>
        </w:tc>
        <w:tc>
          <w:tcPr>
            <w:tcW w:w="200" w:type="dxa"/>
            <w:vAlign w:val="bottom"/>
            <w:shd w:val="clear" w:color="auto" w:fill="E2E2E2"/>
          </w:tcPr>
          <w:p>
            <w:pPr>
              <w:spacing w:after="0"/>
              <w:rPr>
                <w:sz w:val="19"/>
                <w:szCs w:val="19"/>
                <w:color w:val="auto"/>
              </w:rPr>
            </w:pPr>
          </w:p>
        </w:tc>
        <w:tc>
          <w:tcPr>
            <w:tcW w:w="162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20" w:type="dxa"/>
            <w:vAlign w:val="bottom"/>
            <w:shd w:val="clear" w:color="auto" w:fill="E2E2E2"/>
          </w:tcPr>
          <w:p>
            <w:pPr>
              <w:spacing w:after="0"/>
              <w:rPr>
                <w:sz w:val="19"/>
                <w:szCs w:val="19"/>
                <w:color w:val="auto"/>
              </w:rPr>
            </w:pPr>
          </w:p>
        </w:tc>
        <w:tc>
          <w:tcPr>
            <w:tcW w:w="1600" w:type="dxa"/>
            <w:vAlign w:val="bottom"/>
            <w:shd w:val="clear" w:color="auto" w:fill="E2E2E2"/>
          </w:tcPr>
          <w:p>
            <w:pPr>
              <w:spacing w:after="0"/>
              <w:rPr>
                <w:sz w:val="19"/>
                <w:szCs w:val="19"/>
                <w:color w:val="auto"/>
              </w:rPr>
            </w:pPr>
          </w:p>
        </w:tc>
      </w:tr>
      <w:tr>
        <w:trPr>
          <w:trHeight w:val="253"/>
        </w:trPr>
        <w:tc>
          <w:tcPr>
            <w:tcW w:w="6160" w:type="dxa"/>
            <w:vAlign w:val="bottom"/>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common stock outstanding</w:t>
            </w:r>
          </w:p>
        </w:tc>
        <w:tc>
          <w:tcPr>
            <w:tcW w:w="20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200" w:type="dxa"/>
            <w:vAlign w:val="bottom"/>
            <w:tcBorders>
              <w:bottom w:val="single" w:sz="8" w:color="1E1E1E"/>
            </w:tcBorders>
            <w:shd w:val="clear" w:color="auto" w:fill="E2E2E2"/>
          </w:tcPr>
          <w:p>
            <w:pPr>
              <w:spacing w:after="0"/>
              <w:rPr>
                <w:sz w:val="21"/>
                <w:szCs w:val="21"/>
                <w:color w:val="auto"/>
              </w:rPr>
            </w:pPr>
          </w:p>
        </w:tc>
        <w:tc>
          <w:tcPr>
            <w:tcW w:w="16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33,368</w:t>
            </w:r>
          </w:p>
        </w:tc>
        <w:tc>
          <w:tcPr>
            <w:tcW w:w="20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220" w:type="dxa"/>
            <w:vAlign w:val="bottom"/>
            <w:tcBorders>
              <w:bottom w:val="single" w:sz="8" w:color="1E1E1E"/>
            </w:tcBorders>
            <w:shd w:val="clear" w:color="auto" w:fill="E2E2E2"/>
          </w:tcPr>
          <w:p>
            <w:pPr>
              <w:spacing w:after="0"/>
              <w:rPr>
                <w:sz w:val="21"/>
                <w:szCs w:val="21"/>
                <w:color w:val="auto"/>
              </w:rPr>
            </w:pPr>
          </w:p>
        </w:tc>
        <w:tc>
          <w:tcPr>
            <w:tcW w:w="16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32,955</w:t>
            </w:r>
          </w:p>
        </w:tc>
      </w:tr>
      <w:tr>
        <w:trPr>
          <w:trHeight w:val="207"/>
        </w:trPr>
        <w:tc>
          <w:tcPr>
            <w:tcW w:w="6380" w:type="dxa"/>
            <w:vAlign w:val="bottom"/>
            <w:gridSpan w:val="3"/>
          </w:tcPr>
          <w:p>
            <w:pPr>
              <w:spacing w:after="0" w:line="207" w:lineRule="exact"/>
              <w:rPr>
                <w:sz w:val="20"/>
                <w:szCs w:val="20"/>
                <w:color w:val="auto"/>
              </w:rPr>
            </w:pPr>
            <w:r>
              <w:rPr>
                <w:rFonts w:ascii="Times New Roman" w:cs="Times New Roman" w:eastAsia="Times New Roman" w:hAnsi="Times New Roman"/>
                <w:sz w:val="20"/>
                <w:szCs w:val="20"/>
                <w:color w:val="1E1E1E"/>
              </w:rPr>
              <w:t>Net loss per share attributable</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62"/>
        </w:trPr>
        <w:tc>
          <w:tcPr>
            <w:tcW w:w="63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1E1E1E"/>
              </w:rPr>
              <w:t>to controlling interest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(1.31)</w:t>
            </w:r>
          </w:p>
        </w:tc>
        <w:tc>
          <w:tcPr>
            <w:tcW w:w="440" w:type="dxa"/>
            <w:vAlign w:val="bottom"/>
            <w:gridSpan w:val="3"/>
          </w:tcPr>
          <w:p>
            <w:pPr>
              <w:jc w:val="right"/>
              <w:ind w:right="19"/>
              <w:spacing w:after="0"/>
              <w:rPr>
                <w:sz w:val="20"/>
                <w:szCs w:val="20"/>
                <w:color w:val="auto"/>
              </w:rPr>
            </w:pPr>
            <w:r>
              <w:rPr>
                <w:rFonts w:ascii="Times New Roman" w:cs="Times New Roman" w:eastAsia="Times New Roman" w:hAnsi="Times New Roman"/>
                <w:sz w:val="20"/>
                <w:szCs w:val="20"/>
                <w:color w:val="1E1E1E"/>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(0.30)</w:t>
            </w:r>
          </w:p>
        </w:tc>
      </w:tr>
      <w:tr>
        <w:trPr>
          <w:trHeight w:val="197"/>
        </w:trPr>
        <w:tc>
          <w:tcPr>
            <w:tcW w:w="6160" w:type="dxa"/>
            <w:vAlign w:val="bottom"/>
            <w:tcBorders>
              <w:top w:val="single" w:sz="8" w:color="E2E2E2"/>
            </w:tcBorders>
            <w:shd w:val="clear" w:color="auto" w:fill="E2E2E2"/>
          </w:tcPr>
          <w:p>
            <w:pPr>
              <w:spacing w:after="0" w:line="197" w:lineRule="exact"/>
              <w:rPr>
                <w:sz w:val="20"/>
                <w:szCs w:val="20"/>
                <w:color w:val="auto"/>
              </w:rPr>
            </w:pPr>
            <w:r>
              <w:rPr>
                <w:rFonts w:ascii="Times New Roman" w:cs="Times New Roman" w:eastAsia="Times New Roman" w:hAnsi="Times New Roman"/>
                <w:sz w:val="20"/>
                <w:szCs w:val="20"/>
                <w:b w:val="1"/>
                <w:bCs w:val="1"/>
                <w:color w:val="1E1E1E"/>
              </w:rPr>
              <w:t>Diluted earnings per share (Class A and Class B):</w:t>
            </w:r>
          </w:p>
        </w:tc>
        <w:tc>
          <w:tcPr>
            <w:tcW w:w="200" w:type="dxa"/>
            <w:vAlign w:val="bottom"/>
            <w:tcBorders>
              <w:top w:val="single" w:sz="8" w:color="E2E2E2"/>
            </w:tcBorders>
            <w:shd w:val="clear" w:color="auto" w:fill="E2E2E2"/>
          </w:tcPr>
          <w:p>
            <w:pPr>
              <w:spacing w:after="0"/>
              <w:rPr>
                <w:sz w:val="17"/>
                <w:szCs w:val="17"/>
                <w:color w:val="auto"/>
              </w:rPr>
            </w:pPr>
          </w:p>
        </w:tc>
        <w:tc>
          <w:tcPr>
            <w:tcW w:w="20" w:type="dxa"/>
            <w:vAlign w:val="bottom"/>
            <w:tcBorders>
              <w:top w:val="single" w:sz="8" w:color="E2E2E2"/>
            </w:tcBorders>
            <w:shd w:val="clear" w:color="auto" w:fill="E2E2E2"/>
          </w:tcPr>
          <w:p>
            <w:pPr>
              <w:spacing w:after="0"/>
              <w:rPr>
                <w:sz w:val="17"/>
                <w:szCs w:val="17"/>
                <w:color w:val="auto"/>
              </w:rPr>
            </w:pPr>
          </w:p>
        </w:tc>
        <w:tc>
          <w:tcPr>
            <w:tcW w:w="200" w:type="dxa"/>
            <w:vAlign w:val="bottom"/>
            <w:tcBorders>
              <w:top w:val="single" w:sz="8" w:color="1E1E1E"/>
            </w:tcBorders>
            <w:shd w:val="clear" w:color="auto" w:fill="E2E2E2"/>
          </w:tcPr>
          <w:p>
            <w:pPr>
              <w:spacing w:after="0"/>
              <w:rPr>
                <w:sz w:val="17"/>
                <w:szCs w:val="17"/>
                <w:color w:val="auto"/>
              </w:rPr>
            </w:pPr>
          </w:p>
        </w:tc>
        <w:tc>
          <w:tcPr>
            <w:tcW w:w="1620" w:type="dxa"/>
            <w:vAlign w:val="bottom"/>
            <w:tcBorders>
              <w:top w:val="single" w:sz="8" w:color="1E1E1E"/>
            </w:tcBorders>
            <w:shd w:val="clear" w:color="auto" w:fill="E2E2E2"/>
          </w:tcPr>
          <w:p>
            <w:pPr>
              <w:spacing w:after="0"/>
              <w:rPr>
                <w:sz w:val="17"/>
                <w:szCs w:val="17"/>
                <w:color w:val="auto"/>
              </w:rPr>
            </w:pPr>
          </w:p>
        </w:tc>
        <w:tc>
          <w:tcPr>
            <w:tcW w:w="200" w:type="dxa"/>
            <w:vAlign w:val="bottom"/>
            <w:tcBorders>
              <w:top w:val="single" w:sz="8" w:color="E2E2E2"/>
            </w:tcBorders>
            <w:shd w:val="clear" w:color="auto" w:fill="E2E2E2"/>
          </w:tcPr>
          <w:p>
            <w:pPr>
              <w:spacing w:after="0"/>
              <w:rPr>
                <w:sz w:val="17"/>
                <w:szCs w:val="17"/>
                <w:color w:val="auto"/>
              </w:rPr>
            </w:pPr>
          </w:p>
        </w:tc>
        <w:tc>
          <w:tcPr>
            <w:tcW w:w="20" w:type="dxa"/>
            <w:vAlign w:val="bottom"/>
            <w:tcBorders>
              <w:top w:val="single" w:sz="8" w:color="E2E2E2"/>
            </w:tcBorders>
            <w:shd w:val="clear" w:color="auto" w:fill="E2E2E2"/>
          </w:tcPr>
          <w:p>
            <w:pPr>
              <w:spacing w:after="0"/>
              <w:rPr>
                <w:sz w:val="17"/>
                <w:szCs w:val="17"/>
                <w:color w:val="auto"/>
              </w:rPr>
            </w:pPr>
          </w:p>
        </w:tc>
        <w:tc>
          <w:tcPr>
            <w:tcW w:w="220" w:type="dxa"/>
            <w:vAlign w:val="bottom"/>
            <w:tcBorders>
              <w:top w:val="single" w:sz="8" w:color="1E1E1E"/>
            </w:tcBorders>
            <w:shd w:val="clear" w:color="auto" w:fill="E2E2E2"/>
          </w:tcPr>
          <w:p>
            <w:pPr>
              <w:spacing w:after="0"/>
              <w:rPr>
                <w:sz w:val="17"/>
                <w:szCs w:val="17"/>
                <w:color w:val="auto"/>
              </w:rPr>
            </w:pPr>
          </w:p>
        </w:tc>
        <w:tc>
          <w:tcPr>
            <w:tcW w:w="1600" w:type="dxa"/>
            <w:vAlign w:val="bottom"/>
            <w:tcBorders>
              <w:top w:val="single" w:sz="8" w:color="1E1E1E"/>
            </w:tcBorders>
            <w:shd w:val="clear" w:color="auto" w:fill="E2E2E2"/>
          </w:tcPr>
          <w:p>
            <w:pPr>
              <w:spacing w:after="0"/>
              <w:rPr>
                <w:sz w:val="17"/>
                <w:szCs w:val="17"/>
                <w:color w:val="auto"/>
              </w:rPr>
            </w:pPr>
          </w:p>
        </w:tc>
      </w:tr>
      <w:tr>
        <w:trPr>
          <w:trHeight w:val="270"/>
        </w:trPr>
        <w:tc>
          <w:tcPr>
            <w:tcW w:w="638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Weighted average shares and</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3"/>
        </w:trPr>
        <w:tc>
          <w:tcPr>
            <w:tcW w:w="6380" w:type="dxa"/>
            <w:vAlign w:val="bottom"/>
            <w:tcBorders>
              <w:bottom w:val="single" w:sz="8" w:color="E2E2E2"/>
            </w:tcBorders>
            <w:gridSpan w:val="3"/>
          </w:tcPr>
          <w:p>
            <w:pPr>
              <w:ind w:left="240"/>
              <w:spacing w:after="0"/>
              <w:rPr>
                <w:sz w:val="20"/>
                <w:szCs w:val="20"/>
                <w:color w:val="auto"/>
              </w:rPr>
            </w:pPr>
            <w:r>
              <w:rPr>
                <w:rFonts w:ascii="Times New Roman" w:cs="Times New Roman" w:eastAsia="Times New Roman" w:hAnsi="Times New Roman"/>
                <w:sz w:val="20"/>
                <w:szCs w:val="20"/>
                <w:color w:val="1E1E1E"/>
              </w:rPr>
              <w:t>equivalents outstanding</w:t>
            </w:r>
          </w:p>
        </w:tc>
        <w:tc>
          <w:tcPr>
            <w:tcW w:w="200" w:type="dxa"/>
            <w:vAlign w:val="bottom"/>
            <w:tcBorders>
              <w:bottom w:val="single" w:sz="8" w:color="1E1E1E"/>
            </w:tcBorders>
          </w:tcPr>
          <w:p>
            <w:pPr>
              <w:spacing w:after="0"/>
              <w:rPr>
                <w:sz w:val="21"/>
                <w:szCs w:val="21"/>
                <w:color w:val="auto"/>
              </w:rPr>
            </w:pPr>
          </w:p>
        </w:tc>
        <w:tc>
          <w:tcPr>
            <w:tcW w:w="16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33,368</w:t>
            </w:r>
          </w:p>
        </w:tc>
        <w:tc>
          <w:tcPr>
            <w:tcW w:w="200" w:type="dxa"/>
            <w:vAlign w:val="bottom"/>
            <w:tcBorders>
              <w:bottom w:val="single" w:sz="8" w:color="E2E2E2"/>
            </w:tcBorders>
          </w:tcPr>
          <w:p>
            <w:pPr>
              <w:spacing w:after="0"/>
              <w:rPr>
                <w:sz w:val="21"/>
                <w:szCs w:val="21"/>
                <w:color w:val="auto"/>
              </w:rPr>
            </w:pPr>
          </w:p>
        </w:tc>
        <w:tc>
          <w:tcPr>
            <w:tcW w:w="20" w:type="dxa"/>
            <w:vAlign w:val="bottom"/>
            <w:tcBorders>
              <w:bottom w:val="single" w:sz="8" w:color="E2E2E2"/>
            </w:tcBorders>
          </w:tcPr>
          <w:p>
            <w:pPr>
              <w:spacing w:after="0"/>
              <w:rPr>
                <w:sz w:val="21"/>
                <w:szCs w:val="21"/>
                <w:color w:val="auto"/>
              </w:rPr>
            </w:pPr>
          </w:p>
        </w:tc>
        <w:tc>
          <w:tcPr>
            <w:tcW w:w="220" w:type="dxa"/>
            <w:vAlign w:val="bottom"/>
            <w:tcBorders>
              <w:bottom w:val="single" w:sz="8" w:color="1E1E1E"/>
            </w:tcBorders>
          </w:tcPr>
          <w:p>
            <w:pPr>
              <w:spacing w:after="0"/>
              <w:rPr>
                <w:sz w:val="21"/>
                <w:szCs w:val="21"/>
                <w:color w:val="auto"/>
              </w:rPr>
            </w:pPr>
          </w:p>
        </w:tc>
        <w:tc>
          <w:tcPr>
            <w:tcW w:w="16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32,955</w:t>
            </w:r>
          </w:p>
        </w:tc>
      </w:tr>
      <w:tr>
        <w:trPr>
          <w:trHeight w:val="250"/>
        </w:trPr>
        <w:tc>
          <w:tcPr>
            <w:tcW w:w="638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20"/>
                <w:szCs w:val="20"/>
                <w:color w:val="1E1E1E"/>
              </w:rPr>
              <w:t>Net loss per share attributable</w:t>
            </w:r>
          </w:p>
        </w:tc>
        <w:tc>
          <w:tcPr>
            <w:tcW w:w="200" w:type="dxa"/>
            <w:vAlign w:val="bottom"/>
            <w:shd w:val="clear" w:color="auto" w:fill="E2E2E2"/>
          </w:tcPr>
          <w:p>
            <w:pPr>
              <w:spacing w:after="0"/>
              <w:rPr>
                <w:sz w:val="21"/>
                <w:szCs w:val="21"/>
                <w:color w:val="auto"/>
              </w:rPr>
            </w:pPr>
          </w:p>
        </w:tc>
        <w:tc>
          <w:tcPr>
            <w:tcW w:w="1620" w:type="dxa"/>
            <w:vAlign w:val="bottom"/>
            <w:shd w:val="clear" w:color="auto" w:fill="E2E2E2"/>
          </w:tcPr>
          <w:p>
            <w:pPr>
              <w:spacing w:after="0"/>
              <w:rPr>
                <w:sz w:val="21"/>
                <w:szCs w:val="21"/>
                <w:color w:val="auto"/>
              </w:rPr>
            </w:pPr>
          </w:p>
        </w:tc>
        <w:tc>
          <w:tcPr>
            <w:tcW w:w="20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220" w:type="dxa"/>
            <w:vAlign w:val="bottom"/>
            <w:shd w:val="clear" w:color="auto" w:fill="E2E2E2"/>
          </w:tcPr>
          <w:p>
            <w:pPr>
              <w:spacing w:after="0"/>
              <w:rPr>
                <w:sz w:val="21"/>
                <w:szCs w:val="21"/>
                <w:color w:val="auto"/>
              </w:rPr>
            </w:pPr>
          </w:p>
        </w:tc>
        <w:tc>
          <w:tcPr>
            <w:tcW w:w="1600" w:type="dxa"/>
            <w:vAlign w:val="bottom"/>
            <w:shd w:val="clear" w:color="auto" w:fill="E2E2E2"/>
          </w:tcPr>
          <w:p>
            <w:pPr>
              <w:spacing w:after="0"/>
              <w:rPr>
                <w:sz w:val="21"/>
                <w:szCs w:val="21"/>
                <w:color w:val="auto"/>
              </w:rPr>
            </w:pPr>
          </w:p>
        </w:tc>
      </w:tr>
      <w:tr>
        <w:trPr>
          <w:trHeight w:val="266"/>
        </w:trPr>
        <w:tc>
          <w:tcPr>
            <w:tcW w:w="6160" w:type="dxa"/>
            <w:vAlign w:val="bottom"/>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to controlling interest</w:t>
            </w:r>
          </w:p>
        </w:tc>
        <w:tc>
          <w:tcPr>
            <w:tcW w:w="200" w:type="dxa"/>
            <w:vAlign w:val="bottom"/>
            <w:shd w:val="clear" w:color="auto" w:fill="E2E2E2"/>
          </w:tcPr>
          <w:p>
            <w:pPr>
              <w:spacing w:after="0"/>
              <w:rPr>
                <w:sz w:val="23"/>
                <w:szCs w:val="23"/>
                <w:color w:val="auto"/>
              </w:rPr>
            </w:pPr>
          </w:p>
        </w:tc>
        <w:tc>
          <w:tcPr>
            <w:tcW w:w="20" w:type="dxa"/>
            <w:vAlign w:val="bottom"/>
            <w:tcBorders>
              <w:bottom w:val="single" w:sz="8" w:color="1E1E1E"/>
            </w:tcBorders>
            <w:shd w:val="clear" w:color="auto" w:fill="E2E2E2"/>
          </w:tcPr>
          <w:p>
            <w:pPr>
              <w:spacing w:after="0"/>
              <w:rPr>
                <w:sz w:val="23"/>
                <w:szCs w:val="23"/>
                <w:color w:val="auto"/>
              </w:rPr>
            </w:pPr>
          </w:p>
        </w:tc>
        <w:tc>
          <w:tcPr>
            <w:tcW w:w="2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6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(1.31)</w:t>
            </w:r>
          </w:p>
        </w:tc>
        <w:tc>
          <w:tcPr>
            <w:tcW w:w="200" w:type="dxa"/>
            <w:vAlign w:val="bottom"/>
            <w:shd w:val="clear" w:color="auto" w:fill="E2E2E2"/>
          </w:tcPr>
          <w:p>
            <w:pPr>
              <w:spacing w:after="0"/>
              <w:rPr>
                <w:sz w:val="23"/>
                <w:szCs w:val="23"/>
                <w:color w:val="auto"/>
              </w:rPr>
            </w:pPr>
          </w:p>
        </w:tc>
        <w:tc>
          <w:tcPr>
            <w:tcW w:w="20" w:type="dxa"/>
            <w:vAlign w:val="bottom"/>
            <w:tcBorders>
              <w:bottom w:val="single" w:sz="8" w:color="1E1E1E"/>
            </w:tcBorders>
            <w:shd w:val="clear" w:color="auto" w:fill="E2E2E2"/>
          </w:tcPr>
          <w:p>
            <w:pPr>
              <w:spacing w:after="0"/>
              <w:rPr>
                <w:sz w:val="23"/>
                <w:szCs w:val="23"/>
                <w:color w:val="auto"/>
              </w:rPr>
            </w:pPr>
          </w:p>
        </w:tc>
        <w:tc>
          <w:tcPr>
            <w:tcW w:w="220" w:type="dxa"/>
            <w:vAlign w:val="bottom"/>
            <w:tcBorders>
              <w:bottom w:val="single" w:sz="8" w:color="1E1E1E"/>
            </w:tcBorders>
            <w:shd w:val="clear" w:color="auto" w:fill="E2E2E2"/>
          </w:tcPr>
          <w:p>
            <w:pPr>
              <w:jc w:val="right"/>
              <w:ind w:right="19"/>
              <w:spacing w:after="0"/>
              <w:rPr>
                <w:sz w:val="20"/>
                <w:szCs w:val="20"/>
                <w:color w:val="auto"/>
              </w:rPr>
            </w:pPr>
            <w:r>
              <w:rPr>
                <w:rFonts w:ascii="Times New Roman" w:cs="Times New Roman" w:eastAsia="Times New Roman" w:hAnsi="Times New Roman"/>
                <w:sz w:val="20"/>
                <w:szCs w:val="20"/>
                <w:color w:val="1E1E1E"/>
                <w:w w:val="79"/>
              </w:rPr>
              <w:t>$</w:t>
            </w:r>
          </w:p>
        </w:tc>
        <w:tc>
          <w:tcPr>
            <w:tcW w:w="16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(0.30)</w:t>
            </w: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The accompanying notes are an integral part of these consolidated financial statements.</w:t>
      </w:r>
    </w:p>
    <w:p>
      <w:pPr>
        <w:sectPr>
          <w:pgSz w:w="11880" w:h="15480" w:orient="portrait"/>
          <w:cols w:equalWidth="0" w:num="1">
            <w:col w:w="10240"/>
          </w:cols>
          <w:pgMar w:left="820" w:top="87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41</w:t>
      </w:r>
    </w:p>
    <w:p>
      <w:pPr>
        <w:sectPr>
          <w:pgSz w:w="11880" w:h="15480" w:orient="portrait"/>
          <w:cols w:equalWidth="0" w:num="1">
            <w:col w:w="10240"/>
          </w:cols>
          <w:pgMar w:left="820" w:top="874" w:right="820" w:bottom="0" w:gutter="0" w:footer="0" w:header="0"/>
          <w:type w:val="continuous"/>
        </w:sectPr>
      </w:pPr>
    </w:p>
    <w:bookmarkStart w:id="47" w:name="page48"/>
    <w:bookmarkEnd w:id="47"/>
    <w:p>
      <w:pPr>
        <w:jc w:val="center"/>
        <w:spacing w:after="0"/>
        <w:rPr>
          <w:sz w:val="20"/>
          <w:szCs w:val="20"/>
          <w:color w:val="auto"/>
        </w:rPr>
      </w:pPr>
      <w:r>
        <w:rPr>
          <w:rFonts w:ascii="Times New Roman" w:cs="Times New Roman" w:eastAsia="Times New Roman" w:hAnsi="Times New Roman"/>
          <w:sz w:val="20"/>
          <w:szCs w:val="20"/>
          <w:b w:val="1"/>
          <w:bCs w:val="1"/>
          <w:color w:val="1E1E1E"/>
        </w:rPr>
        <w:t>DULUTH HOLDINGS INC.</w:t>
      </w:r>
    </w:p>
    <w:p>
      <w:pPr>
        <w:jc w:val="center"/>
        <w:ind w:right="-79"/>
        <w:spacing w:after="0"/>
        <w:rPr>
          <w:sz w:val="20"/>
          <w:szCs w:val="20"/>
          <w:color w:val="auto"/>
        </w:rPr>
      </w:pPr>
      <w:r>
        <w:rPr>
          <w:rFonts w:ascii="Times New Roman" w:cs="Times New Roman" w:eastAsia="Times New Roman" w:hAnsi="Times New Roman"/>
          <w:sz w:val="20"/>
          <w:szCs w:val="20"/>
          <w:b w:val="1"/>
          <w:bCs w:val="1"/>
          <w:color w:val="1E1E1E"/>
        </w:rPr>
        <w:t>Consolidated Statements of Comprehensive Income</w:t>
      </w:r>
    </w:p>
    <w:p>
      <w:pPr>
        <w:jc w:val="center"/>
        <w:spacing w:after="0"/>
        <w:rPr>
          <w:sz w:val="20"/>
          <w:szCs w:val="20"/>
          <w:color w:val="auto"/>
        </w:rPr>
      </w:pPr>
      <w:r>
        <w:rPr>
          <w:rFonts w:ascii="Times New Roman" w:cs="Times New Roman" w:eastAsia="Times New Roman" w:hAnsi="Times New Roman"/>
          <w:sz w:val="20"/>
          <w:szCs w:val="20"/>
          <w:b w:val="1"/>
          <w:bCs w:val="1"/>
          <w:color w:val="1E1E1E"/>
        </w:rPr>
        <w:t>(Amounts 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3560" w:type="dxa"/>
            <w:vAlign w:val="bottom"/>
            <w:tcBorders>
              <w:bottom w:val="single" w:sz="8" w:color="1E1E1E"/>
            </w:tcBorders>
            <w:gridSpan w:val="4"/>
          </w:tcPr>
          <w:p>
            <w:pPr>
              <w:jc w:val="right"/>
              <w:ind w:right="1162"/>
              <w:spacing w:after="0"/>
              <w:rPr>
                <w:sz w:val="20"/>
                <w:szCs w:val="20"/>
                <w:color w:val="auto"/>
              </w:rPr>
            </w:pPr>
            <w:r>
              <w:rPr>
                <w:rFonts w:ascii="Times New Roman" w:cs="Times New Roman" w:eastAsia="Times New Roman" w:hAnsi="Times New Roman"/>
                <w:sz w:val="16"/>
                <w:szCs w:val="16"/>
                <w:b w:val="1"/>
                <w:bCs w:val="1"/>
                <w:color w:val="1E1E1E"/>
              </w:rPr>
              <w:t>Fiscal Year Ended</w:t>
            </w:r>
          </w:p>
        </w:tc>
      </w:tr>
      <w:tr>
        <w:trPr>
          <w:trHeight w:val="206"/>
        </w:trPr>
        <w:tc>
          <w:tcPr>
            <w:tcW w:w="6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1E1E1E"/>
              </w:rPr>
              <w:t>February 2, 2025</w:t>
            </w:r>
          </w:p>
        </w:tc>
        <w:tc>
          <w:tcPr>
            <w:tcW w:w="220" w:type="dxa"/>
            <w:vAlign w:val="bottom"/>
          </w:tcPr>
          <w:p>
            <w:pPr>
              <w:spacing w:after="0"/>
              <w:rPr>
                <w:sz w:val="17"/>
                <w:szCs w:val="17"/>
                <w:color w:val="auto"/>
              </w:rPr>
            </w:pPr>
          </w:p>
        </w:tc>
        <w:tc>
          <w:tcPr>
            <w:tcW w:w="156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1E1E1E"/>
              </w:rPr>
              <w:t>January 28, 2024</w:t>
            </w:r>
          </w:p>
        </w:tc>
      </w:tr>
      <w:tr>
        <w:trPr>
          <w:trHeight w:val="201"/>
        </w:trPr>
        <w:tc>
          <w:tcPr>
            <w:tcW w:w="6260" w:type="dxa"/>
            <w:vAlign w:val="bottom"/>
            <w:tcBorders>
              <w:top w:val="single" w:sz="8" w:color="E2E2E2"/>
            </w:tcBorders>
            <w:shd w:val="clear" w:color="auto" w:fill="E2E2E2"/>
          </w:tcPr>
          <w:p>
            <w:pPr>
              <w:spacing w:after="0" w:line="201" w:lineRule="exact"/>
              <w:rPr>
                <w:sz w:val="20"/>
                <w:szCs w:val="20"/>
                <w:color w:val="auto"/>
              </w:rPr>
            </w:pPr>
            <w:r>
              <w:rPr>
                <w:rFonts w:ascii="Times New Roman" w:cs="Times New Roman" w:eastAsia="Times New Roman" w:hAnsi="Times New Roman"/>
                <w:sz w:val="20"/>
                <w:szCs w:val="20"/>
                <w:color w:val="1E1E1E"/>
              </w:rPr>
              <w:t>Net loss</w:t>
            </w:r>
          </w:p>
        </w:tc>
        <w:tc>
          <w:tcPr>
            <w:tcW w:w="200" w:type="dxa"/>
            <w:vAlign w:val="bottom"/>
            <w:tcBorders>
              <w:top w:val="single" w:sz="8" w:color="E2E2E2"/>
            </w:tcBorders>
            <w:shd w:val="clear" w:color="auto" w:fill="E2E2E2"/>
          </w:tcPr>
          <w:p>
            <w:pPr>
              <w:spacing w:after="0"/>
              <w:rPr>
                <w:sz w:val="17"/>
                <w:szCs w:val="17"/>
                <w:color w:val="auto"/>
              </w:rPr>
            </w:pPr>
          </w:p>
        </w:tc>
        <w:tc>
          <w:tcPr>
            <w:tcW w:w="20" w:type="dxa"/>
            <w:vAlign w:val="bottom"/>
            <w:tcBorders>
              <w:top w:val="single" w:sz="8" w:color="E2E2E2"/>
            </w:tcBorders>
            <w:shd w:val="clear" w:color="auto" w:fill="E2E2E2"/>
          </w:tcPr>
          <w:p>
            <w:pPr>
              <w:spacing w:after="0"/>
              <w:rPr>
                <w:sz w:val="17"/>
                <w:szCs w:val="17"/>
                <w:color w:val="auto"/>
              </w:rPr>
            </w:pPr>
          </w:p>
        </w:tc>
        <w:tc>
          <w:tcPr>
            <w:tcW w:w="200" w:type="dxa"/>
            <w:vAlign w:val="bottom"/>
            <w:tcBorders>
              <w:top w:val="single" w:sz="8" w:color="1E1E1E"/>
            </w:tcBorders>
            <w:shd w:val="clear" w:color="auto" w:fill="E2E2E2"/>
          </w:tcPr>
          <w:p>
            <w:pPr>
              <w:jc w:val="right"/>
              <w:ind w:right="34"/>
              <w:spacing w:after="0"/>
              <w:rPr>
                <w:sz w:val="20"/>
                <w:szCs w:val="20"/>
                <w:color w:val="auto"/>
              </w:rPr>
            </w:pPr>
            <w:r>
              <w:rPr>
                <w:rFonts w:ascii="Times New Roman" w:cs="Times New Roman" w:eastAsia="Times New Roman" w:hAnsi="Times New Roman"/>
                <w:sz w:val="17"/>
                <w:szCs w:val="17"/>
                <w:color w:val="1E1E1E"/>
                <w:w w:val="70"/>
              </w:rPr>
              <w:t>$</w:t>
            </w:r>
          </w:p>
        </w:tc>
        <w:tc>
          <w:tcPr>
            <w:tcW w:w="1580" w:type="dxa"/>
            <w:vAlign w:val="bottom"/>
            <w:tcBorders>
              <w:top w:val="single" w:sz="8" w:color="1E1E1E"/>
            </w:tcBorders>
            <w:shd w:val="clear" w:color="auto" w:fill="E2E2E2"/>
          </w:tcPr>
          <w:p>
            <w:pPr>
              <w:jc w:val="right"/>
              <w:spacing w:after="0" w:line="201" w:lineRule="exact"/>
              <w:rPr>
                <w:sz w:val="20"/>
                <w:szCs w:val="20"/>
                <w:color w:val="auto"/>
              </w:rPr>
            </w:pPr>
            <w:r>
              <w:rPr>
                <w:rFonts w:ascii="Times New Roman" w:cs="Times New Roman" w:eastAsia="Times New Roman" w:hAnsi="Times New Roman"/>
                <w:sz w:val="20"/>
                <w:szCs w:val="20"/>
                <w:color w:val="1E1E1E"/>
              </w:rPr>
              <w:t>(43,612)</w:t>
            </w:r>
          </w:p>
        </w:tc>
        <w:tc>
          <w:tcPr>
            <w:tcW w:w="200" w:type="dxa"/>
            <w:vAlign w:val="bottom"/>
            <w:tcBorders>
              <w:top w:val="single" w:sz="8" w:color="E2E2E2"/>
            </w:tcBorders>
            <w:shd w:val="clear" w:color="auto" w:fill="E2E2E2"/>
          </w:tcPr>
          <w:p>
            <w:pPr>
              <w:spacing w:after="0"/>
              <w:rPr>
                <w:sz w:val="17"/>
                <w:szCs w:val="17"/>
                <w:color w:val="auto"/>
              </w:rPr>
            </w:pPr>
          </w:p>
        </w:tc>
        <w:tc>
          <w:tcPr>
            <w:tcW w:w="220" w:type="dxa"/>
            <w:vAlign w:val="bottom"/>
            <w:tcBorders>
              <w:top w:val="single" w:sz="8" w:color="1E1E1E"/>
            </w:tcBorders>
            <w:shd w:val="clear" w:color="auto" w:fill="E2E2E2"/>
          </w:tcPr>
          <w:p>
            <w:pPr>
              <w:jc w:val="right"/>
              <w:ind w:right="19"/>
              <w:spacing w:after="0" w:line="201" w:lineRule="exact"/>
              <w:rPr>
                <w:sz w:val="20"/>
                <w:szCs w:val="20"/>
                <w:color w:val="auto"/>
              </w:rPr>
            </w:pPr>
            <w:r>
              <w:rPr>
                <w:rFonts w:ascii="Times New Roman" w:cs="Times New Roman" w:eastAsia="Times New Roman" w:hAnsi="Times New Roman"/>
                <w:sz w:val="20"/>
                <w:szCs w:val="20"/>
                <w:color w:val="1E1E1E"/>
                <w:w w:val="79"/>
              </w:rPr>
              <w:t>$</w:t>
            </w:r>
          </w:p>
        </w:tc>
        <w:tc>
          <w:tcPr>
            <w:tcW w:w="1560" w:type="dxa"/>
            <w:vAlign w:val="bottom"/>
            <w:tcBorders>
              <w:top w:val="single" w:sz="8" w:color="1E1E1E"/>
            </w:tcBorders>
            <w:shd w:val="clear" w:color="auto" w:fill="E2E2E2"/>
          </w:tcPr>
          <w:p>
            <w:pPr>
              <w:jc w:val="right"/>
              <w:spacing w:after="0" w:line="201" w:lineRule="exact"/>
              <w:rPr>
                <w:sz w:val="20"/>
                <w:szCs w:val="20"/>
                <w:color w:val="auto"/>
              </w:rPr>
            </w:pPr>
            <w:r>
              <w:rPr>
                <w:rFonts w:ascii="Times New Roman" w:cs="Times New Roman" w:eastAsia="Times New Roman" w:hAnsi="Times New Roman"/>
                <w:sz w:val="20"/>
                <w:szCs w:val="20"/>
                <w:color w:val="1E1E1E"/>
              </w:rPr>
              <w:t>(9,940)</w:t>
            </w:r>
          </w:p>
        </w:tc>
      </w:tr>
      <w:tr>
        <w:trPr>
          <w:trHeight w:val="226"/>
        </w:trPr>
        <w:tc>
          <w:tcPr>
            <w:tcW w:w="62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Other comprehensive loss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6"/>
        </w:trPr>
        <w:tc>
          <w:tcPr>
            <w:tcW w:w="6480" w:type="dxa"/>
            <w:vAlign w:val="bottom"/>
            <w:gridSpan w:val="3"/>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Securities available-for-sale:</w:t>
            </w:r>
          </w:p>
        </w:tc>
        <w:tc>
          <w:tcPr>
            <w:tcW w:w="200" w:type="dxa"/>
            <w:vAlign w:val="bottom"/>
            <w:shd w:val="clear" w:color="auto" w:fill="E2E2E2"/>
          </w:tcPr>
          <w:p>
            <w:pPr>
              <w:spacing w:after="0"/>
              <w:rPr>
                <w:sz w:val="19"/>
                <w:szCs w:val="19"/>
                <w:color w:val="auto"/>
              </w:rPr>
            </w:pPr>
          </w:p>
        </w:tc>
        <w:tc>
          <w:tcPr>
            <w:tcW w:w="158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220" w:type="dxa"/>
            <w:vAlign w:val="bottom"/>
            <w:shd w:val="clear" w:color="auto" w:fill="E2E2E2"/>
          </w:tcPr>
          <w:p>
            <w:pPr>
              <w:spacing w:after="0"/>
              <w:rPr>
                <w:sz w:val="19"/>
                <w:szCs w:val="19"/>
                <w:color w:val="auto"/>
              </w:rPr>
            </w:pPr>
          </w:p>
        </w:tc>
        <w:tc>
          <w:tcPr>
            <w:tcW w:w="1560" w:type="dxa"/>
            <w:vAlign w:val="bottom"/>
            <w:shd w:val="clear" w:color="auto" w:fill="E2E2E2"/>
          </w:tcPr>
          <w:p>
            <w:pPr>
              <w:spacing w:after="0"/>
              <w:rPr>
                <w:sz w:val="19"/>
                <w:szCs w:val="19"/>
                <w:color w:val="auto"/>
              </w:rPr>
            </w:pPr>
          </w:p>
        </w:tc>
      </w:tr>
      <w:tr>
        <w:trPr>
          <w:trHeight w:val="226"/>
        </w:trPr>
        <w:tc>
          <w:tcPr>
            <w:tcW w:w="6480" w:type="dxa"/>
            <w:vAlign w:val="bottom"/>
            <w:gridSpan w:val="3"/>
          </w:tcPr>
          <w:p>
            <w:pPr>
              <w:ind w:left="120"/>
              <w:spacing w:after="0" w:line="226" w:lineRule="exact"/>
              <w:rPr>
                <w:sz w:val="20"/>
                <w:szCs w:val="20"/>
                <w:color w:val="auto"/>
              </w:rPr>
            </w:pPr>
            <w:r>
              <w:rPr>
                <w:rFonts w:ascii="Times New Roman" w:cs="Times New Roman" w:eastAsia="Times New Roman" w:hAnsi="Times New Roman"/>
                <w:sz w:val="20"/>
                <w:szCs w:val="20"/>
                <w:color w:val="1E1E1E"/>
              </w:rPr>
              <w:t>Unrealized security loss</w:t>
            </w:r>
          </w:p>
        </w:tc>
        <w:tc>
          <w:tcPr>
            <w:tcW w:w="200" w:type="dxa"/>
            <w:vAlign w:val="bottom"/>
          </w:tcPr>
          <w:p>
            <w:pPr>
              <w:spacing w:after="0"/>
              <w:rPr>
                <w:sz w:val="19"/>
                <w:szCs w:val="19"/>
                <w:color w:val="auto"/>
              </w:rPr>
            </w:pPr>
          </w:p>
        </w:tc>
        <w:tc>
          <w:tcPr>
            <w:tcW w:w="15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(296)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(372)</w:t>
            </w:r>
          </w:p>
        </w:tc>
      </w:tr>
      <w:tr>
        <w:trPr>
          <w:trHeight w:val="226"/>
        </w:trPr>
        <w:tc>
          <w:tcPr>
            <w:tcW w:w="6260" w:type="dxa"/>
            <w:vAlign w:val="bottom"/>
            <w:shd w:val="clear" w:color="auto" w:fill="E2E2E2"/>
          </w:tcPr>
          <w:p>
            <w:pPr>
              <w:ind w:left="120"/>
              <w:spacing w:after="0" w:line="226" w:lineRule="exact"/>
              <w:rPr>
                <w:sz w:val="20"/>
                <w:szCs w:val="20"/>
                <w:color w:val="auto"/>
              </w:rPr>
            </w:pPr>
            <w:r>
              <w:rPr>
                <w:rFonts w:ascii="Times New Roman" w:cs="Times New Roman" w:eastAsia="Times New Roman" w:hAnsi="Times New Roman"/>
                <w:sz w:val="20"/>
                <w:szCs w:val="20"/>
                <w:color w:val="1E1E1E"/>
              </w:rPr>
              <w:t>Income tax benefit</w:t>
            </w:r>
          </w:p>
        </w:tc>
        <w:tc>
          <w:tcPr>
            <w:tcW w:w="20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00" w:type="dxa"/>
            <w:vAlign w:val="bottom"/>
            <w:tcBorders>
              <w:bottom w:val="single" w:sz="8" w:color="1E1E1E"/>
            </w:tcBorders>
            <w:shd w:val="clear" w:color="auto" w:fill="E2E2E2"/>
          </w:tcPr>
          <w:p>
            <w:pPr>
              <w:spacing w:after="0"/>
              <w:rPr>
                <w:sz w:val="19"/>
                <w:szCs w:val="19"/>
                <w:color w:val="auto"/>
              </w:rPr>
            </w:pPr>
          </w:p>
        </w:tc>
        <w:tc>
          <w:tcPr>
            <w:tcW w:w="1580" w:type="dxa"/>
            <w:vAlign w:val="bottom"/>
            <w:tcBorders>
              <w:bottom w:val="single" w:sz="8" w:color="1E1E1E"/>
            </w:tcBorders>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w:t>
            </w:r>
          </w:p>
        </w:tc>
        <w:tc>
          <w:tcPr>
            <w:tcW w:w="200" w:type="dxa"/>
            <w:vAlign w:val="bottom"/>
            <w:shd w:val="clear" w:color="auto" w:fill="E2E2E2"/>
          </w:tcPr>
          <w:p>
            <w:pPr>
              <w:spacing w:after="0"/>
              <w:rPr>
                <w:sz w:val="19"/>
                <w:szCs w:val="19"/>
                <w:color w:val="auto"/>
              </w:rPr>
            </w:pPr>
          </w:p>
        </w:tc>
        <w:tc>
          <w:tcPr>
            <w:tcW w:w="220" w:type="dxa"/>
            <w:vAlign w:val="bottom"/>
            <w:tcBorders>
              <w:bottom w:val="single" w:sz="8" w:color="1E1E1E"/>
            </w:tcBorders>
            <w:shd w:val="clear" w:color="auto" w:fill="E2E2E2"/>
          </w:tcPr>
          <w:p>
            <w:pPr>
              <w:spacing w:after="0"/>
              <w:rPr>
                <w:sz w:val="19"/>
                <w:szCs w:val="19"/>
                <w:color w:val="auto"/>
              </w:rPr>
            </w:pPr>
          </w:p>
        </w:tc>
        <w:tc>
          <w:tcPr>
            <w:tcW w:w="1560" w:type="dxa"/>
            <w:vAlign w:val="bottom"/>
            <w:tcBorders>
              <w:bottom w:val="single" w:sz="8" w:color="1E1E1E"/>
            </w:tcBorders>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(93)</w:t>
            </w:r>
          </w:p>
        </w:tc>
      </w:tr>
      <w:tr>
        <w:trPr>
          <w:trHeight w:val="206"/>
        </w:trPr>
        <w:tc>
          <w:tcPr>
            <w:tcW w:w="6260" w:type="dxa"/>
            <w:vAlign w:val="bottom"/>
            <w:tcBorders>
              <w:bottom w:val="single" w:sz="8" w:color="E2E2E2"/>
            </w:tcBorders>
          </w:tcPr>
          <w:p>
            <w:pPr>
              <w:spacing w:after="0" w:line="206" w:lineRule="exact"/>
              <w:rPr>
                <w:sz w:val="20"/>
                <w:szCs w:val="20"/>
                <w:color w:val="auto"/>
              </w:rPr>
            </w:pPr>
            <w:r>
              <w:rPr>
                <w:rFonts w:ascii="Times New Roman" w:cs="Times New Roman" w:eastAsia="Times New Roman" w:hAnsi="Times New Roman"/>
                <w:sz w:val="20"/>
                <w:szCs w:val="20"/>
                <w:color w:val="1E1E1E"/>
              </w:rPr>
              <w:t>Other comprehensive loss</w:t>
            </w:r>
          </w:p>
        </w:tc>
        <w:tc>
          <w:tcPr>
            <w:tcW w:w="20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1580" w:type="dxa"/>
            <w:vAlign w:val="bottom"/>
            <w:tcBorders>
              <w:bottom w:val="single" w:sz="8" w:color="1E1E1E"/>
            </w:tcBorders>
          </w:tcPr>
          <w:p>
            <w:pPr>
              <w:jc w:val="right"/>
              <w:spacing w:after="0" w:line="206" w:lineRule="exact"/>
              <w:rPr>
                <w:sz w:val="20"/>
                <w:szCs w:val="20"/>
                <w:color w:val="auto"/>
              </w:rPr>
            </w:pPr>
            <w:r>
              <w:rPr>
                <w:rFonts w:ascii="Times New Roman" w:cs="Times New Roman" w:eastAsia="Times New Roman" w:hAnsi="Times New Roman"/>
                <w:sz w:val="20"/>
                <w:szCs w:val="20"/>
                <w:color w:val="1E1E1E"/>
              </w:rPr>
              <w:t>(295)</w:t>
            </w:r>
          </w:p>
        </w:tc>
        <w:tc>
          <w:tcPr>
            <w:tcW w:w="200" w:type="dxa"/>
            <w:vAlign w:val="bottom"/>
            <w:tcBorders>
              <w:bottom w:val="single" w:sz="8" w:color="E2E2E2"/>
            </w:tcBorders>
          </w:tcPr>
          <w:p>
            <w:pPr>
              <w:spacing w:after="0"/>
              <w:rPr>
                <w:sz w:val="17"/>
                <w:szCs w:val="17"/>
                <w:color w:val="auto"/>
              </w:rPr>
            </w:pPr>
          </w:p>
        </w:tc>
        <w:tc>
          <w:tcPr>
            <w:tcW w:w="220" w:type="dxa"/>
            <w:vAlign w:val="bottom"/>
            <w:tcBorders>
              <w:bottom w:val="single" w:sz="8" w:color="1E1E1E"/>
            </w:tcBorders>
          </w:tcPr>
          <w:p>
            <w:pPr>
              <w:spacing w:after="0"/>
              <w:rPr>
                <w:sz w:val="17"/>
                <w:szCs w:val="17"/>
                <w:color w:val="auto"/>
              </w:rPr>
            </w:pPr>
          </w:p>
        </w:tc>
        <w:tc>
          <w:tcPr>
            <w:tcW w:w="1560" w:type="dxa"/>
            <w:vAlign w:val="bottom"/>
            <w:tcBorders>
              <w:bottom w:val="single" w:sz="8" w:color="1E1E1E"/>
            </w:tcBorders>
          </w:tcPr>
          <w:p>
            <w:pPr>
              <w:jc w:val="right"/>
              <w:spacing w:after="0" w:line="206" w:lineRule="exact"/>
              <w:rPr>
                <w:sz w:val="20"/>
                <w:szCs w:val="20"/>
                <w:color w:val="auto"/>
              </w:rPr>
            </w:pPr>
            <w:r>
              <w:rPr>
                <w:rFonts w:ascii="Times New Roman" w:cs="Times New Roman" w:eastAsia="Times New Roman" w:hAnsi="Times New Roman"/>
                <w:sz w:val="20"/>
                <w:szCs w:val="20"/>
                <w:color w:val="1E1E1E"/>
              </w:rPr>
              <w:t>(279)</w:t>
            </w:r>
          </w:p>
        </w:tc>
      </w:tr>
      <w:tr>
        <w:trPr>
          <w:trHeight w:val="206"/>
        </w:trPr>
        <w:tc>
          <w:tcPr>
            <w:tcW w:w="6480" w:type="dxa"/>
            <w:vAlign w:val="bottom"/>
            <w:gridSpan w:val="3"/>
            <w:shd w:val="clear" w:color="auto" w:fill="E2E2E2"/>
          </w:tcPr>
          <w:p>
            <w:pPr>
              <w:spacing w:after="0" w:line="206" w:lineRule="exact"/>
              <w:rPr>
                <w:sz w:val="20"/>
                <w:szCs w:val="20"/>
                <w:color w:val="auto"/>
              </w:rPr>
            </w:pPr>
            <w:r>
              <w:rPr>
                <w:rFonts w:ascii="Times New Roman" w:cs="Times New Roman" w:eastAsia="Times New Roman" w:hAnsi="Times New Roman"/>
                <w:sz w:val="20"/>
                <w:szCs w:val="20"/>
                <w:color w:val="1E1E1E"/>
              </w:rPr>
              <w:t>Comprehensive loss</w:t>
            </w:r>
          </w:p>
        </w:tc>
        <w:tc>
          <w:tcPr>
            <w:tcW w:w="200" w:type="dxa"/>
            <w:vAlign w:val="bottom"/>
            <w:shd w:val="clear" w:color="auto" w:fill="E2E2E2"/>
          </w:tcPr>
          <w:p>
            <w:pPr>
              <w:spacing w:after="0"/>
              <w:rPr>
                <w:sz w:val="17"/>
                <w:szCs w:val="17"/>
                <w:color w:val="auto"/>
              </w:rPr>
            </w:pPr>
          </w:p>
        </w:tc>
        <w:tc>
          <w:tcPr>
            <w:tcW w:w="158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(43,907)</w:t>
            </w:r>
          </w:p>
        </w:tc>
        <w:tc>
          <w:tcPr>
            <w:tcW w:w="200" w:type="dxa"/>
            <w:vAlign w:val="bottom"/>
            <w:shd w:val="clear" w:color="auto" w:fill="E2E2E2"/>
          </w:tcPr>
          <w:p>
            <w:pPr>
              <w:spacing w:after="0"/>
              <w:rPr>
                <w:sz w:val="17"/>
                <w:szCs w:val="17"/>
                <w:color w:val="auto"/>
              </w:rPr>
            </w:pPr>
          </w:p>
        </w:tc>
        <w:tc>
          <w:tcPr>
            <w:tcW w:w="220" w:type="dxa"/>
            <w:vAlign w:val="bottom"/>
            <w:shd w:val="clear" w:color="auto" w:fill="E2E2E2"/>
          </w:tcPr>
          <w:p>
            <w:pPr>
              <w:spacing w:after="0"/>
              <w:rPr>
                <w:sz w:val="17"/>
                <w:szCs w:val="17"/>
                <w:color w:val="auto"/>
              </w:rPr>
            </w:pPr>
          </w:p>
        </w:tc>
        <w:tc>
          <w:tcPr>
            <w:tcW w:w="156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(10,219)</w:t>
            </w:r>
          </w:p>
        </w:tc>
      </w:tr>
      <w:tr>
        <w:trPr>
          <w:trHeight w:val="227"/>
        </w:trPr>
        <w:tc>
          <w:tcPr>
            <w:tcW w:w="648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1E1E1E"/>
              </w:rPr>
              <w:t>Comprehensive income (loss) attributable</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53"/>
        </w:trPr>
        <w:tc>
          <w:tcPr>
            <w:tcW w:w="6480" w:type="dxa"/>
            <w:vAlign w:val="bottom"/>
            <w:tcBorders>
              <w:bottom w:val="single" w:sz="8" w:color="E2E2E2"/>
            </w:tcBorders>
            <w:gridSpan w:val="3"/>
          </w:tcPr>
          <w:p>
            <w:pPr>
              <w:ind w:left="320"/>
              <w:spacing w:after="0"/>
              <w:rPr>
                <w:sz w:val="20"/>
                <w:szCs w:val="20"/>
                <w:color w:val="auto"/>
              </w:rPr>
            </w:pPr>
            <w:r>
              <w:rPr>
                <w:rFonts w:ascii="Times New Roman" w:cs="Times New Roman" w:eastAsia="Times New Roman" w:hAnsi="Times New Roman"/>
                <w:sz w:val="20"/>
                <w:szCs w:val="20"/>
                <w:color w:val="1E1E1E"/>
              </w:rPr>
              <w:t>to noncontrolling interest</w:t>
            </w:r>
          </w:p>
        </w:tc>
        <w:tc>
          <w:tcPr>
            <w:tcW w:w="200" w:type="dxa"/>
            <w:vAlign w:val="bottom"/>
            <w:tcBorders>
              <w:bottom w:val="single" w:sz="8" w:color="1E1E1E"/>
            </w:tcBorders>
          </w:tcPr>
          <w:p>
            <w:pPr>
              <w:spacing w:after="0"/>
              <w:rPr>
                <w:sz w:val="21"/>
                <w:szCs w:val="21"/>
                <w:color w:val="auto"/>
              </w:rPr>
            </w:pPr>
          </w:p>
        </w:tc>
        <w:tc>
          <w:tcPr>
            <w:tcW w:w="15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59</w:t>
            </w:r>
          </w:p>
        </w:tc>
        <w:tc>
          <w:tcPr>
            <w:tcW w:w="200" w:type="dxa"/>
            <w:vAlign w:val="bottom"/>
            <w:tcBorders>
              <w:bottom w:val="single" w:sz="8" w:color="E2E2E2"/>
            </w:tcBorders>
          </w:tcPr>
          <w:p>
            <w:pPr>
              <w:spacing w:after="0"/>
              <w:rPr>
                <w:sz w:val="21"/>
                <w:szCs w:val="21"/>
                <w:color w:val="auto"/>
              </w:rPr>
            </w:pPr>
          </w:p>
        </w:tc>
        <w:tc>
          <w:tcPr>
            <w:tcW w:w="220" w:type="dxa"/>
            <w:vAlign w:val="bottom"/>
            <w:tcBorders>
              <w:bottom w:val="single" w:sz="8" w:color="1E1E1E"/>
            </w:tcBorders>
          </w:tcPr>
          <w:p>
            <w:pPr>
              <w:spacing w:after="0"/>
              <w:rPr>
                <w:sz w:val="21"/>
                <w:szCs w:val="21"/>
                <w:color w:val="auto"/>
              </w:rPr>
            </w:pPr>
          </w:p>
        </w:tc>
        <w:tc>
          <w:tcPr>
            <w:tcW w:w="15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(17)</w:t>
            </w:r>
          </w:p>
        </w:tc>
      </w:tr>
      <w:tr>
        <w:trPr>
          <w:trHeight w:val="207"/>
        </w:trPr>
        <w:tc>
          <w:tcPr>
            <w:tcW w:w="6480" w:type="dxa"/>
            <w:vAlign w:val="bottom"/>
            <w:gridSpan w:val="3"/>
            <w:shd w:val="clear" w:color="auto" w:fill="E2E2E2"/>
          </w:tcPr>
          <w:p>
            <w:pPr>
              <w:spacing w:after="0" w:line="207" w:lineRule="exact"/>
              <w:rPr>
                <w:sz w:val="20"/>
                <w:szCs w:val="20"/>
                <w:color w:val="auto"/>
              </w:rPr>
            </w:pPr>
            <w:r>
              <w:rPr>
                <w:rFonts w:ascii="Times New Roman" w:cs="Times New Roman" w:eastAsia="Times New Roman" w:hAnsi="Times New Roman"/>
                <w:sz w:val="20"/>
                <w:szCs w:val="20"/>
                <w:color w:val="1E1E1E"/>
              </w:rPr>
              <w:t>Comprehensive loss attributable</w:t>
            </w:r>
          </w:p>
        </w:tc>
        <w:tc>
          <w:tcPr>
            <w:tcW w:w="200" w:type="dxa"/>
            <w:vAlign w:val="bottom"/>
            <w:shd w:val="clear" w:color="auto" w:fill="E2E2E2"/>
          </w:tcPr>
          <w:p>
            <w:pPr>
              <w:spacing w:after="0"/>
              <w:rPr>
                <w:sz w:val="18"/>
                <w:szCs w:val="18"/>
                <w:color w:val="auto"/>
              </w:rPr>
            </w:pPr>
          </w:p>
        </w:tc>
        <w:tc>
          <w:tcPr>
            <w:tcW w:w="1580" w:type="dxa"/>
            <w:vAlign w:val="bottom"/>
            <w:shd w:val="clear" w:color="auto" w:fill="E2E2E2"/>
          </w:tcPr>
          <w:p>
            <w:pPr>
              <w:spacing w:after="0"/>
              <w:rPr>
                <w:sz w:val="18"/>
                <w:szCs w:val="18"/>
                <w:color w:val="auto"/>
              </w:rPr>
            </w:pPr>
          </w:p>
        </w:tc>
        <w:tc>
          <w:tcPr>
            <w:tcW w:w="200" w:type="dxa"/>
            <w:vAlign w:val="bottom"/>
            <w:shd w:val="clear" w:color="auto" w:fill="E2E2E2"/>
          </w:tcPr>
          <w:p>
            <w:pPr>
              <w:spacing w:after="0"/>
              <w:rPr>
                <w:sz w:val="18"/>
                <w:szCs w:val="18"/>
                <w:color w:val="auto"/>
              </w:rPr>
            </w:pPr>
          </w:p>
        </w:tc>
        <w:tc>
          <w:tcPr>
            <w:tcW w:w="220" w:type="dxa"/>
            <w:vAlign w:val="bottom"/>
            <w:shd w:val="clear" w:color="auto" w:fill="E2E2E2"/>
          </w:tcPr>
          <w:p>
            <w:pPr>
              <w:spacing w:after="0"/>
              <w:rPr>
                <w:sz w:val="18"/>
                <w:szCs w:val="18"/>
                <w:color w:val="auto"/>
              </w:rPr>
            </w:pPr>
          </w:p>
        </w:tc>
        <w:tc>
          <w:tcPr>
            <w:tcW w:w="1560" w:type="dxa"/>
            <w:vAlign w:val="bottom"/>
            <w:shd w:val="clear" w:color="auto" w:fill="E2E2E2"/>
          </w:tcPr>
          <w:p>
            <w:pPr>
              <w:spacing w:after="0"/>
              <w:rPr>
                <w:sz w:val="18"/>
                <w:szCs w:val="18"/>
                <w:color w:val="auto"/>
              </w:rPr>
            </w:pPr>
          </w:p>
        </w:tc>
      </w:tr>
      <w:tr>
        <w:trPr>
          <w:trHeight w:val="262"/>
        </w:trPr>
        <w:tc>
          <w:tcPr>
            <w:tcW w:w="6260" w:type="dxa"/>
            <w:vAlign w:val="bottom"/>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to controlling interest</w:t>
            </w:r>
          </w:p>
        </w:tc>
        <w:tc>
          <w:tcPr>
            <w:tcW w:w="200" w:type="dxa"/>
            <w:vAlign w:val="bottom"/>
            <w:shd w:val="clear" w:color="auto" w:fill="E2E2E2"/>
          </w:tcPr>
          <w:p>
            <w:pPr>
              <w:spacing w:after="0"/>
              <w:rPr>
                <w:sz w:val="22"/>
                <w:szCs w:val="22"/>
                <w:color w:val="auto"/>
              </w:rPr>
            </w:pPr>
          </w:p>
        </w:tc>
        <w:tc>
          <w:tcPr>
            <w:tcW w:w="20" w:type="dxa"/>
            <w:vAlign w:val="bottom"/>
            <w:tcBorders>
              <w:bottom w:val="single" w:sz="8" w:color="1E1E1E"/>
            </w:tcBorders>
            <w:shd w:val="clear" w:color="auto" w:fill="E2E2E2"/>
          </w:tcPr>
          <w:p>
            <w:pPr>
              <w:spacing w:after="0"/>
              <w:rPr>
                <w:sz w:val="22"/>
                <w:szCs w:val="22"/>
                <w:color w:val="auto"/>
              </w:rPr>
            </w:pPr>
          </w:p>
        </w:tc>
        <w:tc>
          <w:tcPr>
            <w:tcW w:w="200" w:type="dxa"/>
            <w:vAlign w:val="bottom"/>
            <w:tcBorders>
              <w:bottom w:val="single" w:sz="8" w:color="1E1E1E"/>
            </w:tcBorders>
            <w:shd w:val="clear" w:color="auto" w:fill="E2E2E2"/>
          </w:tcPr>
          <w:p>
            <w:pPr>
              <w:jc w:val="right"/>
              <w:ind w:right="34"/>
              <w:spacing w:after="0"/>
              <w:rPr>
                <w:sz w:val="20"/>
                <w:szCs w:val="20"/>
                <w:color w:val="auto"/>
              </w:rPr>
            </w:pPr>
            <w:r>
              <w:rPr>
                <w:rFonts w:ascii="Times New Roman" w:cs="Times New Roman" w:eastAsia="Times New Roman" w:hAnsi="Times New Roman"/>
                <w:sz w:val="17"/>
                <w:szCs w:val="17"/>
                <w:color w:val="1E1E1E"/>
                <w:w w:val="70"/>
              </w:rPr>
              <w:t>$</w:t>
            </w:r>
          </w:p>
        </w:tc>
        <w:tc>
          <w:tcPr>
            <w:tcW w:w="15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(43,966)</w:t>
            </w:r>
          </w:p>
        </w:tc>
        <w:tc>
          <w:tcPr>
            <w:tcW w:w="200" w:type="dxa"/>
            <w:vAlign w:val="bottom"/>
            <w:shd w:val="clear" w:color="auto" w:fill="E2E2E2"/>
          </w:tcPr>
          <w:p>
            <w:pPr>
              <w:spacing w:after="0"/>
              <w:rPr>
                <w:sz w:val="22"/>
                <w:szCs w:val="22"/>
                <w:color w:val="auto"/>
              </w:rPr>
            </w:pPr>
          </w:p>
        </w:tc>
        <w:tc>
          <w:tcPr>
            <w:tcW w:w="220" w:type="dxa"/>
            <w:vAlign w:val="bottom"/>
            <w:tcBorders>
              <w:bottom w:val="single" w:sz="8" w:color="1E1E1E"/>
            </w:tcBorders>
            <w:shd w:val="clear" w:color="auto" w:fill="E2E2E2"/>
          </w:tcPr>
          <w:p>
            <w:pPr>
              <w:jc w:val="right"/>
              <w:ind w:right="19"/>
              <w:spacing w:after="0"/>
              <w:rPr>
                <w:sz w:val="20"/>
                <w:szCs w:val="20"/>
                <w:color w:val="auto"/>
              </w:rPr>
            </w:pPr>
            <w:r>
              <w:rPr>
                <w:rFonts w:ascii="Times New Roman" w:cs="Times New Roman" w:eastAsia="Times New Roman" w:hAnsi="Times New Roman"/>
                <w:sz w:val="20"/>
                <w:szCs w:val="20"/>
                <w:color w:val="1E1E1E"/>
                <w:w w:val="79"/>
              </w:rPr>
              <w:t>$</w:t>
            </w:r>
          </w:p>
        </w:tc>
        <w:tc>
          <w:tcPr>
            <w:tcW w:w="15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(10,202)</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The accompanying notes are an integral part of these consolidated financial statements.</w:t>
      </w:r>
    </w:p>
    <w:p>
      <w:pPr>
        <w:sectPr>
          <w:pgSz w:w="11880" w:h="15480" w:orient="portrait"/>
          <w:cols w:equalWidth="0" w:num="1">
            <w:col w:w="10240"/>
          </w:cols>
          <w:pgMar w:left="820" w:top="87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42</w:t>
      </w:r>
    </w:p>
    <w:p>
      <w:pPr>
        <w:sectPr>
          <w:pgSz w:w="11880" w:h="15480" w:orient="portrait"/>
          <w:cols w:equalWidth="0" w:num="1">
            <w:col w:w="10240"/>
          </w:cols>
          <w:pgMar w:left="820" w:top="874" w:right="820" w:bottom="0"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20"/>
          <w:szCs w:val="20"/>
          <w:b w:val="1"/>
          <w:bCs w:val="1"/>
          <w:color w:val="1E1E1E"/>
        </w:rPr>
        <w:t>DULUTH HOLDINGS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Consolidated Statements of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1E1E1E"/>
        </w:rPr>
        <w:t>(Amounts in thousands)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Accumulated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Noncontrolling</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9"/>
        </w:trPr>
        <w:tc>
          <w:tcPr>
            <w:tcW w:w="3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bottom w:val="single" w:sz="8" w:color="1E1E1E"/>
            </w:tcBorders>
          </w:tcPr>
          <w:p>
            <w:pPr>
              <w:spacing w:after="0"/>
              <w:rPr>
                <w:sz w:val="18"/>
                <w:szCs w:val="18"/>
                <w:color w:val="auto"/>
              </w:rPr>
            </w:pPr>
          </w:p>
        </w:tc>
        <w:tc>
          <w:tcPr>
            <w:tcW w:w="40" w:type="dxa"/>
            <w:vAlign w:val="bottom"/>
            <w:tcBorders>
              <w:bottom w:val="single" w:sz="8" w:color="1E1E1E"/>
            </w:tcBorders>
          </w:tcPr>
          <w:p>
            <w:pPr>
              <w:spacing w:after="0"/>
              <w:rPr>
                <w:sz w:val="18"/>
                <w:szCs w:val="18"/>
                <w:color w:val="auto"/>
              </w:rPr>
            </w:pPr>
          </w:p>
        </w:tc>
        <w:tc>
          <w:tcPr>
            <w:tcW w:w="2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940" w:type="dxa"/>
            <w:vAlign w:val="bottom"/>
            <w:tcBorders>
              <w:bottom w:val="single" w:sz="8" w:color="1E1E1E"/>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1E1E1E"/>
                <w:w w:val="99"/>
              </w:rPr>
              <w:t>Capital stock</w:t>
            </w:r>
          </w:p>
        </w:tc>
        <w:tc>
          <w:tcPr>
            <w:tcW w:w="140" w:type="dxa"/>
            <w:vAlign w:val="bottom"/>
            <w:tcBorders>
              <w:bottom w:val="single" w:sz="8" w:color="1E1E1E"/>
            </w:tcBorders>
          </w:tcPr>
          <w:p>
            <w:pPr>
              <w:spacing w:after="0"/>
              <w:rPr>
                <w:sz w:val="18"/>
                <w:szCs w:val="18"/>
                <w:color w:val="auto"/>
              </w:rPr>
            </w:pPr>
          </w:p>
        </w:tc>
        <w:tc>
          <w:tcPr>
            <w:tcW w:w="720" w:type="dxa"/>
            <w:vAlign w:val="bottom"/>
            <w:tcBorders>
              <w:bottom w:val="single" w:sz="8" w:color="1E1E1E"/>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center"/>
              <w:ind w:right="101"/>
              <w:spacing w:after="0"/>
              <w:rPr>
                <w:sz w:val="20"/>
                <w:szCs w:val="20"/>
                <w:color w:val="auto"/>
              </w:rPr>
            </w:pPr>
            <w:r>
              <w:rPr>
                <w:rFonts w:ascii="Times New Roman" w:cs="Times New Roman" w:eastAsia="Times New Roman" w:hAnsi="Times New Roman"/>
                <w:sz w:val="16"/>
                <w:szCs w:val="16"/>
                <w:b w:val="1"/>
                <w:bCs w:val="1"/>
                <w:color w:val="1E1E1E"/>
                <w:w w:val="98"/>
              </w:rPr>
              <w:t>other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81"/>
              <w:spacing w:after="0"/>
              <w:rPr>
                <w:sz w:val="20"/>
                <w:szCs w:val="20"/>
                <w:color w:val="auto"/>
              </w:rPr>
            </w:pPr>
            <w:r>
              <w:rPr>
                <w:rFonts w:ascii="Times New Roman" w:cs="Times New Roman" w:eastAsia="Times New Roman" w:hAnsi="Times New Roman"/>
                <w:sz w:val="16"/>
                <w:szCs w:val="16"/>
                <w:b w:val="1"/>
                <w:bCs w:val="1"/>
                <w:color w:val="1E1E1E"/>
              </w:rPr>
              <w:t>interest in</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center"/>
              <w:ind w:right="61"/>
              <w:spacing w:after="0"/>
              <w:rPr>
                <w:sz w:val="20"/>
                <w:szCs w:val="20"/>
                <w:color w:val="auto"/>
              </w:rPr>
            </w:pPr>
            <w:r>
              <w:rPr>
                <w:rFonts w:ascii="Times New Roman" w:cs="Times New Roman" w:eastAsia="Times New Roman" w:hAnsi="Times New Roman"/>
                <w:sz w:val="16"/>
                <w:szCs w:val="16"/>
                <w:b w:val="1"/>
                <w:bCs w:val="1"/>
                <w:color w:val="1E1E1E"/>
                <w:w w:val="98"/>
              </w:rPr>
              <w:t>Total</w:t>
            </w:r>
          </w:p>
        </w:tc>
      </w:tr>
      <w:tr>
        <w:trPr>
          <w:trHeight w:val="208"/>
        </w:trPr>
        <w:tc>
          <w:tcPr>
            <w:tcW w:w="3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1E1E1E"/>
              </w:rPr>
              <w:t>Treasury</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1E1E1E"/>
              </w:rPr>
              <w:t>Retained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1E1E1E"/>
              </w:rPr>
              <w:t>comprehensive variable interest</w:t>
            </w:r>
          </w:p>
        </w:tc>
        <w:tc>
          <w:tcPr>
            <w:tcW w:w="4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shareholders'</w:t>
            </w:r>
          </w:p>
        </w:tc>
      </w:tr>
      <w:tr>
        <w:trPr>
          <w:trHeight w:val="209"/>
        </w:trPr>
        <w:tc>
          <w:tcPr>
            <w:tcW w:w="3180" w:type="dxa"/>
            <w:vAlign w:val="bottom"/>
            <w:tcBorders>
              <w:bottom w:val="single" w:sz="8" w:color="E2E2E2"/>
            </w:tcBorders>
          </w:tcPr>
          <w:p>
            <w:pPr>
              <w:spacing w:after="0"/>
              <w:rPr>
                <w:sz w:val="18"/>
                <w:szCs w:val="18"/>
                <w:color w:val="auto"/>
              </w:rPr>
            </w:pPr>
          </w:p>
        </w:tc>
        <w:tc>
          <w:tcPr>
            <w:tcW w:w="40" w:type="dxa"/>
            <w:vAlign w:val="bottom"/>
            <w:tcBorders>
              <w:bottom w:val="single" w:sz="8" w:color="E2E2E2"/>
            </w:tcBorders>
          </w:tcPr>
          <w:p>
            <w:pPr>
              <w:spacing w:after="0"/>
              <w:rPr>
                <w:sz w:val="18"/>
                <w:szCs w:val="18"/>
                <w:color w:val="auto"/>
              </w:rPr>
            </w:pPr>
          </w:p>
        </w:tc>
        <w:tc>
          <w:tcPr>
            <w:tcW w:w="20" w:type="dxa"/>
            <w:vAlign w:val="bottom"/>
            <w:tcBorders>
              <w:bottom w:val="single" w:sz="8" w:color="E2E2E2"/>
            </w:tcBorders>
          </w:tcPr>
          <w:p>
            <w:pPr>
              <w:spacing w:after="0"/>
              <w:rPr>
                <w:sz w:val="18"/>
                <w:szCs w:val="18"/>
                <w:color w:val="auto"/>
              </w:rPr>
            </w:pPr>
          </w:p>
        </w:tc>
        <w:tc>
          <w:tcPr>
            <w:tcW w:w="720" w:type="dxa"/>
            <w:vAlign w:val="bottom"/>
            <w:tcBorders>
              <w:bottom w:val="single" w:sz="8" w:color="1E1E1E"/>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1E1E1E"/>
              </w:rPr>
              <w:t>Shares</w:t>
            </w:r>
          </w:p>
        </w:tc>
        <w:tc>
          <w:tcPr>
            <w:tcW w:w="40" w:type="dxa"/>
            <w:vAlign w:val="bottom"/>
            <w:tcBorders>
              <w:bottom w:val="single" w:sz="8" w:color="E2E2E2"/>
            </w:tcBorders>
          </w:tcPr>
          <w:p>
            <w:pPr>
              <w:spacing w:after="0"/>
              <w:rPr>
                <w:sz w:val="18"/>
                <w:szCs w:val="18"/>
                <w:color w:val="auto"/>
              </w:rPr>
            </w:pPr>
          </w:p>
        </w:tc>
        <w:tc>
          <w:tcPr>
            <w:tcW w:w="20" w:type="dxa"/>
            <w:vAlign w:val="bottom"/>
            <w:tcBorders>
              <w:bottom w:val="single" w:sz="8" w:color="E2E2E2"/>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880" w:type="dxa"/>
            <w:vAlign w:val="bottom"/>
            <w:tcBorders>
              <w:bottom w:val="single" w:sz="8" w:color="1E1E1E"/>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1E1E1E"/>
              </w:rPr>
              <w:t>Amount</w:t>
            </w:r>
          </w:p>
        </w:tc>
        <w:tc>
          <w:tcPr>
            <w:tcW w:w="60" w:type="dxa"/>
            <w:vAlign w:val="bottom"/>
            <w:tcBorders>
              <w:bottom w:val="single" w:sz="8" w:color="E2E2E2"/>
            </w:tcBorders>
            <w:gridSpan w:val="2"/>
          </w:tcPr>
          <w:p>
            <w:pPr>
              <w:spacing w:after="0"/>
              <w:rPr>
                <w:sz w:val="18"/>
                <w:szCs w:val="18"/>
                <w:color w:val="auto"/>
              </w:rPr>
            </w:pPr>
          </w:p>
        </w:tc>
        <w:tc>
          <w:tcPr>
            <w:tcW w:w="140" w:type="dxa"/>
            <w:vAlign w:val="bottom"/>
            <w:tcBorders>
              <w:bottom w:val="single" w:sz="8" w:color="1E1E1E"/>
            </w:tcBorders>
          </w:tcPr>
          <w:p>
            <w:pPr>
              <w:spacing w:after="0"/>
              <w:rPr>
                <w:sz w:val="18"/>
                <w:szCs w:val="18"/>
                <w:color w:val="auto"/>
              </w:rPr>
            </w:pPr>
          </w:p>
        </w:tc>
        <w:tc>
          <w:tcPr>
            <w:tcW w:w="720" w:type="dxa"/>
            <w:vAlign w:val="bottom"/>
            <w:tcBorders>
              <w:bottom w:val="single" w:sz="8" w:color="1E1E1E"/>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1E1E1E"/>
              </w:rPr>
              <w:t>stock</w:t>
            </w:r>
          </w:p>
        </w:tc>
        <w:tc>
          <w:tcPr>
            <w:tcW w:w="40" w:type="dxa"/>
            <w:vAlign w:val="bottom"/>
            <w:tcBorders>
              <w:bottom w:val="single" w:sz="8" w:color="E2E2E2"/>
            </w:tcBorders>
          </w:tcPr>
          <w:p>
            <w:pPr>
              <w:spacing w:after="0"/>
              <w:rPr>
                <w:sz w:val="18"/>
                <w:szCs w:val="18"/>
                <w:color w:val="auto"/>
              </w:rPr>
            </w:pPr>
          </w:p>
        </w:tc>
        <w:tc>
          <w:tcPr>
            <w:tcW w:w="20" w:type="dxa"/>
            <w:vAlign w:val="bottom"/>
            <w:tcBorders>
              <w:bottom w:val="single" w:sz="8" w:color="E2E2E2"/>
            </w:tcBorders>
          </w:tcPr>
          <w:p>
            <w:pPr>
              <w:spacing w:after="0"/>
              <w:rPr>
                <w:sz w:val="18"/>
                <w:szCs w:val="18"/>
                <w:color w:val="auto"/>
              </w:rPr>
            </w:pPr>
          </w:p>
        </w:tc>
        <w:tc>
          <w:tcPr>
            <w:tcW w:w="140" w:type="dxa"/>
            <w:vAlign w:val="bottom"/>
            <w:tcBorders>
              <w:bottom w:val="single" w:sz="8" w:color="1E1E1E"/>
            </w:tcBorders>
          </w:tcPr>
          <w:p>
            <w:pPr>
              <w:spacing w:after="0"/>
              <w:rPr>
                <w:sz w:val="18"/>
                <w:szCs w:val="18"/>
                <w:color w:val="auto"/>
              </w:rPr>
            </w:pPr>
          </w:p>
        </w:tc>
        <w:tc>
          <w:tcPr>
            <w:tcW w:w="840" w:type="dxa"/>
            <w:vAlign w:val="bottom"/>
            <w:tcBorders>
              <w:bottom w:val="single" w:sz="8" w:color="1E1E1E"/>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1E1E1E"/>
              </w:rPr>
              <w:t>earnings</w:t>
            </w:r>
          </w:p>
        </w:tc>
        <w:tc>
          <w:tcPr>
            <w:tcW w:w="40" w:type="dxa"/>
            <w:vAlign w:val="bottom"/>
            <w:tcBorders>
              <w:bottom w:val="single" w:sz="8" w:color="E2E2E2"/>
            </w:tcBorders>
          </w:tcPr>
          <w:p>
            <w:pPr>
              <w:spacing w:after="0"/>
              <w:rPr>
                <w:sz w:val="18"/>
                <w:szCs w:val="18"/>
                <w:color w:val="auto"/>
              </w:rPr>
            </w:pPr>
          </w:p>
        </w:tc>
        <w:tc>
          <w:tcPr>
            <w:tcW w:w="20" w:type="dxa"/>
            <w:vAlign w:val="bottom"/>
            <w:tcBorders>
              <w:bottom w:val="single" w:sz="8" w:color="E2E2E2"/>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800" w:type="dxa"/>
            <w:vAlign w:val="bottom"/>
            <w:tcBorders>
              <w:bottom w:val="single" w:sz="8" w:color="1E1E1E"/>
            </w:tcBorders>
          </w:tcPr>
          <w:p>
            <w:pPr>
              <w:jc w:val="center"/>
              <w:ind w:right="121"/>
              <w:spacing w:after="0"/>
              <w:rPr>
                <w:sz w:val="20"/>
                <w:szCs w:val="20"/>
                <w:color w:val="auto"/>
              </w:rPr>
            </w:pPr>
            <w:r>
              <w:rPr>
                <w:rFonts w:ascii="Times New Roman" w:cs="Times New Roman" w:eastAsia="Times New Roman" w:hAnsi="Times New Roman"/>
                <w:sz w:val="16"/>
                <w:szCs w:val="16"/>
                <w:b w:val="1"/>
                <w:bCs w:val="1"/>
                <w:color w:val="1E1E1E"/>
              </w:rPr>
              <w:t>loss</w:t>
            </w:r>
          </w:p>
        </w:tc>
        <w:tc>
          <w:tcPr>
            <w:tcW w:w="40" w:type="dxa"/>
            <w:vAlign w:val="bottom"/>
            <w:tcBorders>
              <w:bottom w:val="single" w:sz="8" w:color="E2E2E2"/>
            </w:tcBorders>
          </w:tcPr>
          <w:p>
            <w:pPr>
              <w:spacing w:after="0"/>
              <w:rPr>
                <w:sz w:val="18"/>
                <w:szCs w:val="18"/>
                <w:color w:val="auto"/>
              </w:rPr>
            </w:pPr>
          </w:p>
        </w:tc>
        <w:tc>
          <w:tcPr>
            <w:tcW w:w="20" w:type="dxa"/>
            <w:vAlign w:val="bottom"/>
            <w:tcBorders>
              <w:bottom w:val="single" w:sz="8" w:color="E2E2E2"/>
            </w:tcBorders>
          </w:tcPr>
          <w:p>
            <w:pPr>
              <w:spacing w:after="0"/>
              <w:rPr>
                <w:sz w:val="18"/>
                <w:szCs w:val="18"/>
                <w:color w:val="auto"/>
              </w:rPr>
            </w:pPr>
          </w:p>
        </w:tc>
        <w:tc>
          <w:tcPr>
            <w:tcW w:w="160" w:type="dxa"/>
            <w:vAlign w:val="bottom"/>
            <w:tcBorders>
              <w:bottom w:val="single" w:sz="8" w:color="1E1E1E"/>
            </w:tcBorders>
          </w:tcPr>
          <w:p>
            <w:pPr>
              <w:spacing w:after="0"/>
              <w:rPr>
                <w:sz w:val="18"/>
                <w:szCs w:val="18"/>
                <w:color w:val="auto"/>
              </w:rPr>
            </w:pPr>
          </w:p>
        </w:tc>
        <w:tc>
          <w:tcPr>
            <w:tcW w:w="960" w:type="dxa"/>
            <w:vAlign w:val="bottom"/>
            <w:tcBorders>
              <w:bottom w:val="single" w:sz="8" w:color="1E1E1E"/>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1E1E1E"/>
              </w:rPr>
              <w:t>entities</w:t>
            </w:r>
          </w:p>
        </w:tc>
        <w:tc>
          <w:tcPr>
            <w:tcW w:w="40" w:type="dxa"/>
            <w:vAlign w:val="bottom"/>
            <w:tcBorders>
              <w:bottom w:val="single" w:sz="8" w:color="E2E2E2"/>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800" w:type="dxa"/>
            <w:vAlign w:val="bottom"/>
            <w:tcBorders>
              <w:bottom w:val="single" w:sz="8" w:color="1E1E1E"/>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1E1E1E"/>
                <w:w w:val="98"/>
              </w:rPr>
              <w:t>equity</w:t>
            </w:r>
          </w:p>
        </w:tc>
      </w:tr>
      <w:tr>
        <w:trPr>
          <w:trHeight w:val="220"/>
        </w:trPr>
        <w:tc>
          <w:tcPr>
            <w:tcW w:w="3180" w:type="dxa"/>
            <w:vAlign w:val="bottom"/>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1E1E1E"/>
              </w:rPr>
              <w:t>Balance at January 29, 2023</w:t>
            </w:r>
          </w:p>
        </w:tc>
        <w:tc>
          <w:tcPr>
            <w:tcW w:w="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720" w:type="dxa"/>
            <w:vAlign w:val="bottom"/>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rPr>
              <w:t>33,443</w:t>
            </w:r>
          </w:p>
        </w:tc>
        <w:tc>
          <w:tcPr>
            <w:tcW w:w="160" w:type="dxa"/>
            <w:vAlign w:val="bottom"/>
            <w:gridSpan w:val="3"/>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880" w:type="dxa"/>
            <w:vAlign w:val="bottom"/>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rPr>
              <w:t>98,842</w:t>
            </w:r>
          </w:p>
        </w:tc>
        <w:tc>
          <w:tcPr>
            <w:tcW w:w="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40" w:type="dxa"/>
            <w:vAlign w:val="bottom"/>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720" w:type="dxa"/>
            <w:vAlign w:val="bottom"/>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rPr>
              <w:t>(1,459)</w:t>
            </w:r>
          </w:p>
        </w:tc>
        <w:tc>
          <w:tcPr>
            <w:tcW w:w="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40" w:type="dxa"/>
            <w:vAlign w:val="bottom"/>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shd w:val="clear" w:color="auto" w:fill="E2E2E2"/>
              </w:rPr>
              <w:t>$</w:t>
            </w:r>
          </w:p>
        </w:tc>
        <w:tc>
          <w:tcPr>
            <w:tcW w:w="840" w:type="dxa"/>
            <w:vAlign w:val="bottom"/>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shd w:val="clear" w:color="auto" w:fill="E2E2E2"/>
              </w:rPr>
              <w:t>131,315</w:t>
            </w:r>
          </w:p>
        </w:tc>
        <w:tc>
          <w:tcPr>
            <w:tcW w:w="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20" w:type="dxa"/>
            <w:vAlign w:val="bottom"/>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800" w:type="dxa"/>
            <w:vAlign w:val="bottom"/>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rPr>
              <w:t>(148)</w:t>
            </w:r>
          </w:p>
        </w:tc>
        <w:tc>
          <w:tcPr>
            <w:tcW w:w="220" w:type="dxa"/>
            <w:vAlign w:val="bottom"/>
            <w:gridSpan w:val="3"/>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rPr>
              <w:t>(3,210)</w:t>
            </w:r>
          </w:p>
        </w:tc>
        <w:tc>
          <w:tcPr>
            <w:tcW w:w="40" w:type="dxa"/>
            <w:vAlign w:val="bottom"/>
            <w:shd w:val="clear" w:color="auto" w:fill="E2E2E2"/>
          </w:tcPr>
          <w:p>
            <w:pPr>
              <w:spacing w:after="0"/>
              <w:rPr>
                <w:sz w:val="19"/>
                <w:szCs w:val="19"/>
                <w:color w:val="auto"/>
              </w:rPr>
            </w:pPr>
          </w:p>
        </w:tc>
        <w:tc>
          <w:tcPr>
            <w:tcW w:w="180" w:type="dxa"/>
            <w:vAlign w:val="bottom"/>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shd w:val="clear" w:color="auto" w:fill="E2E2E2"/>
              </w:rPr>
              <w:t>$</w:t>
            </w:r>
          </w:p>
        </w:tc>
        <w:tc>
          <w:tcPr>
            <w:tcW w:w="800" w:type="dxa"/>
            <w:vAlign w:val="bottom"/>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shd w:val="clear" w:color="auto" w:fill="E2E2E2"/>
              </w:rPr>
              <w:t>225,340</w:t>
            </w:r>
          </w:p>
        </w:tc>
      </w:tr>
      <w:tr>
        <w:trPr>
          <w:trHeight w:val="240"/>
        </w:trPr>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Issuance of common stock</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1,243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542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542</w:t>
            </w:r>
          </w:p>
        </w:tc>
      </w:tr>
      <w:tr>
        <w:trPr>
          <w:trHeight w:val="269"/>
        </w:trPr>
        <w:tc>
          <w:tcPr>
            <w:tcW w:w="318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20"/>
                <w:szCs w:val="20"/>
                <w:color w:val="1E1E1E"/>
              </w:rPr>
              <w:t>Stock-based compensation</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4,195</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40" w:type="dxa"/>
            <w:vAlign w:val="bottom"/>
            <w:shd w:val="clear" w:color="auto" w:fill="E2E2E2"/>
          </w:tcPr>
          <w:p>
            <w:pPr>
              <w:spacing w:after="0"/>
              <w:rPr>
                <w:sz w:val="23"/>
                <w:szCs w:val="23"/>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40" w:type="dxa"/>
            <w:vAlign w:val="bottom"/>
            <w:shd w:val="clear" w:color="auto" w:fill="E2E2E2"/>
          </w:tcPr>
          <w:p>
            <w:pPr>
              <w:spacing w:after="0"/>
              <w:rPr>
                <w:sz w:val="23"/>
                <w:szCs w:val="23"/>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220" w:type="dxa"/>
            <w:vAlign w:val="bottom"/>
            <w:shd w:val="clear" w:color="auto" w:fill="E2E2E2"/>
          </w:tcPr>
          <w:p>
            <w:pPr>
              <w:spacing w:after="0"/>
              <w:rPr>
                <w:sz w:val="23"/>
                <w:szCs w:val="23"/>
                <w:color w:val="auto"/>
              </w:rPr>
            </w:pP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60" w:type="dxa"/>
            <w:vAlign w:val="bottom"/>
            <w:shd w:val="clear" w:color="auto" w:fill="E2E2E2"/>
          </w:tcPr>
          <w:p>
            <w:pPr>
              <w:spacing w:after="0"/>
              <w:rPr>
                <w:sz w:val="23"/>
                <w:szCs w:val="23"/>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3"/>
                <w:szCs w:val="23"/>
                <w:color w:val="auto"/>
              </w:rPr>
            </w:pPr>
          </w:p>
        </w:tc>
        <w:tc>
          <w:tcPr>
            <w:tcW w:w="180" w:type="dxa"/>
            <w:vAlign w:val="bottom"/>
            <w:shd w:val="clear" w:color="auto" w:fill="E2E2E2"/>
          </w:tcPr>
          <w:p>
            <w:pPr>
              <w:spacing w:after="0"/>
              <w:rPr>
                <w:sz w:val="23"/>
                <w:szCs w:val="23"/>
                <w:color w:val="auto"/>
              </w:rPr>
            </w:pP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4,195</w:t>
            </w:r>
          </w:p>
        </w:tc>
      </w:tr>
      <w:tr>
        <w:trPr>
          <w:trHeight w:val="240"/>
        </w:trPr>
        <w:tc>
          <w:tcPr>
            <w:tcW w:w="32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1E1E1E"/>
              </w:rPr>
              <w:t>Restricted stock forfeitures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75"/>
        </w:trPr>
        <w:tc>
          <w:tcPr>
            <w:tcW w:w="3240" w:type="dxa"/>
            <w:vAlign w:val="bottom"/>
            <w:gridSpan w:val="3"/>
            <w:shd w:val="clear" w:color="auto" w:fill="E2E2E2"/>
          </w:tcPr>
          <w:p>
            <w:pPr>
              <w:ind w:left="120"/>
              <w:spacing w:after="0"/>
              <w:rPr>
                <w:sz w:val="20"/>
                <w:szCs w:val="20"/>
                <w:color w:val="auto"/>
              </w:rPr>
            </w:pPr>
            <w:r>
              <w:rPr>
                <w:rFonts w:ascii="Times New Roman" w:cs="Times New Roman" w:eastAsia="Times New Roman" w:hAnsi="Times New Roman"/>
                <w:sz w:val="20"/>
                <w:szCs w:val="20"/>
                <w:color w:val="1E1E1E"/>
              </w:rPr>
              <w:t>Restricted stock surrendered</w:t>
            </w:r>
          </w:p>
        </w:tc>
        <w:tc>
          <w:tcPr>
            <w:tcW w:w="720" w:type="dxa"/>
            <w:vAlign w:val="bottom"/>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880" w:type="dxa"/>
            <w:vAlign w:val="bottom"/>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40" w:type="dxa"/>
            <w:vAlign w:val="bottom"/>
            <w:shd w:val="clear" w:color="auto" w:fill="E2E2E2"/>
          </w:tcPr>
          <w:p>
            <w:pPr>
              <w:spacing w:after="0"/>
              <w:rPr>
                <w:sz w:val="23"/>
                <w:szCs w:val="23"/>
                <w:color w:val="auto"/>
              </w:rPr>
            </w:pPr>
          </w:p>
        </w:tc>
        <w:tc>
          <w:tcPr>
            <w:tcW w:w="720" w:type="dxa"/>
            <w:vAlign w:val="bottom"/>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40" w:type="dxa"/>
            <w:vAlign w:val="bottom"/>
            <w:shd w:val="clear" w:color="auto" w:fill="E2E2E2"/>
          </w:tcPr>
          <w:p>
            <w:pPr>
              <w:spacing w:after="0"/>
              <w:rPr>
                <w:sz w:val="23"/>
                <w:szCs w:val="23"/>
                <w:color w:val="auto"/>
              </w:rPr>
            </w:pPr>
          </w:p>
        </w:tc>
        <w:tc>
          <w:tcPr>
            <w:tcW w:w="840" w:type="dxa"/>
            <w:vAlign w:val="bottom"/>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220" w:type="dxa"/>
            <w:vAlign w:val="bottom"/>
            <w:shd w:val="clear" w:color="auto" w:fill="E2E2E2"/>
          </w:tcPr>
          <w:p>
            <w:pPr>
              <w:spacing w:after="0"/>
              <w:rPr>
                <w:sz w:val="23"/>
                <w:szCs w:val="23"/>
                <w:color w:val="auto"/>
              </w:rPr>
            </w:pPr>
          </w:p>
        </w:tc>
        <w:tc>
          <w:tcPr>
            <w:tcW w:w="800" w:type="dxa"/>
            <w:vAlign w:val="bottom"/>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60" w:type="dxa"/>
            <w:vAlign w:val="bottom"/>
            <w:shd w:val="clear" w:color="auto" w:fill="E2E2E2"/>
          </w:tcPr>
          <w:p>
            <w:pPr>
              <w:spacing w:after="0"/>
              <w:rPr>
                <w:sz w:val="23"/>
                <w:szCs w:val="23"/>
                <w:color w:val="auto"/>
              </w:rPr>
            </w:pPr>
          </w:p>
        </w:tc>
        <w:tc>
          <w:tcPr>
            <w:tcW w:w="960" w:type="dxa"/>
            <w:vAlign w:val="bottom"/>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180" w:type="dxa"/>
            <w:vAlign w:val="bottom"/>
            <w:shd w:val="clear" w:color="auto" w:fill="E2E2E2"/>
          </w:tcPr>
          <w:p>
            <w:pPr>
              <w:spacing w:after="0"/>
              <w:rPr>
                <w:sz w:val="23"/>
                <w:szCs w:val="23"/>
                <w:color w:val="auto"/>
              </w:rPr>
            </w:pPr>
          </w:p>
        </w:tc>
        <w:tc>
          <w:tcPr>
            <w:tcW w:w="800" w:type="dxa"/>
            <w:vAlign w:val="bottom"/>
            <w:shd w:val="clear" w:color="auto" w:fill="E2E2E2"/>
          </w:tcPr>
          <w:p>
            <w:pPr>
              <w:spacing w:after="0"/>
              <w:rPr>
                <w:sz w:val="23"/>
                <w:szCs w:val="23"/>
                <w:color w:val="auto"/>
              </w:rPr>
            </w:pPr>
          </w:p>
        </w:tc>
      </w:tr>
      <w:tr>
        <w:trPr>
          <w:trHeight w:val="253"/>
        </w:trPr>
        <w:tc>
          <w:tcPr>
            <w:tcW w:w="3180" w:type="dxa"/>
            <w:vAlign w:val="bottom"/>
            <w:shd w:val="clear" w:color="auto" w:fill="E2E2E2"/>
          </w:tcPr>
          <w:p>
            <w:pPr>
              <w:ind w:left="360"/>
              <w:spacing w:after="0"/>
              <w:rPr>
                <w:sz w:val="20"/>
                <w:szCs w:val="20"/>
                <w:color w:val="auto"/>
              </w:rPr>
            </w:pPr>
            <w:r>
              <w:rPr>
                <w:rFonts w:ascii="Times New Roman" w:cs="Times New Roman" w:eastAsia="Times New Roman" w:hAnsi="Times New Roman"/>
                <w:sz w:val="20"/>
                <w:szCs w:val="20"/>
                <w:color w:val="1E1E1E"/>
              </w:rPr>
              <w:t>for taxes</w:t>
            </w:r>
          </w:p>
        </w:tc>
        <w:tc>
          <w:tcPr>
            <w:tcW w:w="4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(42)</w:t>
            </w:r>
          </w:p>
        </w:tc>
        <w:tc>
          <w:tcPr>
            <w:tcW w:w="4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100" w:type="dxa"/>
            <w:vAlign w:val="bottom"/>
            <w:shd w:val="clear" w:color="auto" w:fill="E2E2E2"/>
          </w:tcPr>
          <w:p>
            <w:pPr>
              <w:spacing w:after="0"/>
              <w:rPr>
                <w:sz w:val="21"/>
                <w:szCs w:val="21"/>
                <w:color w:val="auto"/>
              </w:rPr>
            </w:pPr>
          </w:p>
        </w:tc>
        <w:tc>
          <w:tcPr>
            <w:tcW w:w="940" w:type="dxa"/>
            <w:vAlign w:val="bottom"/>
            <w:gridSpan w:val="3"/>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40" w:type="dxa"/>
            <w:vAlign w:val="bottom"/>
            <w:shd w:val="clear" w:color="auto" w:fill="E2E2E2"/>
          </w:tcPr>
          <w:p>
            <w:pPr>
              <w:spacing w:after="0"/>
              <w:rPr>
                <w:sz w:val="21"/>
                <w:szCs w:val="21"/>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(279)</w:t>
            </w:r>
          </w:p>
        </w:tc>
        <w:tc>
          <w:tcPr>
            <w:tcW w:w="4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140" w:type="dxa"/>
            <w:vAlign w:val="bottom"/>
            <w:shd w:val="clear" w:color="auto" w:fill="E2E2E2"/>
          </w:tcPr>
          <w:p>
            <w:pPr>
              <w:spacing w:after="0"/>
              <w:rPr>
                <w:sz w:val="21"/>
                <w:szCs w:val="21"/>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220" w:type="dxa"/>
            <w:vAlign w:val="bottom"/>
            <w:shd w:val="clear" w:color="auto" w:fill="E2E2E2"/>
          </w:tcPr>
          <w:p>
            <w:pPr>
              <w:spacing w:after="0"/>
              <w:rPr>
                <w:sz w:val="21"/>
                <w:szCs w:val="21"/>
                <w:color w:val="auto"/>
              </w:rPr>
            </w:pP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(279)</w:t>
            </w:r>
          </w:p>
        </w:tc>
      </w:tr>
      <w:tr>
        <w:trPr>
          <w:trHeight w:val="270"/>
        </w:trPr>
        <w:tc>
          <w:tcPr>
            <w:tcW w:w="32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1E1E1E"/>
              </w:rPr>
              <w:t>Changes in the TRI Holdings, LLC</w:t>
            </w: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3"/>
        </w:trPr>
        <w:tc>
          <w:tcPr>
            <w:tcW w:w="32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1E1E1E"/>
              </w:rPr>
              <w:t>Consolidation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171</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171</w:t>
            </w:r>
          </w:p>
        </w:tc>
      </w:tr>
      <w:tr>
        <w:trPr>
          <w:trHeight w:val="269"/>
        </w:trPr>
        <w:tc>
          <w:tcPr>
            <w:tcW w:w="318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20"/>
                <w:szCs w:val="20"/>
                <w:color w:val="1E1E1E"/>
              </w:rPr>
              <w:t>Other comprehensive loss</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940" w:type="dxa"/>
            <w:vAlign w:val="bottom"/>
            <w:gridSpan w:val="3"/>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40" w:type="dxa"/>
            <w:vAlign w:val="bottom"/>
            <w:shd w:val="clear" w:color="auto" w:fill="E2E2E2"/>
          </w:tcPr>
          <w:p>
            <w:pPr>
              <w:spacing w:after="0"/>
              <w:rPr>
                <w:sz w:val="23"/>
                <w:szCs w:val="23"/>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40" w:type="dxa"/>
            <w:vAlign w:val="bottom"/>
            <w:shd w:val="clear" w:color="auto" w:fill="E2E2E2"/>
          </w:tcPr>
          <w:p>
            <w:pPr>
              <w:spacing w:after="0"/>
              <w:rPr>
                <w:sz w:val="23"/>
                <w:szCs w:val="23"/>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220" w:type="dxa"/>
            <w:vAlign w:val="bottom"/>
            <w:shd w:val="clear" w:color="auto" w:fill="E2E2E2"/>
          </w:tcPr>
          <w:p>
            <w:pPr>
              <w:spacing w:after="0"/>
              <w:rPr>
                <w:sz w:val="23"/>
                <w:szCs w:val="23"/>
                <w:color w:val="auto"/>
              </w:rPr>
            </w:pP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(279)</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60" w:type="dxa"/>
            <w:vAlign w:val="bottom"/>
            <w:shd w:val="clear" w:color="auto" w:fill="E2E2E2"/>
          </w:tcPr>
          <w:p>
            <w:pPr>
              <w:spacing w:after="0"/>
              <w:rPr>
                <w:sz w:val="23"/>
                <w:szCs w:val="23"/>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3"/>
                <w:szCs w:val="23"/>
                <w:color w:val="auto"/>
              </w:rPr>
            </w:pPr>
          </w:p>
        </w:tc>
        <w:tc>
          <w:tcPr>
            <w:tcW w:w="180" w:type="dxa"/>
            <w:vAlign w:val="bottom"/>
            <w:shd w:val="clear" w:color="auto" w:fill="E2E2E2"/>
          </w:tcPr>
          <w:p>
            <w:pPr>
              <w:spacing w:after="0"/>
              <w:rPr>
                <w:sz w:val="23"/>
                <w:szCs w:val="23"/>
                <w:color w:val="auto"/>
              </w:rPr>
            </w:pP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(279)</w:t>
            </w:r>
          </w:p>
        </w:tc>
      </w:tr>
      <w:tr>
        <w:trPr>
          <w:trHeight w:val="240"/>
        </w:trPr>
        <w:tc>
          <w:tcPr>
            <w:tcW w:w="3240" w:type="dxa"/>
            <w:vAlign w:val="bottom"/>
            <w:tcBorders>
              <w:bottom w:val="single" w:sz="8" w:color="E2E2E2"/>
            </w:tcBorders>
            <w:gridSpan w:val="3"/>
          </w:tcPr>
          <w:p>
            <w:pPr>
              <w:ind w:left="120"/>
              <w:spacing w:after="0"/>
              <w:rPr>
                <w:sz w:val="20"/>
                <w:szCs w:val="20"/>
                <w:color w:val="auto"/>
              </w:rPr>
            </w:pPr>
            <w:r>
              <w:rPr>
                <w:rFonts w:ascii="Times New Roman" w:cs="Times New Roman" w:eastAsia="Times New Roman" w:hAnsi="Times New Roman"/>
                <w:sz w:val="20"/>
                <w:szCs w:val="20"/>
                <w:color w:val="1E1E1E"/>
              </w:rPr>
              <w:t>Net loss</w:t>
            </w:r>
          </w:p>
        </w:tc>
        <w:tc>
          <w:tcPr>
            <w:tcW w:w="7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Borders>
              <w:bottom w:val="single" w:sz="8" w:color="E2E2E2"/>
            </w:tcBorders>
          </w:tcPr>
          <w:p>
            <w:pPr>
              <w:spacing w:after="0"/>
              <w:rPr>
                <w:sz w:val="20"/>
                <w:szCs w:val="20"/>
                <w:color w:val="auto"/>
              </w:rPr>
            </w:pPr>
          </w:p>
        </w:tc>
        <w:tc>
          <w:tcPr>
            <w:tcW w:w="20" w:type="dxa"/>
            <w:vAlign w:val="bottom"/>
            <w:tcBorders>
              <w:bottom w:val="single" w:sz="8" w:color="E2E2E2"/>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8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Borders>
              <w:bottom w:val="single" w:sz="8" w:color="E2E2E2"/>
            </w:tcBorders>
            <w:gridSpan w:val="2"/>
          </w:tcPr>
          <w:p>
            <w:pPr>
              <w:spacing w:after="0"/>
              <w:rPr>
                <w:sz w:val="20"/>
                <w:szCs w:val="20"/>
                <w:color w:val="auto"/>
              </w:rPr>
            </w:pPr>
          </w:p>
        </w:tc>
        <w:tc>
          <w:tcPr>
            <w:tcW w:w="140" w:type="dxa"/>
            <w:vAlign w:val="bottom"/>
            <w:tcBorders>
              <w:bottom w:val="single" w:sz="8" w:color="1E1E1E"/>
            </w:tcBorders>
          </w:tcPr>
          <w:p>
            <w:pPr>
              <w:spacing w:after="0"/>
              <w:rPr>
                <w:sz w:val="20"/>
                <w:szCs w:val="20"/>
                <w:color w:val="auto"/>
              </w:rPr>
            </w:pPr>
          </w:p>
        </w:tc>
        <w:tc>
          <w:tcPr>
            <w:tcW w:w="7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Borders>
              <w:bottom w:val="single" w:sz="8" w:color="E2E2E2"/>
            </w:tcBorders>
          </w:tcPr>
          <w:p>
            <w:pPr>
              <w:spacing w:after="0"/>
              <w:rPr>
                <w:sz w:val="20"/>
                <w:szCs w:val="20"/>
                <w:color w:val="auto"/>
              </w:rPr>
            </w:pPr>
          </w:p>
        </w:tc>
        <w:tc>
          <w:tcPr>
            <w:tcW w:w="20" w:type="dxa"/>
            <w:vAlign w:val="bottom"/>
            <w:tcBorders>
              <w:bottom w:val="single" w:sz="8" w:color="E2E2E2"/>
            </w:tcBorders>
          </w:tcPr>
          <w:p>
            <w:pPr>
              <w:spacing w:after="0"/>
              <w:rPr>
                <w:sz w:val="20"/>
                <w:szCs w:val="20"/>
                <w:color w:val="auto"/>
              </w:rPr>
            </w:pPr>
          </w:p>
        </w:tc>
        <w:tc>
          <w:tcPr>
            <w:tcW w:w="140" w:type="dxa"/>
            <w:vAlign w:val="bottom"/>
            <w:tcBorders>
              <w:bottom w:val="single" w:sz="8" w:color="1E1E1E"/>
            </w:tcBorders>
          </w:tcPr>
          <w:p>
            <w:pPr>
              <w:spacing w:after="0"/>
              <w:rPr>
                <w:sz w:val="20"/>
                <w:szCs w:val="20"/>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(9,923)</w:t>
            </w:r>
          </w:p>
        </w:tc>
        <w:tc>
          <w:tcPr>
            <w:tcW w:w="40" w:type="dxa"/>
            <w:vAlign w:val="bottom"/>
            <w:tcBorders>
              <w:bottom w:val="single" w:sz="8" w:color="E2E2E2"/>
            </w:tcBorders>
          </w:tcPr>
          <w:p>
            <w:pPr>
              <w:spacing w:after="0"/>
              <w:rPr>
                <w:sz w:val="20"/>
                <w:szCs w:val="20"/>
                <w:color w:val="auto"/>
              </w:rPr>
            </w:pPr>
          </w:p>
        </w:tc>
        <w:tc>
          <w:tcPr>
            <w:tcW w:w="20" w:type="dxa"/>
            <w:vAlign w:val="bottom"/>
            <w:tcBorders>
              <w:bottom w:val="single" w:sz="8" w:color="E2E2E2"/>
            </w:tcBorders>
          </w:tcPr>
          <w:p>
            <w:pPr>
              <w:spacing w:after="0"/>
              <w:rPr>
                <w:sz w:val="20"/>
                <w:szCs w:val="20"/>
                <w:color w:val="auto"/>
              </w:rPr>
            </w:pPr>
          </w:p>
        </w:tc>
        <w:tc>
          <w:tcPr>
            <w:tcW w:w="220" w:type="dxa"/>
            <w:vAlign w:val="bottom"/>
            <w:tcBorders>
              <w:bottom w:val="single" w:sz="8" w:color="1E1E1E"/>
            </w:tcBorders>
          </w:tcPr>
          <w:p>
            <w:pPr>
              <w:spacing w:after="0"/>
              <w:rPr>
                <w:sz w:val="20"/>
                <w:szCs w:val="20"/>
                <w:color w:val="auto"/>
              </w:rPr>
            </w:pPr>
          </w:p>
        </w:tc>
        <w:tc>
          <w:tcPr>
            <w:tcW w:w="8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Borders>
              <w:bottom w:val="single" w:sz="8" w:color="E2E2E2"/>
            </w:tcBorders>
          </w:tcPr>
          <w:p>
            <w:pPr>
              <w:spacing w:after="0"/>
              <w:rPr>
                <w:sz w:val="20"/>
                <w:szCs w:val="20"/>
                <w:color w:val="auto"/>
              </w:rPr>
            </w:pPr>
          </w:p>
        </w:tc>
        <w:tc>
          <w:tcPr>
            <w:tcW w:w="20" w:type="dxa"/>
            <w:vAlign w:val="bottom"/>
            <w:tcBorders>
              <w:bottom w:val="single" w:sz="8" w:color="E2E2E2"/>
            </w:tcBorders>
          </w:tcPr>
          <w:p>
            <w:pPr>
              <w:spacing w:after="0"/>
              <w:rPr>
                <w:sz w:val="20"/>
                <w:szCs w:val="20"/>
                <w:color w:val="auto"/>
              </w:rPr>
            </w:pPr>
          </w:p>
        </w:tc>
        <w:tc>
          <w:tcPr>
            <w:tcW w:w="160" w:type="dxa"/>
            <w:vAlign w:val="bottom"/>
            <w:tcBorders>
              <w:bottom w:val="single" w:sz="8" w:color="1E1E1E"/>
            </w:tcBorders>
          </w:tcPr>
          <w:p>
            <w:pPr>
              <w:spacing w:after="0"/>
              <w:rPr>
                <w:sz w:val="20"/>
                <w:szCs w:val="20"/>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(17)</w:t>
            </w:r>
          </w:p>
        </w:tc>
        <w:tc>
          <w:tcPr>
            <w:tcW w:w="40" w:type="dxa"/>
            <w:vAlign w:val="bottom"/>
            <w:tcBorders>
              <w:bottom w:val="single" w:sz="8" w:color="E2E2E2"/>
            </w:tcBorders>
          </w:tcPr>
          <w:p>
            <w:pPr>
              <w:spacing w:after="0"/>
              <w:rPr>
                <w:sz w:val="20"/>
                <w:szCs w:val="20"/>
                <w:color w:val="auto"/>
              </w:rPr>
            </w:pPr>
          </w:p>
        </w:tc>
        <w:tc>
          <w:tcPr>
            <w:tcW w:w="180" w:type="dxa"/>
            <w:vAlign w:val="bottom"/>
            <w:tcBorders>
              <w:bottom w:val="single" w:sz="8" w:color="1E1E1E"/>
            </w:tcBorders>
          </w:tcPr>
          <w:p>
            <w:pPr>
              <w:spacing w:after="0"/>
              <w:rPr>
                <w:sz w:val="20"/>
                <w:szCs w:val="20"/>
                <w:color w:val="auto"/>
              </w:rPr>
            </w:pPr>
          </w:p>
        </w:tc>
        <w:tc>
          <w:tcPr>
            <w:tcW w:w="8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(9,940)</w:t>
            </w:r>
          </w:p>
        </w:tc>
      </w:tr>
      <w:tr>
        <w:trPr>
          <w:trHeight w:val="220"/>
        </w:trPr>
        <w:tc>
          <w:tcPr>
            <w:tcW w:w="3180" w:type="dxa"/>
            <w:vAlign w:val="bottom"/>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1E1E1E"/>
              </w:rPr>
              <w:t>Balance at January 28, 2024</w:t>
            </w:r>
          </w:p>
        </w:tc>
        <w:tc>
          <w:tcPr>
            <w:tcW w:w="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720" w:type="dxa"/>
            <w:vAlign w:val="bottom"/>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rPr>
              <w:t>34,387</w:t>
            </w:r>
          </w:p>
        </w:tc>
        <w:tc>
          <w:tcPr>
            <w:tcW w:w="160" w:type="dxa"/>
            <w:vAlign w:val="bottom"/>
            <w:gridSpan w:val="3"/>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880" w:type="dxa"/>
            <w:vAlign w:val="bottom"/>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rPr>
              <w:t>103,579</w:t>
            </w:r>
          </w:p>
        </w:tc>
        <w:tc>
          <w:tcPr>
            <w:tcW w:w="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40" w:type="dxa"/>
            <w:vAlign w:val="bottom"/>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720" w:type="dxa"/>
            <w:vAlign w:val="bottom"/>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rPr>
              <w:t>(1,738)</w:t>
            </w:r>
          </w:p>
        </w:tc>
        <w:tc>
          <w:tcPr>
            <w:tcW w:w="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40" w:type="dxa"/>
            <w:vAlign w:val="bottom"/>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shd w:val="clear" w:color="auto" w:fill="E2E2E2"/>
              </w:rPr>
              <w:t>$</w:t>
            </w:r>
          </w:p>
        </w:tc>
        <w:tc>
          <w:tcPr>
            <w:tcW w:w="840" w:type="dxa"/>
            <w:vAlign w:val="bottom"/>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shd w:val="clear" w:color="auto" w:fill="E2E2E2"/>
              </w:rPr>
              <w:t>121,392</w:t>
            </w:r>
          </w:p>
        </w:tc>
        <w:tc>
          <w:tcPr>
            <w:tcW w:w="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20" w:type="dxa"/>
            <w:vAlign w:val="bottom"/>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800" w:type="dxa"/>
            <w:vAlign w:val="bottom"/>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rPr>
              <w:t>(427)</w:t>
            </w:r>
          </w:p>
        </w:tc>
        <w:tc>
          <w:tcPr>
            <w:tcW w:w="220" w:type="dxa"/>
            <w:vAlign w:val="bottom"/>
            <w:gridSpan w:val="3"/>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rPr>
              <w:t>(3,056)</w:t>
            </w:r>
          </w:p>
        </w:tc>
        <w:tc>
          <w:tcPr>
            <w:tcW w:w="40" w:type="dxa"/>
            <w:vAlign w:val="bottom"/>
            <w:shd w:val="clear" w:color="auto" w:fill="E2E2E2"/>
          </w:tcPr>
          <w:p>
            <w:pPr>
              <w:spacing w:after="0"/>
              <w:rPr>
                <w:sz w:val="19"/>
                <w:szCs w:val="19"/>
                <w:color w:val="auto"/>
              </w:rPr>
            </w:pPr>
          </w:p>
        </w:tc>
        <w:tc>
          <w:tcPr>
            <w:tcW w:w="180" w:type="dxa"/>
            <w:vAlign w:val="bottom"/>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shd w:val="clear" w:color="auto" w:fill="E2E2E2"/>
              </w:rPr>
              <w:t>$</w:t>
            </w:r>
          </w:p>
        </w:tc>
        <w:tc>
          <w:tcPr>
            <w:tcW w:w="800" w:type="dxa"/>
            <w:vAlign w:val="bottom"/>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shd w:val="clear" w:color="auto" w:fill="E2E2E2"/>
              </w:rPr>
              <w:t>219,750</w:t>
            </w:r>
          </w:p>
        </w:tc>
      </w:tr>
      <w:tr>
        <w:trPr>
          <w:trHeight w:val="240"/>
        </w:trPr>
        <w:tc>
          <w:tcPr>
            <w:tcW w:w="32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1E1E1E"/>
              </w:rPr>
              <w:t>Issuance of common stock</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1,185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384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384</w:t>
            </w:r>
          </w:p>
        </w:tc>
      </w:tr>
      <w:tr>
        <w:trPr>
          <w:trHeight w:val="240"/>
        </w:trPr>
        <w:tc>
          <w:tcPr>
            <w:tcW w:w="318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20"/>
                <w:szCs w:val="20"/>
                <w:color w:val="1E1E1E"/>
              </w:rPr>
              <w:t>Stock-based compensation</w:t>
            </w:r>
          </w:p>
        </w:tc>
        <w:tc>
          <w:tcPr>
            <w:tcW w:w="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00" w:type="dxa"/>
            <w:vAlign w:val="bottom"/>
            <w:shd w:val="clear" w:color="auto" w:fill="E2E2E2"/>
          </w:tcPr>
          <w:p>
            <w:pPr>
              <w:spacing w:after="0"/>
              <w:rPr>
                <w:sz w:val="20"/>
                <w:szCs w:val="20"/>
                <w:color w:val="auto"/>
              </w:rPr>
            </w:pP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4,046</w:t>
            </w:r>
          </w:p>
        </w:tc>
        <w:tc>
          <w:tcPr>
            <w:tcW w:w="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40" w:type="dxa"/>
            <w:vAlign w:val="bottom"/>
            <w:shd w:val="clear" w:color="auto" w:fill="E2E2E2"/>
          </w:tcPr>
          <w:p>
            <w:pPr>
              <w:spacing w:after="0"/>
              <w:rPr>
                <w:sz w:val="20"/>
                <w:szCs w:val="20"/>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40" w:type="dxa"/>
            <w:vAlign w:val="bottom"/>
            <w:shd w:val="clear" w:color="auto" w:fill="E2E2E2"/>
          </w:tcPr>
          <w:p>
            <w:pPr>
              <w:spacing w:after="0"/>
              <w:rPr>
                <w:sz w:val="20"/>
                <w:szCs w:val="20"/>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220" w:type="dxa"/>
            <w:vAlign w:val="bottom"/>
            <w:shd w:val="clear" w:color="auto" w:fill="E2E2E2"/>
          </w:tcPr>
          <w:p>
            <w:pPr>
              <w:spacing w:after="0"/>
              <w:rPr>
                <w:sz w:val="20"/>
                <w:szCs w:val="20"/>
                <w:color w:val="auto"/>
              </w:rPr>
            </w:pP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4,046</w:t>
            </w:r>
          </w:p>
        </w:tc>
      </w:tr>
      <w:tr>
        <w:trPr>
          <w:trHeight w:val="240"/>
        </w:trPr>
        <w:tc>
          <w:tcPr>
            <w:tcW w:w="32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1E1E1E"/>
              </w:rPr>
              <w:t>Restricted stock forfeitures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75"/>
        </w:trPr>
        <w:tc>
          <w:tcPr>
            <w:tcW w:w="3240" w:type="dxa"/>
            <w:vAlign w:val="bottom"/>
            <w:gridSpan w:val="3"/>
            <w:shd w:val="clear" w:color="auto" w:fill="E2E2E2"/>
          </w:tcPr>
          <w:p>
            <w:pPr>
              <w:ind w:left="120"/>
              <w:spacing w:after="0"/>
              <w:rPr>
                <w:sz w:val="20"/>
                <w:szCs w:val="20"/>
                <w:color w:val="auto"/>
              </w:rPr>
            </w:pPr>
            <w:r>
              <w:rPr>
                <w:rFonts w:ascii="Times New Roman" w:cs="Times New Roman" w:eastAsia="Times New Roman" w:hAnsi="Times New Roman"/>
                <w:sz w:val="20"/>
                <w:szCs w:val="20"/>
                <w:color w:val="1E1E1E"/>
              </w:rPr>
              <w:t>Restricted stock surrendered</w:t>
            </w:r>
          </w:p>
        </w:tc>
        <w:tc>
          <w:tcPr>
            <w:tcW w:w="720" w:type="dxa"/>
            <w:vAlign w:val="bottom"/>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880" w:type="dxa"/>
            <w:vAlign w:val="bottom"/>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40" w:type="dxa"/>
            <w:vAlign w:val="bottom"/>
            <w:shd w:val="clear" w:color="auto" w:fill="E2E2E2"/>
          </w:tcPr>
          <w:p>
            <w:pPr>
              <w:spacing w:after="0"/>
              <w:rPr>
                <w:sz w:val="23"/>
                <w:szCs w:val="23"/>
                <w:color w:val="auto"/>
              </w:rPr>
            </w:pPr>
          </w:p>
        </w:tc>
        <w:tc>
          <w:tcPr>
            <w:tcW w:w="720" w:type="dxa"/>
            <w:vAlign w:val="bottom"/>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40" w:type="dxa"/>
            <w:vAlign w:val="bottom"/>
            <w:shd w:val="clear" w:color="auto" w:fill="E2E2E2"/>
          </w:tcPr>
          <w:p>
            <w:pPr>
              <w:spacing w:after="0"/>
              <w:rPr>
                <w:sz w:val="23"/>
                <w:szCs w:val="23"/>
                <w:color w:val="auto"/>
              </w:rPr>
            </w:pPr>
          </w:p>
        </w:tc>
        <w:tc>
          <w:tcPr>
            <w:tcW w:w="840" w:type="dxa"/>
            <w:vAlign w:val="bottom"/>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220" w:type="dxa"/>
            <w:vAlign w:val="bottom"/>
            <w:shd w:val="clear" w:color="auto" w:fill="E2E2E2"/>
          </w:tcPr>
          <w:p>
            <w:pPr>
              <w:spacing w:after="0"/>
              <w:rPr>
                <w:sz w:val="23"/>
                <w:szCs w:val="23"/>
                <w:color w:val="auto"/>
              </w:rPr>
            </w:pPr>
          </w:p>
        </w:tc>
        <w:tc>
          <w:tcPr>
            <w:tcW w:w="800" w:type="dxa"/>
            <w:vAlign w:val="bottom"/>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60" w:type="dxa"/>
            <w:vAlign w:val="bottom"/>
            <w:shd w:val="clear" w:color="auto" w:fill="E2E2E2"/>
          </w:tcPr>
          <w:p>
            <w:pPr>
              <w:spacing w:after="0"/>
              <w:rPr>
                <w:sz w:val="23"/>
                <w:szCs w:val="23"/>
                <w:color w:val="auto"/>
              </w:rPr>
            </w:pPr>
          </w:p>
        </w:tc>
        <w:tc>
          <w:tcPr>
            <w:tcW w:w="960" w:type="dxa"/>
            <w:vAlign w:val="bottom"/>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180" w:type="dxa"/>
            <w:vAlign w:val="bottom"/>
            <w:shd w:val="clear" w:color="auto" w:fill="E2E2E2"/>
          </w:tcPr>
          <w:p>
            <w:pPr>
              <w:spacing w:after="0"/>
              <w:rPr>
                <w:sz w:val="23"/>
                <w:szCs w:val="23"/>
                <w:color w:val="auto"/>
              </w:rPr>
            </w:pPr>
          </w:p>
        </w:tc>
        <w:tc>
          <w:tcPr>
            <w:tcW w:w="800" w:type="dxa"/>
            <w:vAlign w:val="bottom"/>
            <w:shd w:val="clear" w:color="auto" w:fill="E2E2E2"/>
          </w:tcPr>
          <w:p>
            <w:pPr>
              <w:spacing w:after="0"/>
              <w:rPr>
                <w:sz w:val="23"/>
                <w:szCs w:val="23"/>
                <w:color w:val="auto"/>
              </w:rPr>
            </w:pPr>
          </w:p>
        </w:tc>
      </w:tr>
      <w:tr>
        <w:trPr>
          <w:trHeight w:val="253"/>
        </w:trPr>
        <w:tc>
          <w:tcPr>
            <w:tcW w:w="3180" w:type="dxa"/>
            <w:vAlign w:val="bottom"/>
            <w:shd w:val="clear" w:color="auto" w:fill="E2E2E2"/>
          </w:tcPr>
          <w:p>
            <w:pPr>
              <w:ind w:left="360"/>
              <w:spacing w:after="0"/>
              <w:rPr>
                <w:sz w:val="20"/>
                <w:szCs w:val="20"/>
                <w:color w:val="auto"/>
              </w:rPr>
            </w:pPr>
            <w:r>
              <w:rPr>
                <w:rFonts w:ascii="Times New Roman" w:cs="Times New Roman" w:eastAsia="Times New Roman" w:hAnsi="Times New Roman"/>
                <w:sz w:val="20"/>
                <w:szCs w:val="20"/>
                <w:color w:val="1E1E1E"/>
              </w:rPr>
              <w:t>for taxes</w:t>
            </w:r>
          </w:p>
        </w:tc>
        <w:tc>
          <w:tcPr>
            <w:tcW w:w="4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(156)</w:t>
            </w:r>
          </w:p>
        </w:tc>
        <w:tc>
          <w:tcPr>
            <w:tcW w:w="4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100" w:type="dxa"/>
            <w:vAlign w:val="bottom"/>
            <w:shd w:val="clear" w:color="auto" w:fill="E2E2E2"/>
          </w:tcPr>
          <w:p>
            <w:pPr>
              <w:spacing w:after="0"/>
              <w:rPr>
                <w:sz w:val="21"/>
                <w:szCs w:val="21"/>
                <w:color w:val="auto"/>
              </w:rPr>
            </w:pPr>
          </w:p>
        </w:tc>
        <w:tc>
          <w:tcPr>
            <w:tcW w:w="940" w:type="dxa"/>
            <w:vAlign w:val="bottom"/>
            <w:gridSpan w:val="3"/>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40" w:type="dxa"/>
            <w:vAlign w:val="bottom"/>
            <w:shd w:val="clear" w:color="auto" w:fill="E2E2E2"/>
          </w:tcPr>
          <w:p>
            <w:pPr>
              <w:spacing w:after="0"/>
              <w:rPr>
                <w:sz w:val="21"/>
                <w:szCs w:val="21"/>
                <w:color w:val="auto"/>
              </w:rPr>
            </w:pPr>
          </w:p>
        </w:tc>
        <w:tc>
          <w:tcPr>
            <w:tcW w:w="720" w:type="dxa"/>
            <w:vAlign w:val="bottom"/>
            <w:shd w:val="clear" w:color="auto" w:fill="E2E2E2"/>
          </w:tcPr>
          <w:p>
            <w:pPr>
              <w:jc w:val="right"/>
              <w:ind w:right="161"/>
              <w:spacing w:after="0"/>
              <w:rPr>
                <w:sz w:val="20"/>
                <w:szCs w:val="20"/>
                <w:color w:val="auto"/>
              </w:rPr>
            </w:pPr>
            <w:r>
              <w:rPr>
                <w:rFonts w:ascii="Times New Roman" w:cs="Times New Roman" w:eastAsia="Times New Roman" w:hAnsi="Times New Roman"/>
                <w:sz w:val="20"/>
                <w:szCs w:val="20"/>
                <w:color w:val="1E1E1E"/>
              </w:rPr>
              <w:t>(594)</w:t>
            </w:r>
          </w:p>
        </w:tc>
        <w:tc>
          <w:tcPr>
            <w:tcW w:w="4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140" w:type="dxa"/>
            <w:vAlign w:val="bottom"/>
            <w:shd w:val="clear" w:color="auto" w:fill="E2E2E2"/>
          </w:tcPr>
          <w:p>
            <w:pPr>
              <w:spacing w:after="0"/>
              <w:rPr>
                <w:sz w:val="21"/>
                <w:szCs w:val="21"/>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220" w:type="dxa"/>
            <w:vAlign w:val="bottom"/>
            <w:shd w:val="clear" w:color="auto" w:fill="E2E2E2"/>
          </w:tcPr>
          <w:p>
            <w:pPr>
              <w:spacing w:after="0"/>
              <w:rPr>
                <w:sz w:val="21"/>
                <w:szCs w:val="21"/>
                <w:color w:val="auto"/>
              </w:rPr>
            </w:pP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(594)</w:t>
            </w:r>
          </w:p>
        </w:tc>
      </w:tr>
      <w:tr>
        <w:trPr>
          <w:trHeight w:val="270"/>
        </w:trPr>
        <w:tc>
          <w:tcPr>
            <w:tcW w:w="32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1E1E1E"/>
              </w:rPr>
              <w:t>Changes in the TRI Holdings, LLC</w:t>
            </w: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3"/>
        </w:trPr>
        <w:tc>
          <w:tcPr>
            <w:tcW w:w="32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1E1E1E"/>
              </w:rPr>
              <w:t>Consolidation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69"/>
        </w:trPr>
        <w:tc>
          <w:tcPr>
            <w:tcW w:w="318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20"/>
                <w:szCs w:val="20"/>
                <w:color w:val="1E1E1E"/>
              </w:rPr>
              <w:t>Other comprehensive loss</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940" w:type="dxa"/>
            <w:vAlign w:val="bottom"/>
            <w:gridSpan w:val="3"/>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40" w:type="dxa"/>
            <w:vAlign w:val="bottom"/>
            <w:shd w:val="clear" w:color="auto" w:fill="E2E2E2"/>
          </w:tcPr>
          <w:p>
            <w:pPr>
              <w:spacing w:after="0"/>
              <w:rPr>
                <w:sz w:val="23"/>
                <w:szCs w:val="23"/>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40" w:type="dxa"/>
            <w:vAlign w:val="bottom"/>
            <w:shd w:val="clear" w:color="auto" w:fill="E2E2E2"/>
          </w:tcPr>
          <w:p>
            <w:pPr>
              <w:spacing w:after="0"/>
              <w:rPr>
                <w:sz w:val="23"/>
                <w:szCs w:val="23"/>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220" w:type="dxa"/>
            <w:vAlign w:val="bottom"/>
            <w:shd w:val="clear" w:color="auto" w:fill="E2E2E2"/>
          </w:tcPr>
          <w:p>
            <w:pPr>
              <w:spacing w:after="0"/>
              <w:rPr>
                <w:sz w:val="23"/>
                <w:szCs w:val="23"/>
                <w:color w:val="auto"/>
              </w:rPr>
            </w:pP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(295)</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60" w:type="dxa"/>
            <w:vAlign w:val="bottom"/>
            <w:shd w:val="clear" w:color="auto" w:fill="E2E2E2"/>
          </w:tcPr>
          <w:p>
            <w:pPr>
              <w:spacing w:after="0"/>
              <w:rPr>
                <w:sz w:val="23"/>
                <w:szCs w:val="23"/>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3"/>
                <w:szCs w:val="23"/>
                <w:color w:val="auto"/>
              </w:rPr>
            </w:pPr>
          </w:p>
        </w:tc>
        <w:tc>
          <w:tcPr>
            <w:tcW w:w="180" w:type="dxa"/>
            <w:vAlign w:val="bottom"/>
            <w:shd w:val="clear" w:color="auto" w:fill="E2E2E2"/>
          </w:tcPr>
          <w:p>
            <w:pPr>
              <w:spacing w:after="0"/>
              <w:rPr>
                <w:sz w:val="23"/>
                <w:szCs w:val="23"/>
                <w:color w:val="auto"/>
              </w:rPr>
            </w:pP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(295)</w:t>
            </w:r>
          </w:p>
        </w:tc>
      </w:tr>
      <w:tr>
        <w:trPr>
          <w:trHeight w:val="240"/>
        </w:trPr>
        <w:tc>
          <w:tcPr>
            <w:tcW w:w="3240" w:type="dxa"/>
            <w:vAlign w:val="bottom"/>
            <w:tcBorders>
              <w:bottom w:val="single" w:sz="8" w:color="E2E2E2"/>
            </w:tcBorders>
            <w:gridSpan w:val="3"/>
          </w:tcPr>
          <w:p>
            <w:pPr>
              <w:ind w:left="120"/>
              <w:spacing w:after="0"/>
              <w:rPr>
                <w:sz w:val="20"/>
                <w:szCs w:val="20"/>
                <w:color w:val="auto"/>
              </w:rPr>
            </w:pPr>
            <w:r>
              <w:rPr>
                <w:rFonts w:ascii="Times New Roman" w:cs="Times New Roman" w:eastAsia="Times New Roman" w:hAnsi="Times New Roman"/>
                <w:sz w:val="20"/>
                <w:szCs w:val="20"/>
                <w:color w:val="1E1E1E"/>
              </w:rPr>
              <w:t>Net (loss) income</w:t>
            </w:r>
          </w:p>
        </w:tc>
        <w:tc>
          <w:tcPr>
            <w:tcW w:w="7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Borders>
              <w:bottom w:val="single" w:sz="8" w:color="E2E2E2"/>
            </w:tcBorders>
          </w:tcPr>
          <w:p>
            <w:pPr>
              <w:spacing w:after="0"/>
              <w:rPr>
                <w:sz w:val="20"/>
                <w:szCs w:val="20"/>
                <w:color w:val="auto"/>
              </w:rPr>
            </w:pPr>
          </w:p>
        </w:tc>
        <w:tc>
          <w:tcPr>
            <w:tcW w:w="20" w:type="dxa"/>
            <w:vAlign w:val="bottom"/>
            <w:tcBorders>
              <w:bottom w:val="single" w:sz="8" w:color="E2E2E2"/>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8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Borders>
              <w:bottom w:val="single" w:sz="8" w:color="E2E2E2"/>
            </w:tcBorders>
            <w:gridSpan w:val="2"/>
          </w:tcPr>
          <w:p>
            <w:pPr>
              <w:spacing w:after="0"/>
              <w:rPr>
                <w:sz w:val="20"/>
                <w:szCs w:val="20"/>
                <w:color w:val="auto"/>
              </w:rPr>
            </w:pPr>
          </w:p>
        </w:tc>
        <w:tc>
          <w:tcPr>
            <w:tcW w:w="140" w:type="dxa"/>
            <w:vAlign w:val="bottom"/>
            <w:tcBorders>
              <w:bottom w:val="single" w:sz="8" w:color="1E1E1E"/>
            </w:tcBorders>
          </w:tcPr>
          <w:p>
            <w:pPr>
              <w:spacing w:after="0"/>
              <w:rPr>
                <w:sz w:val="20"/>
                <w:szCs w:val="20"/>
                <w:color w:val="auto"/>
              </w:rPr>
            </w:pPr>
          </w:p>
        </w:tc>
        <w:tc>
          <w:tcPr>
            <w:tcW w:w="7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Borders>
              <w:bottom w:val="single" w:sz="8" w:color="E2E2E2"/>
            </w:tcBorders>
          </w:tcPr>
          <w:p>
            <w:pPr>
              <w:spacing w:after="0"/>
              <w:rPr>
                <w:sz w:val="20"/>
                <w:szCs w:val="20"/>
                <w:color w:val="auto"/>
              </w:rPr>
            </w:pPr>
          </w:p>
        </w:tc>
        <w:tc>
          <w:tcPr>
            <w:tcW w:w="20" w:type="dxa"/>
            <w:vAlign w:val="bottom"/>
            <w:tcBorders>
              <w:bottom w:val="single" w:sz="8" w:color="E2E2E2"/>
            </w:tcBorders>
          </w:tcPr>
          <w:p>
            <w:pPr>
              <w:spacing w:after="0"/>
              <w:rPr>
                <w:sz w:val="20"/>
                <w:szCs w:val="20"/>
                <w:color w:val="auto"/>
              </w:rPr>
            </w:pPr>
          </w:p>
        </w:tc>
        <w:tc>
          <w:tcPr>
            <w:tcW w:w="140" w:type="dxa"/>
            <w:vAlign w:val="bottom"/>
            <w:tcBorders>
              <w:bottom w:val="single" w:sz="8" w:color="1E1E1E"/>
            </w:tcBorders>
          </w:tcPr>
          <w:p>
            <w:pPr>
              <w:spacing w:after="0"/>
              <w:rPr>
                <w:sz w:val="20"/>
                <w:szCs w:val="20"/>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(43,671)</w:t>
            </w:r>
          </w:p>
        </w:tc>
        <w:tc>
          <w:tcPr>
            <w:tcW w:w="40" w:type="dxa"/>
            <w:vAlign w:val="bottom"/>
            <w:tcBorders>
              <w:bottom w:val="single" w:sz="8" w:color="E2E2E2"/>
            </w:tcBorders>
          </w:tcPr>
          <w:p>
            <w:pPr>
              <w:spacing w:after="0"/>
              <w:rPr>
                <w:sz w:val="20"/>
                <w:szCs w:val="20"/>
                <w:color w:val="auto"/>
              </w:rPr>
            </w:pPr>
          </w:p>
        </w:tc>
        <w:tc>
          <w:tcPr>
            <w:tcW w:w="20" w:type="dxa"/>
            <w:vAlign w:val="bottom"/>
            <w:tcBorders>
              <w:bottom w:val="single" w:sz="8" w:color="E2E2E2"/>
            </w:tcBorders>
          </w:tcPr>
          <w:p>
            <w:pPr>
              <w:spacing w:after="0"/>
              <w:rPr>
                <w:sz w:val="20"/>
                <w:szCs w:val="20"/>
                <w:color w:val="auto"/>
              </w:rPr>
            </w:pPr>
          </w:p>
        </w:tc>
        <w:tc>
          <w:tcPr>
            <w:tcW w:w="220" w:type="dxa"/>
            <w:vAlign w:val="bottom"/>
            <w:tcBorders>
              <w:bottom w:val="single" w:sz="8" w:color="1E1E1E"/>
            </w:tcBorders>
          </w:tcPr>
          <w:p>
            <w:pPr>
              <w:spacing w:after="0"/>
              <w:rPr>
                <w:sz w:val="20"/>
                <w:szCs w:val="20"/>
                <w:color w:val="auto"/>
              </w:rPr>
            </w:pPr>
          </w:p>
        </w:tc>
        <w:tc>
          <w:tcPr>
            <w:tcW w:w="8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Borders>
              <w:bottom w:val="single" w:sz="8" w:color="E2E2E2"/>
            </w:tcBorders>
          </w:tcPr>
          <w:p>
            <w:pPr>
              <w:spacing w:after="0"/>
              <w:rPr>
                <w:sz w:val="20"/>
                <w:szCs w:val="20"/>
                <w:color w:val="auto"/>
              </w:rPr>
            </w:pPr>
          </w:p>
        </w:tc>
        <w:tc>
          <w:tcPr>
            <w:tcW w:w="20" w:type="dxa"/>
            <w:vAlign w:val="bottom"/>
            <w:tcBorders>
              <w:bottom w:val="single" w:sz="8" w:color="E2E2E2"/>
            </w:tcBorders>
          </w:tcPr>
          <w:p>
            <w:pPr>
              <w:spacing w:after="0"/>
              <w:rPr>
                <w:sz w:val="20"/>
                <w:szCs w:val="20"/>
                <w:color w:val="auto"/>
              </w:rPr>
            </w:pPr>
          </w:p>
        </w:tc>
        <w:tc>
          <w:tcPr>
            <w:tcW w:w="160" w:type="dxa"/>
            <w:vAlign w:val="bottom"/>
            <w:tcBorders>
              <w:bottom w:val="single" w:sz="8" w:color="1E1E1E"/>
            </w:tcBorders>
          </w:tcPr>
          <w:p>
            <w:pPr>
              <w:spacing w:after="0"/>
              <w:rPr>
                <w:sz w:val="20"/>
                <w:szCs w:val="20"/>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59</w:t>
            </w:r>
          </w:p>
        </w:tc>
        <w:tc>
          <w:tcPr>
            <w:tcW w:w="40" w:type="dxa"/>
            <w:vAlign w:val="bottom"/>
            <w:tcBorders>
              <w:bottom w:val="single" w:sz="8" w:color="E2E2E2"/>
            </w:tcBorders>
          </w:tcPr>
          <w:p>
            <w:pPr>
              <w:spacing w:after="0"/>
              <w:rPr>
                <w:sz w:val="20"/>
                <w:szCs w:val="20"/>
                <w:color w:val="auto"/>
              </w:rPr>
            </w:pPr>
          </w:p>
        </w:tc>
        <w:tc>
          <w:tcPr>
            <w:tcW w:w="180" w:type="dxa"/>
            <w:vAlign w:val="bottom"/>
            <w:tcBorders>
              <w:bottom w:val="single" w:sz="8" w:color="1E1E1E"/>
            </w:tcBorders>
          </w:tcPr>
          <w:p>
            <w:pPr>
              <w:spacing w:after="0"/>
              <w:rPr>
                <w:sz w:val="20"/>
                <w:szCs w:val="20"/>
                <w:color w:val="auto"/>
              </w:rPr>
            </w:pPr>
          </w:p>
        </w:tc>
        <w:tc>
          <w:tcPr>
            <w:tcW w:w="8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(43,612)</w:t>
            </w:r>
          </w:p>
        </w:tc>
      </w:tr>
      <w:tr>
        <w:trPr>
          <w:trHeight w:val="234"/>
        </w:trPr>
        <w:tc>
          <w:tcPr>
            <w:tcW w:w="3180" w:type="dxa"/>
            <w:vAlign w:val="bottom"/>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1E1E1E"/>
              </w:rPr>
              <w:t>Balance at February 2, 2025</w:t>
            </w:r>
          </w:p>
        </w:tc>
        <w:tc>
          <w:tcPr>
            <w:tcW w:w="40" w:type="dxa"/>
            <w:vAlign w:val="bottom"/>
            <w:shd w:val="clear" w:color="auto" w:fill="E2E2E2"/>
          </w:tcPr>
          <w:p>
            <w:pPr>
              <w:spacing w:after="0"/>
              <w:rPr>
                <w:sz w:val="20"/>
                <w:szCs w:val="20"/>
                <w:color w:val="auto"/>
              </w:rPr>
            </w:pPr>
          </w:p>
        </w:tc>
        <w:tc>
          <w:tcPr>
            <w:tcW w:w="20" w:type="dxa"/>
            <w:vAlign w:val="bottom"/>
            <w:tcBorders>
              <w:bottom w:val="single" w:sz="8" w:color="1E1E1E"/>
            </w:tcBorders>
            <w:shd w:val="clear" w:color="auto" w:fill="E2E2E2"/>
          </w:tcPr>
          <w:p>
            <w:pPr>
              <w:spacing w:after="0"/>
              <w:rPr>
                <w:sz w:val="20"/>
                <w:szCs w:val="20"/>
                <w:color w:val="auto"/>
              </w:rPr>
            </w:pPr>
          </w:p>
        </w:tc>
        <w:tc>
          <w:tcPr>
            <w:tcW w:w="720" w:type="dxa"/>
            <w:vAlign w:val="bottom"/>
            <w:tcBorders>
              <w:bottom w:val="single" w:sz="8" w:color="1E1E1E"/>
            </w:tcBorders>
            <w:shd w:val="clear" w:color="auto" w:fill="E2E2E2"/>
          </w:tcPr>
          <w:p>
            <w:pPr>
              <w:jc w:val="right"/>
              <w:spacing w:after="0" w:line="223" w:lineRule="exact"/>
              <w:rPr>
                <w:sz w:val="20"/>
                <w:szCs w:val="20"/>
                <w:color w:val="auto"/>
              </w:rPr>
            </w:pPr>
            <w:r>
              <w:rPr>
                <w:rFonts w:ascii="Times New Roman" w:cs="Times New Roman" w:eastAsia="Times New Roman" w:hAnsi="Times New Roman"/>
                <w:sz w:val="20"/>
                <w:szCs w:val="20"/>
                <w:color w:val="1E1E1E"/>
              </w:rPr>
              <w:t>35,177</w:t>
            </w:r>
          </w:p>
        </w:tc>
        <w:tc>
          <w:tcPr>
            <w:tcW w:w="40" w:type="dxa"/>
            <w:vAlign w:val="bottom"/>
            <w:shd w:val="clear" w:color="auto" w:fill="E2E2E2"/>
          </w:tcPr>
          <w:p>
            <w:pPr>
              <w:spacing w:after="0"/>
              <w:rPr>
                <w:sz w:val="20"/>
                <w:szCs w:val="20"/>
                <w:color w:val="auto"/>
              </w:rPr>
            </w:pPr>
          </w:p>
        </w:tc>
        <w:tc>
          <w:tcPr>
            <w:tcW w:w="120" w:type="dxa"/>
            <w:vAlign w:val="bottom"/>
            <w:tcBorders>
              <w:bottom w:val="single" w:sz="8" w:color="1E1E1E"/>
            </w:tcBorders>
            <w:gridSpan w:val="2"/>
            <w:shd w:val="clear" w:color="auto" w:fill="E2E2E2"/>
          </w:tcPr>
          <w:p>
            <w:pPr>
              <w:jc w:val="right"/>
              <w:spacing w:after="0" w:line="223" w:lineRule="exact"/>
              <w:rPr>
                <w:sz w:val="20"/>
                <w:szCs w:val="20"/>
                <w:color w:val="auto"/>
              </w:rPr>
            </w:pPr>
            <w:r>
              <w:rPr>
                <w:rFonts w:ascii="Times New Roman" w:cs="Times New Roman" w:eastAsia="Times New Roman" w:hAnsi="Times New Roman"/>
                <w:sz w:val="20"/>
                <w:szCs w:val="20"/>
                <w:color w:val="1E1E1E"/>
                <w:w w:val="99"/>
              </w:rPr>
              <w:t>$</w:t>
            </w:r>
          </w:p>
        </w:tc>
        <w:tc>
          <w:tcPr>
            <w:tcW w:w="880" w:type="dxa"/>
            <w:vAlign w:val="bottom"/>
            <w:tcBorders>
              <w:bottom w:val="single" w:sz="8" w:color="1E1E1E"/>
            </w:tcBorders>
            <w:shd w:val="clear" w:color="auto" w:fill="E2E2E2"/>
          </w:tcPr>
          <w:p>
            <w:pPr>
              <w:jc w:val="right"/>
              <w:spacing w:after="0" w:line="223" w:lineRule="exact"/>
              <w:rPr>
                <w:sz w:val="20"/>
                <w:szCs w:val="20"/>
                <w:color w:val="auto"/>
              </w:rPr>
            </w:pPr>
            <w:r>
              <w:rPr>
                <w:rFonts w:ascii="Times New Roman" w:cs="Times New Roman" w:eastAsia="Times New Roman" w:hAnsi="Times New Roman"/>
                <w:sz w:val="20"/>
                <w:szCs w:val="20"/>
                <w:color w:val="1E1E1E"/>
              </w:rPr>
              <w:t>108,009</w:t>
            </w:r>
          </w:p>
        </w:tc>
        <w:tc>
          <w:tcPr>
            <w:tcW w:w="40" w:type="dxa"/>
            <w:vAlign w:val="bottom"/>
            <w:shd w:val="clear" w:color="auto" w:fill="E2E2E2"/>
          </w:tcPr>
          <w:p>
            <w:pPr>
              <w:spacing w:after="0"/>
              <w:rPr>
                <w:sz w:val="20"/>
                <w:szCs w:val="20"/>
                <w:color w:val="auto"/>
              </w:rPr>
            </w:pPr>
          </w:p>
        </w:tc>
        <w:tc>
          <w:tcPr>
            <w:tcW w:w="20" w:type="dxa"/>
            <w:vAlign w:val="bottom"/>
            <w:tcBorders>
              <w:bottom w:val="single" w:sz="8" w:color="1E1E1E"/>
            </w:tcBorders>
            <w:shd w:val="clear" w:color="auto" w:fill="E2E2E2"/>
          </w:tcPr>
          <w:p>
            <w:pPr>
              <w:spacing w:after="0"/>
              <w:rPr>
                <w:sz w:val="20"/>
                <w:szCs w:val="20"/>
                <w:color w:val="auto"/>
              </w:rPr>
            </w:pPr>
          </w:p>
        </w:tc>
        <w:tc>
          <w:tcPr>
            <w:tcW w:w="140" w:type="dxa"/>
            <w:vAlign w:val="bottom"/>
            <w:tcBorders>
              <w:bottom w:val="single" w:sz="8" w:color="1E1E1E"/>
            </w:tcBorders>
            <w:shd w:val="clear" w:color="auto" w:fill="E2E2E2"/>
          </w:tcPr>
          <w:p>
            <w:pPr>
              <w:jc w:val="right"/>
              <w:spacing w:after="0" w:line="223" w:lineRule="exact"/>
              <w:rPr>
                <w:sz w:val="20"/>
                <w:szCs w:val="20"/>
                <w:color w:val="auto"/>
              </w:rPr>
            </w:pPr>
            <w:r>
              <w:rPr>
                <w:rFonts w:ascii="Times New Roman" w:cs="Times New Roman" w:eastAsia="Times New Roman" w:hAnsi="Times New Roman"/>
                <w:sz w:val="20"/>
                <w:szCs w:val="20"/>
                <w:color w:val="1E1E1E"/>
                <w:w w:val="79"/>
              </w:rPr>
              <w:t>$</w:t>
            </w:r>
          </w:p>
        </w:tc>
        <w:tc>
          <w:tcPr>
            <w:tcW w:w="720" w:type="dxa"/>
            <w:vAlign w:val="bottom"/>
            <w:tcBorders>
              <w:bottom w:val="single" w:sz="8" w:color="1E1E1E"/>
            </w:tcBorders>
            <w:shd w:val="clear" w:color="auto" w:fill="E2E2E2"/>
          </w:tcPr>
          <w:p>
            <w:pPr>
              <w:jc w:val="right"/>
              <w:spacing w:after="0" w:line="223" w:lineRule="exact"/>
              <w:rPr>
                <w:sz w:val="20"/>
                <w:szCs w:val="20"/>
                <w:color w:val="auto"/>
              </w:rPr>
            </w:pPr>
            <w:r>
              <w:rPr>
                <w:rFonts w:ascii="Times New Roman" w:cs="Times New Roman" w:eastAsia="Times New Roman" w:hAnsi="Times New Roman"/>
                <w:sz w:val="20"/>
                <w:szCs w:val="20"/>
                <w:color w:val="1E1E1E"/>
              </w:rPr>
              <w:t>(2,332)</w:t>
            </w:r>
          </w:p>
        </w:tc>
        <w:tc>
          <w:tcPr>
            <w:tcW w:w="40" w:type="dxa"/>
            <w:vAlign w:val="bottom"/>
            <w:shd w:val="clear" w:color="auto" w:fill="E2E2E2"/>
          </w:tcPr>
          <w:p>
            <w:pPr>
              <w:spacing w:after="0"/>
              <w:rPr>
                <w:sz w:val="20"/>
                <w:szCs w:val="20"/>
                <w:color w:val="auto"/>
              </w:rPr>
            </w:pPr>
          </w:p>
        </w:tc>
        <w:tc>
          <w:tcPr>
            <w:tcW w:w="20" w:type="dxa"/>
            <w:vAlign w:val="bottom"/>
            <w:tcBorders>
              <w:bottom w:val="single" w:sz="8" w:color="1E1E1E"/>
            </w:tcBorders>
            <w:shd w:val="clear" w:color="auto" w:fill="E2E2E2"/>
          </w:tcPr>
          <w:p>
            <w:pPr>
              <w:spacing w:after="0"/>
              <w:rPr>
                <w:sz w:val="20"/>
                <w:szCs w:val="20"/>
                <w:color w:val="auto"/>
              </w:rPr>
            </w:pPr>
          </w:p>
        </w:tc>
        <w:tc>
          <w:tcPr>
            <w:tcW w:w="140" w:type="dxa"/>
            <w:vAlign w:val="bottom"/>
            <w:tcBorders>
              <w:bottom w:val="single" w:sz="8" w:color="1E1E1E"/>
            </w:tcBorders>
            <w:shd w:val="clear" w:color="auto" w:fill="E2E2E2"/>
          </w:tcPr>
          <w:p>
            <w:pPr>
              <w:jc w:val="right"/>
              <w:spacing w:after="0" w:line="223" w:lineRule="exact"/>
              <w:rPr>
                <w:sz w:val="20"/>
                <w:szCs w:val="20"/>
                <w:color w:val="auto"/>
              </w:rPr>
            </w:pPr>
            <w:r>
              <w:rPr>
                <w:rFonts w:ascii="Times New Roman" w:cs="Times New Roman" w:eastAsia="Times New Roman" w:hAnsi="Times New Roman"/>
                <w:sz w:val="20"/>
                <w:szCs w:val="20"/>
                <w:color w:val="1E1E1E"/>
                <w:w w:val="79"/>
                <w:shd w:val="clear" w:color="auto" w:fill="E2E2E2"/>
              </w:rPr>
              <w:t>$</w:t>
            </w:r>
          </w:p>
        </w:tc>
        <w:tc>
          <w:tcPr>
            <w:tcW w:w="840" w:type="dxa"/>
            <w:vAlign w:val="bottom"/>
            <w:tcBorders>
              <w:bottom w:val="single" w:sz="8" w:color="1E1E1E"/>
            </w:tcBorders>
            <w:shd w:val="clear" w:color="auto" w:fill="E2E2E2"/>
          </w:tcPr>
          <w:p>
            <w:pPr>
              <w:jc w:val="right"/>
              <w:spacing w:after="0" w:line="223" w:lineRule="exact"/>
              <w:rPr>
                <w:sz w:val="20"/>
                <w:szCs w:val="20"/>
                <w:color w:val="auto"/>
              </w:rPr>
            </w:pPr>
            <w:r>
              <w:rPr>
                <w:rFonts w:ascii="Times New Roman" w:cs="Times New Roman" w:eastAsia="Times New Roman" w:hAnsi="Times New Roman"/>
                <w:sz w:val="20"/>
                <w:szCs w:val="20"/>
                <w:color w:val="1E1E1E"/>
                <w:shd w:val="clear" w:color="auto" w:fill="E2E2E2"/>
              </w:rPr>
              <w:t>77,721</w:t>
            </w:r>
          </w:p>
        </w:tc>
        <w:tc>
          <w:tcPr>
            <w:tcW w:w="40" w:type="dxa"/>
            <w:vAlign w:val="bottom"/>
            <w:shd w:val="clear" w:color="auto" w:fill="E2E2E2"/>
          </w:tcPr>
          <w:p>
            <w:pPr>
              <w:spacing w:after="0"/>
              <w:rPr>
                <w:sz w:val="20"/>
                <w:szCs w:val="20"/>
                <w:color w:val="auto"/>
              </w:rPr>
            </w:pPr>
          </w:p>
        </w:tc>
        <w:tc>
          <w:tcPr>
            <w:tcW w:w="20" w:type="dxa"/>
            <w:vAlign w:val="bottom"/>
            <w:tcBorders>
              <w:bottom w:val="single" w:sz="8" w:color="1E1E1E"/>
            </w:tcBorders>
            <w:shd w:val="clear" w:color="auto" w:fill="E2E2E2"/>
          </w:tcPr>
          <w:p>
            <w:pPr>
              <w:spacing w:after="0"/>
              <w:rPr>
                <w:sz w:val="20"/>
                <w:szCs w:val="20"/>
                <w:color w:val="auto"/>
              </w:rPr>
            </w:pPr>
          </w:p>
        </w:tc>
        <w:tc>
          <w:tcPr>
            <w:tcW w:w="220" w:type="dxa"/>
            <w:vAlign w:val="bottom"/>
            <w:tcBorders>
              <w:bottom w:val="single" w:sz="8" w:color="1E1E1E"/>
            </w:tcBorders>
            <w:shd w:val="clear" w:color="auto" w:fill="E2E2E2"/>
          </w:tcPr>
          <w:p>
            <w:pPr>
              <w:spacing w:after="0" w:line="223" w:lineRule="exact"/>
              <w:rPr>
                <w:sz w:val="20"/>
                <w:szCs w:val="20"/>
                <w:color w:val="auto"/>
              </w:rPr>
            </w:pPr>
            <w:r>
              <w:rPr>
                <w:rFonts w:ascii="Times New Roman" w:cs="Times New Roman" w:eastAsia="Times New Roman" w:hAnsi="Times New Roman"/>
                <w:sz w:val="20"/>
                <w:szCs w:val="20"/>
                <w:color w:val="1E1E1E"/>
              </w:rPr>
              <w:t>$</w:t>
            </w:r>
          </w:p>
        </w:tc>
        <w:tc>
          <w:tcPr>
            <w:tcW w:w="800" w:type="dxa"/>
            <w:vAlign w:val="bottom"/>
            <w:tcBorders>
              <w:bottom w:val="single" w:sz="8" w:color="1E1E1E"/>
            </w:tcBorders>
            <w:shd w:val="clear" w:color="auto" w:fill="E2E2E2"/>
          </w:tcPr>
          <w:p>
            <w:pPr>
              <w:jc w:val="right"/>
              <w:spacing w:after="0" w:line="223" w:lineRule="exact"/>
              <w:rPr>
                <w:sz w:val="20"/>
                <w:szCs w:val="20"/>
                <w:color w:val="auto"/>
              </w:rPr>
            </w:pPr>
            <w:r>
              <w:rPr>
                <w:rFonts w:ascii="Times New Roman" w:cs="Times New Roman" w:eastAsia="Times New Roman" w:hAnsi="Times New Roman"/>
                <w:sz w:val="20"/>
                <w:szCs w:val="20"/>
                <w:color w:val="1E1E1E"/>
              </w:rPr>
              <w:t>(722)</w:t>
            </w:r>
          </w:p>
        </w:tc>
        <w:tc>
          <w:tcPr>
            <w:tcW w:w="40" w:type="dxa"/>
            <w:vAlign w:val="bottom"/>
            <w:shd w:val="clear" w:color="auto" w:fill="E2E2E2"/>
          </w:tcPr>
          <w:p>
            <w:pPr>
              <w:spacing w:after="0"/>
              <w:rPr>
                <w:sz w:val="20"/>
                <w:szCs w:val="20"/>
                <w:color w:val="auto"/>
              </w:rPr>
            </w:pPr>
          </w:p>
        </w:tc>
        <w:tc>
          <w:tcPr>
            <w:tcW w:w="180" w:type="dxa"/>
            <w:vAlign w:val="bottom"/>
            <w:tcBorders>
              <w:bottom w:val="single" w:sz="8" w:color="1E1E1E"/>
            </w:tcBorders>
            <w:gridSpan w:val="2"/>
            <w:shd w:val="clear" w:color="auto" w:fill="E2E2E2"/>
          </w:tcPr>
          <w:p>
            <w:pPr>
              <w:jc w:val="right"/>
              <w:spacing w:after="0" w:line="223" w:lineRule="exact"/>
              <w:rPr>
                <w:sz w:val="20"/>
                <w:szCs w:val="20"/>
                <w:color w:val="auto"/>
              </w:rPr>
            </w:pPr>
            <w:r>
              <w:rPr>
                <w:rFonts w:ascii="Times New Roman" w:cs="Times New Roman" w:eastAsia="Times New Roman" w:hAnsi="Times New Roman"/>
                <w:sz w:val="20"/>
                <w:szCs w:val="20"/>
                <w:color w:val="1E1E1E"/>
                <w:w w:val="99"/>
              </w:rPr>
              <w:t>$</w:t>
            </w:r>
          </w:p>
        </w:tc>
        <w:tc>
          <w:tcPr>
            <w:tcW w:w="960" w:type="dxa"/>
            <w:vAlign w:val="bottom"/>
            <w:tcBorders>
              <w:bottom w:val="single" w:sz="8" w:color="1E1E1E"/>
            </w:tcBorders>
            <w:shd w:val="clear" w:color="auto" w:fill="E2E2E2"/>
          </w:tcPr>
          <w:p>
            <w:pPr>
              <w:jc w:val="right"/>
              <w:spacing w:after="0" w:line="223" w:lineRule="exact"/>
              <w:rPr>
                <w:sz w:val="20"/>
                <w:szCs w:val="20"/>
                <w:color w:val="auto"/>
              </w:rPr>
            </w:pPr>
            <w:r>
              <w:rPr>
                <w:rFonts w:ascii="Times New Roman" w:cs="Times New Roman" w:eastAsia="Times New Roman" w:hAnsi="Times New Roman"/>
                <w:sz w:val="20"/>
                <w:szCs w:val="20"/>
                <w:color w:val="1E1E1E"/>
              </w:rPr>
              <w:t>(2,997)</w:t>
            </w:r>
          </w:p>
        </w:tc>
        <w:tc>
          <w:tcPr>
            <w:tcW w:w="40" w:type="dxa"/>
            <w:vAlign w:val="bottom"/>
            <w:shd w:val="clear" w:color="auto" w:fill="E2E2E2"/>
          </w:tcPr>
          <w:p>
            <w:pPr>
              <w:spacing w:after="0"/>
              <w:rPr>
                <w:sz w:val="20"/>
                <w:szCs w:val="20"/>
                <w:color w:val="auto"/>
              </w:rPr>
            </w:pPr>
          </w:p>
        </w:tc>
        <w:tc>
          <w:tcPr>
            <w:tcW w:w="180" w:type="dxa"/>
            <w:vAlign w:val="bottom"/>
            <w:tcBorders>
              <w:bottom w:val="single" w:sz="8" w:color="1E1E1E"/>
            </w:tcBorders>
            <w:shd w:val="clear" w:color="auto" w:fill="E2E2E2"/>
          </w:tcPr>
          <w:p>
            <w:pPr>
              <w:jc w:val="right"/>
              <w:spacing w:after="0" w:line="223" w:lineRule="exact"/>
              <w:rPr>
                <w:sz w:val="20"/>
                <w:szCs w:val="20"/>
                <w:color w:val="auto"/>
              </w:rPr>
            </w:pPr>
            <w:r>
              <w:rPr>
                <w:rFonts w:ascii="Times New Roman" w:cs="Times New Roman" w:eastAsia="Times New Roman" w:hAnsi="Times New Roman"/>
                <w:sz w:val="20"/>
                <w:szCs w:val="20"/>
                <w:color w:val="1E1E1E"/>
                <w:w w:val="79"/>
                <w:shd w:val="clear" w:color="auto" w:fill="E2E2E2"/>
              </w:rPr>
              <w:t>$</w:t>
            </w:r>
          </w:p>
        </w:tc>
        <w:tc>
          <w:tcPr>
            <w:tcW w:w="800" w:type="dxa"/>
            <w:vAlign w:val="bottom"/>
            <w:tcBorders>
              <w:bottom w:val="single" w:sz="8" w:color="1E1E1E"/>
            </w:tcBorders>
            <w:shd w:val="clear" w:color="auto" w:fill="E2E2E2"/>
          </w:tcPr>
          <w:p>
            <w:pPr>
              <w:jc w:val="right"/>
              <w:spacing w:after="0" w:line="223" w:lineRule="exact"/>
              <w:rPr>
                <w:sz w:val="20"/>
                <w:szCs w:val="20"/>
                <w:color w:val="auto"/>
              </w:rPr>
            </w:pPr>
            <w:r>
              <w:rPr>
                <w:rFonts w:ascii="Times New Roman" w:cs="Times New Roman" w:eastAsia="Times New Roman" w:hAnsi="Times New Roman"/>
                <w:sz w:val="20"/>
                <w:szCs w:val="20"/>
                <w:color w:val="1E1E1E"/>
                <w:shd w:val="clear" w:color="auto" w:fill="E2E2E2"/>
              </w:rPr>
              <w:t>179,679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2513330</wp:posOffset>
            </wp:positionH>
            <wp:positionV relativeFrom="paragraph">
              <wp:posOffset>-3391535</wp:posOffset>
            </wp:positionV>
            <wp:extent cx="36830" cy="4763"/>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830" cy="4763"/>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-3391535</wp:posOffset>
            </wp:positionV>
            <wp:extent cx="33655" cy="4763"/>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763"/>
                    </a:xfrm>
                    <a:prstGeom prst="rect">
                      <a:avLst/>
                    </a:prstGeom>
                    <a:noFill/>
                  </pic:spPr>
                </pic:pic>
              </a:graphicData>
            </a:graphic>
          </wp:anchor>
        </w:drawing>
        <w:drawing>
          <wp:anchor simplePos="0" relativeHeight="251657728" behindDoc="1" locked="0" layoutInCell="0" allowOverlap="1">
            <wp:simplePos x="0" y="0"/>
            <wp:positionH relativeFrom="column">
              <wp:posOffset>3763010</wp:posOffset>
            </wp:positionH>
            <wp:positionV relativeFrom="paragraph">
              <wp:posOffset>-3391535</wp:posOffset>
            </wp:positionV>
            <wp:extent cx="33655" cy="4763"/>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763"/>
                    </a:xfrm>
                    <a:prstGeom prst="rect">
                      <a:avLst/>
                    </a:prstGeom>
                    <a:noFill/>
                  </pic:spPr>
                </pic:pic>
              </a:graphicData>
            </a:graphic>
          </wp:anchor>
        </w:drawing>
        <w:drawing>
          <wp:anchor simplePos="0" relativeHeight="251657728" behindDoc="1" locked="0" layoutInCell="0" allowOverlap="1">
            <wp:simplePos x="0" y="0"/>
            <wp:positionH relativeFrom="column">
              <wp:posOffset>5107305</wp:posOffset>
            </wp:positionH>
            <wp:positionV relativeFrom="paragraph">
              <wp:posOffset>-3391535</wp:posOffset>
            </wp:positionV>
            <wp:extent cx="33655" cy="4763"/>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763"/>
                    </a:xfrm>
                    <a:prstGeom prst="rect">
                      <a:avLst/>
                    </a:prstGeom>
                    <a:noFill/>
                  </pic:spPr>
                </pic:pic>
              </a:graphicData>
            </a:graphic>
          </wp:anchor>
        </w:drawing>
        <w:drawing>
          <wp:anchor simplePos="0" relativeHeight="251657728" behindDoc="1" locked="0" layoutInCell="0" allowOverlap="1">
            <wp:simplePos x="0" y="0"/>
            <wp:positionH relativeFrom="column">
              <wp:posOffset>2023110</wp:posOffset>
            </wp:positionH>
            <wp:positionV relativeFrom="paragraph">
              <wp:posOffset>-1773555</wp:posOffset>
            </wp:positionV>
            <wp:extent cx="33655" cy="4763"/>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763"/>
                    </a:xfrm>
                    <a:prstGeom prst="rect">
                      <a:avLst/>
                    </a:prstGeom>
                    <a:noFill/>
                  </pic:spPr>
                </pic:pic>
              </a:graphicData>
            </a:graphic>
          </wp:anchor>
        </w:drawing>
        <w:drawing>
          <wp:anchor simplePos="0" relativeHeight="251657728" behindDoc="1" locked="0" layoutInCell="0" allowOverlap="1">
            <wp:simplePos x="0" y="0"/>
            <wp:positionH relativeFrom="column">
              <wp:posOffset>2513330</wp:posOffset>
            </wp:positionH>
            <wp:positionV relativeFrom="paragraph">
              <wp:posOffset>-1773555</wp:posOffset>
            </wp:positionV>
            <wp:extent cx="36830" cy="4763"/>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830" cy="4763"/>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-1773555</wp:posOffset>
            </wp:positionV>
            <wp:extent cx="33655" cy="4763"/>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763"/>
                    </a:xfrm>
                    <a:prstGeom prst="rect">
                      <a:avLst/>
                    </a:prstGeom>
                    <a:noFill/>
                  </pic:spPr>
                </pic:pic>
              </a:graphicData>
            </a:graphic>
          </wp:anchor>
        </w:drawing>
        <w:drawing>
          <wp:anchor simplePos="0" relativeHeight="251657728" behindDoc="1" locked="0" layoutInCell="0" allowOverlap="1">
            <wp:simplePos x="0" y="0"/>
            <wp:positionH relativeFrom="column">
              <wp:posOffset>3763010</wp:posOffset>
            </wp:positionH>
            <wp:positionV relativeFrom="paragraph">
              <wp:posOffset>-1773555</wp:posOffset>
            </wp:positionV>
            <wp:extent cx="33655" cy="4763"/>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763"/>
                    </a:xfrm>
                    <a:prstGeom prst="rect">
                      <a:avLst/>
                    </a:prstGeom>
                    <a:noFill/>
                  </pic:spPr>
                </pic:pic>
              </a:graphicData>
            </a:graphic>
          </wp:anchor>
        </w:drawing>
        <w:drawing>
          <wp:anchor simplePos="0" relativeHeight="251657728" behindDoc="1" locked="0" layoutInCell="0" allowOverlap="1">
            <wp:simplePos x="0" y="0"/>
            <wp:positionH relativeFrom="column">
              <wp:posOffset>5107305</wp:posOffset>
            </wp:positionH>
            <wp:positionV relativeFrom="paragraph">
              <wp:posOffset>-1773555</wp:posOffset>
            </wp:positionV>
            <wp:extent cx="33655" cy="4763"/>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763"/>
                    </a:xfrm>
                    <a:prstGeom prst="rect">
                      <a:avLst/>
                    </a:prstGeom>
                    <a:noFill/>
                  </pic:spPr>
                </pic:pic>
              </a:graphicData>
            </a:graphic>
          </wp:anchor>
        </w:drawing>
        <w:drawing>
          <wp:anchor simplePos="0" relativeHeight="251657728" behindDoc="1" locked="0" layoutInCell="0" allowOverlap="1">
            <wp:simplePos x="0" y="0"/>
            <wp:positionH relativeFrom="column">
              <wp:posOffset>2023110</wp:posOffset>
            </wp:positionH>
            <wp:positionV relativeFrom="paragraph">
              <wp:posOffset>-173355</wp:posOffset>
            </wp:positionV>
            <wp:extent cx="33655" cy="4763"/>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763"/>
                    </a:xfrm>
                    <a:prstGeom prst="rect">
                      <a:avLst/>
                    </a:prstGeom>
                    <a:noFill/>
                  </pic:spPr>
                </pic:pic>
              </a:graphicData>
            </a:graphic>
          </wp:anchor>
        </w:drawing>
        <w:drawing>
          <wp:anchor simplePos="0" relativeHeight="251657728" behindDoc="1" locked="0" layoutInCell="0" allowOverlap="1">
            <wp:simplePos x="0" y="0"/>
            <wp:positionH relativeFrom="column">
              <wp:posOffset>2513330</wp:posOffset>
            </wp:positionH>
            <wp:positionV relativeFrom="paragraph">
              <wp:posOffset>-173355</wp:posOffset>
            </wp:positionV>
            <wp:extent cx="36830" cy="4763"/>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830" cy="4763"/>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-173355</wp:posOffset>
            </wp:positionV>
            <wp:extent cx="33655" cy="4763"/>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763"/>
                    </a:xfrm>
                    <a:prstGeom prst="rect">
                      <a:avLst/>
                    </a:prstGeom>
                    <a:noFill/>
                  </pic:spPr>
                </pic:pic>
              </a:graphicData>
            </a:graphic>
          </wp:anchor>
        </w:drawing>
        <w:drawing>
          <wp:anchor simplePos="0" relativeHeight="251657728" behindDoc="1" locked="0" layoutInCell="0" allowOverlap="1">
            <wp:simplePos x="0" y="0"/>
            <wp:positionH relativeFrom="column">
              <wp:posOffset>3763010</wp:posOffset>
            </wp:positionH>
            <wp:positionV relativeFrom="paragraph">
              <wp:posOffset>-173355</wp:posOffset>
            </wp:positionV>
            <wp:extent cx="33655" cy="4763"/>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763"/>
                    </a:xfrm>
                    <a:prstGeom prst="rect">
                      <a:avLst/>
                    </a:prstGeom>
                    <a:noFill/>
                  </pic:spPr>
                </pic:pic>
              </a:graphicData>
            </a:graphic>
          </wp:anchor>
        </w:drawing>
        <w:drawing>
          <wp:anchor simplePos="0" relativeHeight="251657728" behindDoc="1" locked="0" layoutInCell="0" allowOverlap="1">
            <wp:simplePos x="0" y="0"/>
            <wp:positionH relativeFrom="column">
              <wp:posOffset>5107305</wp:posOffset>
            </wp:positionH>
            <wp:positionV relativeFrom="paragraph">
              <wp:posOffset>-173355</wp:posOffset>
            </wp:positionV>
            <wp:extent cx="33655" cy="4763"/>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763"/>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The accompanying notes are an integral part of these consolidated financial statements.</w:t>
      </w:r>
    </w:p>
    <w:p>
      <w:pPr>
        <w:sectPr>
          <w:pgSz w:w="11880" w:h="15480" w:orient="portrait"/>
          <w:cols w:equalWidth="0" w:num="1">
            <w:col w:w="10240"/>
          </w:cols>
          <w:pgMar w:left="820" w:top="87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43</w:t>
      </w:r>
    </w:p>
    <w:p>
      <w:pPr>
        <w:sectPr>
          <w:pgSz w:w="11880" w:h="15480" w:orient="portrait"/>
          <w:cols w:equalWidth="0" w:num="1">
            <w:col w:w="10240"/>
          </w:cols>
          <w:pgMar w:left="820" w:top="874" w:right="820" w:bottom="0" w:gutter="0" w:footer="0" w:header="0"/>
          <w:type w:val="continuous"/>
        </w:sectPr>
      </w:pPr>
    </w:p>
    <w:bookmarkStart w:id="49" w:name="page50"/>
    <w:bookmarkEnd w:id="49"/>
    <w:p>
      <w:pPr>
        <w:jc w:val="center"/>
        <w:spacing w:after="0"/>
        <w:rPr>
          <w:sz w:val="20"/>
          <w:szCs w:val="20"/>
          <w:color w:val="auto"/>
        </w:rPr>
      </w:pPr>
      <w:r>
        <w:rPr>
          <w:rFonts w:ascii="Times New Roman" w:cs="Times New Roman" w:eastAsia="Times New Roman" w:hAnsi="Times New Roman"/>
          <w:sz w:val="20"/>
          <w:szCs w:val="20"/>
          <w:b w:val="1"/>
          <w:bCs w:val="1"/>
          <w:color w:val="1E1E1E"/>
        </w:rPr>
        <w:t>DULUTH HOLDINGS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1E1E1E"/>
        </w:rPr>
        <w:t>(Amounts 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3500" w:type="dxa"/>
            <w:vAlign w:val="bottom"/>
            <w:tcBorders>
              <w:bottom w:val="single" w:sz="8" w:color="1E1E1E"/>
            </w:tcBorders>
            <w:gridSpan w:val="4"/>
          </w:tcPr>
          <w:p>
            <w:pPr>
              <w:jc w:val="right"/>
              <w:ind w:right="1120"/>
              <w:spacing w:after="0"/>
              <w:rPr>
                <w:sz w:val="20"/>
                <w:szCs w:val="20"/>
                <w:color w:val="auto"/>
              </w:rPr>
            </w:pPr>
            <w:r>
              <w:rPr>
                <w:rFonts w:ascii="Times New Roman" w:cs="Times New Roman" w:eastAsia="Times New Roman" w:hAnsi="Times New Roman"/>
                <w:sz w:val="16"/>
                <w:szCs w:val="16"/>
                <w:b w:val="1"/>
                <w:bCs w:val="1"/>
                <w:color w:val="1E1E1E"/>
              </w:rPr>
              <w:t>Fiscal Year Ended</w:t>
            </w:r>
          </w:p>
        </w:tc>
      </w:tr>
      <w:tr>
        <w:trPr>
          <w:trHeight w:val="206"/>
        </w:trPr>
        <w:tc>
          <w:tcPr>
            <w:tcW w:w="6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1E1E1E"/>
              </w:rPr>
              <w:t>February 2, 2025</w:t>
            </w:r>
          </w:p>
        </w:tc>
        <w:tc>
          <w:tcPr>
            <w:tcW w:w="200" w:type="dxa"/>
            <w:vAlign w:val="bottom"/>
          </w:tcPr>
          <w:p>
            <w:pPr>
              <w:spacing w:after="0"/>
              <w:rPr>
                <w:sz w:val="17"/>
                <w:szCs w:val="17"/>
                <w:color w:val="auto"/>
              </w:rPr>
            </w:pPr>
          </w:p>
        </w:tc>
        <w:tc>
          <w:tcPr>
            <w:tcW w:w="154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1E1E1E"/>
              </w:rPr>
              <w:t>January 28, 2024</w:t>
            </w:r>
          </w:p>
        </w:tc>
      </w:tr>
      <w:tr>
        <w:trPr>
          <w:trHeight w:val="234"/>
        </w:trPr>
        <w:tc>
          <w:tcPr>
            <w:tcW w:w="6340" w:type="dxa"/>
            <w:vAlign w:val="bottom"/>
            <w:tcBorders>
              <w:top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1E1E1E"/>
              </w:rPr>
              <w:t>Cash flows from operating activities:</w:t>
            </w:r>
          </w:p>
        </w:tc>
        <w:tc>
          <w:tcPr>
            <w:tcW w:w="200" w:type="dxa"/>
            <w:vAlign w:val="bottom"/>
            <w:tcBorders>
              <w:top w:val="single" w:sz="8" w:color="E2E2E2"/>
            </w:tcBorders>
            <w:shd w:val="clear" w:color="auto" w:fill="E2E2E2"/>
          </w:tcPr>
          <w:p>
            <w:pPr>
              <w:spacing w:after="0"/>
              <w:rPr>
                <w:sz w:val="20"/>
                <w:szCs w:val="20"/>
                <w:color w:val="auto"/>
              </w:rPr>
            </w:pPr>
          </w:p>
        </w:tc>
        <w:tc>
          <w:tcPr>
            <w:tcW w:w="200" w:type="dxa"/>
            <w:vAlign w:val="bottom"/>
            <w:tcBorders>
              <w:top w:val="single" w:sz="8" w:color="1E1E1E"/>
            </w:tcBorders>
            <w:shd w:val="clear" w:color="auto" w:fill="E2E2E2"/>
          </w:tcPr>
          <w:p>
            <w:pPr>
              <w:spacing w:after="0"/>
              <w:rPr>
                <w:sz w:val="20"/>
                <w:szCs w:val="20"/>
                <w:color w:val="auto"/>
              </w:rPr>
            </w:pPr>
          </w:p>
        </w:tc>
        <w:tc>
          <w:tcPr>
            <w:tcW w:w="1540" w:type="dxa"/>
            <w:vAlign w:val="bottom"/>
            <w:tcBorders>
              <w:top w:val="single" w:sz="8" w:color="1E1E1E"/>
            </w:tcBorders>
            <w:shd w:val="clear" w:color="auto" w:fill="E2E2E2"/>
          </w:tcPr>
          <w:p>
            <w:pPr>
              <w:spacing w:after="0"/>
              <w:rPr>
                <w:sz w:val="20"/>
                <w:szCs w:val="20"/>
                <w:color w:val="auto"/>
              </w:rPr>
            </w:pPr>
          </w:p>
        </w:tc>
        <w:tc>
          <w:tcPr>
            <w:tcW w:w="220" w:type="dxa"/>
            <w:vAlign w:val="bottom"/>
            <w:tcBorders>
              <w:top w:val="single" w:sz="8" w:color="E2E2E2"/>
            </w:tcBorders>
            <w:shd w:val="clear" w:color="auto" w:fill="E2E2E2"/>
          </w:tcPr>
          <w:p>
            <w:pPr>
              <w:spacing w:after="0"/>
              <w:rPr>
                <w:sz w:val="20"/>
                <w:szCs w:val="20"/>
                <w:color w:val="auto"/>
              </w:rPr>
            </w:pPr>
          </w:p>
        </w:tc>
        <w:tc>
          <w:tcPr>
            <w:tcW w:w="200" w:type="dxa"/>
            <w:vAlign w:val="bottom"/>
            <w:tcBorders>
              <w:top w:val="single" w:sz="8" w:color="1E1E1E"/>
            </w:tcBorders>
            <w:shd w:val="clear" w:color="auto" w:fill="E2E2E2"/>
          </w:tcPr>
          <w:p>
            <w:pPr>
              <w:spacing w:after="0"/>
              <w:rPr>
                <w:sz w:val="20"/>
                <w:szCs w:val="20"/>
                <w:color w:val="auto"/>
              </w:rPr>
            </w:pPr>
          </w:p>
        </w:tc>
        <w:tc>
          <w:tcPr>
            <w:tcW w:w="1540" w:type="dxa"/>
            <w:vAlign w:val="bottom"/>
            <w:tcBorders>
              <w:top w:val="single" w:sz="8" w:color="1E1E1E"/>
            </w:tcBorders>
            <w:shd w:val="clear" w:color="auto" w:fill="E2E2E2"/>
          </w:tcPr>
          <w:p>
            <w:pPr>
              <w:spacing w:after="0"/>
              <w:rPr>
                <w:sz w:val="20"/>
                <w:szCs w:val="20"/>
                <w:color w:val="auto"/>
              </w:rPr>
            </w:pPr>
          </w:p>
        </w:tc>
      </w:tr>
      <w:tr>
        <w:trPr>
          <w:trHeight w:val="24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Net loss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(43,612)</w:t>
            </w:r>
          </w:p>
        </w:tc>
        <w:tc>
          <w:tcPr>
            <w:tcW w:w="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(9,940)</w:t>
            </w:r>
          </w:p>
        </w:tc>
      </w:tr>
      <w:tr>
        <w:trPr>
          <w:trHeight w:val="227"/>
        </w:trPr>
        <w:tc>
          <w:tcPr>
            <w:tcW w:w="6540" w:type="dxa"/>
            <w:vAlign w:val="bottom"/>
            <w:gridSpan w:val="2"/>
            <w:shd w:val="clear" w:color="auto" w:fill="E2E2E2"/>
          </w:tcPr>
          <w:p>
            <w:pPr>
              <w:spacing w:after="0" w:line="228" w:lineRule="exact"/>
              <w:rPr>
                <w:sz w:val="20"/>
                <w:szCs w:val="20"/>
                <w:color w:val="auto"/>
              </w:rPr>
            </w:pPr>
            <w:r>
              <w:rPr>
                <w:rFonts w:ascii="Times New Roman" w:cs="Times New Roman" w:eastAsia="Times New Roman" w:hAnsi="Times New Roman"/>
                <w:sz w:val="20"/>
                <w:szCs w:val="20"/>
                <w:color w:val="1E1E1E"/>
              </w:rPr>
              <w:t>Adjustments to reconcile net income to net cash provided</w:t>
            </w:r>
          </w:p>
        </w:tc>
        <w:tc>
          <w:tcPr>
            <w:tcW w:w="200" w:type="dxa"/>
            <w:vAlign w:val="bottom"/>
            <w:shd w:val="clear" w:color="auto" w:fill="E2E2E2"/>
          </w:tcPr>
          <w:p>
            <w:pPr>
              <w:spacing w:after="0"/>
              <w:rPr>
                <w:sz w:val="19"/>
                <w:szCs w:val="19"/>
                <w:color w:val="auto"/>
              </w:rPr>
            </w:pPr>
          </w:p>
        </w:tc>
        <w:tc>
          <w:tcPr>
            <w:tcW w:w="1540" w:type="dxa"/>
            <w:vAlign w:val="bottom"/>
            <w:shd w:val="clear" w:color="auto" w:fill="E2E2E2"/>
          </w:tcPr>
          <w:p>
            <w:pPr>
              <w:spacing w:after="0"/>
              <w:rPr>
                <w:sz w:val="19"/>
                <w:szCs w:val="19"/>
                <w:color w:val="auto"/>
              </w:rPr>
            </w:pPr>
          </w:p>
        </w:tc>
        <w:tc>
          <w:tcPr>
            <w:tcW w:w="22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1540" w:type="dxa"/>
            <w:vAlign w:val="bottom"/>
            <w:shd w:val="clear" w:color="auto" w:fill="E2E2E2"/>
          </w:tcPr>
          <w:p>
            <w:pPr>
              <w:spacing w:after="0"/>
              <w:rPr>
                <w:sz w:val="19"/>
                <w:szCs w:val="19"/>
                <w:color w:val="auto"/>
              </w:rPr>
            </w:pPr>
          </w:p>
        </w:tc>
      </w:tr>
      <w:tr>
        <w:trPr>
          <w:trHeight w:val="253"/>
        </w:trPr>
        <w:tc>
          <w:tcPr>
            <w:tcW w:w="6340" w:type="dxa"/>
            <w:vAlign w:val="bottom"/>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by operating activities:</w:t>
            </w:r>
          </w:p>
        </w:tc>
        <w:tc>
          <w:tcPr>
            <w:tcW w:w="200" w:type="dxa"/>
            <w:vAlign w:val="bottom"/>
            <w:shd w:val="clear" w:color="auto" w:fill="E2E2E2"/>
          </w:tcPr>
          <w:p>
            <w:pPr>
              <w:spacing w:after="0"/>
              <w:rPr>
                <w:sz w:val="21"/>
                <w:szCs w:val="21"/>
                <w:color w:val="auto"/>
              </w:rPr>
            </w:pPr>
          </w:p>
        </w:tc>
        <w:tc>
          <w:tcPr>
            <w:tcW w:w="200" w:type="dxa"/>
            <w:vAlign w:val="bottom"/>
            <w:shd w:val="clear" w:color="auto" w:fill="E2E2E2"/>
          </w:tcPr>
          <w:p>
            <w:pPr>
              <w:spacing w:after="0"/>
              <w:rPr>
                <w:sz w:val="21"/>
                <w:szCs w:val="21"/>
                <w:color w:val="auto"/>
              </w:rPr>
            </w:pPr>
          </w:p>
        </w:tc>
        <w:tc>
          <w:tcPr>
            <w:tcW w:w="1540" w:type="dxa"/>
            <w:vAlign w:val="bottom"/>
            <w:shd w:val="clear" w:color="auto" w:fill="E2E2E2"/>
          </w:tcPr>
          <w:p>
            <w:pPr>
              <w:spacing w:after="0"/>
              <w:rPr>
                <w:sz w:val="21"/>
                <w:szCs w:val="21"/>
                <w:color w:val="auto"/>
              </w:rPr>
            </w:pPr>
          </w:p>
        </w:tc>
        <w:tc>
          <w:tcPr>
            <w:tcW w:w="220" w:type="dxa"/>
            <w:vAlign w:val="bottom"/>
            <w:shd w:val="clear" w:color="auto" w:fill="E2E2E2"/>
          </w:tcPr>
          <w:p>
            <w:pPr>
              <w:spacing w:after="0"/>
              <w:rPr>
                <w:sz w:val="21"/>
                <w:szCs w:val="21"/>
                <w:color w:val="auto"/>
              </w:rPr>
            </w:pPr>
          </w:p>
        </w:tc>
        <w:tc>
          <w:tcPr>
            <w:tcW w:w="200" w:type="dxa"/>
            <w:vAlign w:val="bottom"/>
            <w:shd w:val="clear" w:color="auto" w:fill="E2E2E2"/>
          </w:tcPr>
          <w:p>
            <w:pPr>
              <w:spacing w:after="0"/>
              <w:rPr>
                <w:sz w:val="21"/>
                <w:szCs w:val="21"/>
                <w:color w:val="auto"/>
              </w:rPr>
            </w:pPr>
          </w:p>
        </w:tc>
        <w:tc>
          <w:tcPr>
            <w:tcW w:w="1540" w:type="dxa"/>
            <w:vAlign w:val="bottom"/>
            <w:shd w:val="clear" w:color="auto" w:fill="E2E2E2"/>
          </w:tcPr>
          <w:p>
            <w:pPr>
              <w:spacing w:after="0"/>
              <w:rPr>
                <w:sz w:val="21"/>
                <w:szCs w:val="21"/>
                <w:color w:val="auto"/>
              </w:rPr>
            </w:pPr>
          </w:p>
        </w:tc>
      </w:tr>
      <w:tr>
        <w:trPr>
          <w:trHeight w:val="24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Depreciation and amortization</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32,282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32,159</w:t>
            </w:r>
          </w:p>
        </w:tc>
      </w:tr>
      <w:tr>
        <w:trPr>
          <w:trHeight w:val="240"/>
        </w:trPr>
        <w:tc>
          <w:tcPr>
            <w:tcW w:w="63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Stock-based compensation</w:t>
            </w:r>
          </w:p>
        </w:tc>
        <w:tc>
          <w:tcPr>
            <w:tcW w:w="20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4,046</w:t>
            </w:r>
          </w:p>
        </w:tc>
        <w:tc>
          <w:tcPr>
            <w:tcW w:w="22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4,195</w:t>
            </w:r>
          </w:p>
        </w:tc>
      </w:tr>
      <w:tr>
        <w:trPr>
          <w:trHeight w:val="24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Deferred income taxes</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1,767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(2,335)</w:t>
            </w:r>
          </w:p>
        </w:tc>
      </w:tr>
      <w:tr>
        <w:trPr>
          <w:trHeight w:val="240"/>
        </w:trPr>
        <w:tc>
          <w:tcPr>
            <w:tcW w:w="63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Loss on disposal of property and equipment</w:t>
            </w:r>
          </w:p>
        </w:tc>
        <w:tc>
          <w:tcPr>
            <w:tcW w:w="20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473</w:t>
            </w:r>
          </w:p>
        </w:tc>
        <w:tc>
          <w:tcPr>
            <w:tcW w:w="22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130</w:t>
            </w:r>
          </w:p>
        </w:tc>
      </w:tr>
      <w:tr>
        <w:trPr>
          <w:trHeight w:val="24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Changes in operating assets and liabilities:</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40"/>
        </w:trPr>
        <w:tc>
          <w:tcPr>
            <w:tcW w:w="634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20"/>
                <w:szCs w:val="20"/>
                <w:color w:val="1E1E1E"/>
              </w:rPr>
              <w:t>Receivables</w:t>
            </w:r>
          </w:p>
        </w:tc>
        <w:tc>
          <w:tcPr>
            <w:tcW w:w="20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1,985</w:t>
            </w:r>
          </w:p>
        </w:tc>
        <w:tc>
          <w:tcPr>
            <w:tcW w:w="22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86</w:t>
            </w:r>
          </w:p>
        </w:tc>
      </w:tr>
      <w:tr>
        <w:trPr>
          <w:trHeight w:val="254"/>
        </w:trPr>
        <w:tc>
          <w:tcPr>
            <w:tcW w:w="6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1E1E1E"/>
              </w:rPr>
              <w:t>Income taxes receivable</w:t>
            </w:r>
          </w:p>
        </w:tc>
        <w:tc>
          <w:tcPr>
            <w:tcW w:w="2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617</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(617)</w:t>
            </w:r>
          </w:p>
        </w:tc>
      </w:tr>
      <w:tr>
        <w:trPr>
          <w:trHeight w:val="240"/>
        </w:trPr>
        <w:tc>
          <w:tcPr>
            <w:tcW w:w="634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20"/>
                <w:szCs w:val="20"/>
                <w:color w:val="1E1E1E"/>
              </w:rPr>
              <w:t>Inventory</w:t>
            </w:r>
          </w:p>
        </w:tc>
        <w:tc>
          <w:tcPr>
            <w:tcW w:w="20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(40,788)</w:t>
            </w:r>
          </w:p>
        </w:tc>
        <w:tc>
          <w:tcPr>
            <w:tcW w:w="22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29,165</w:t>
            </w:r>
          </w:p>
        </w:tc>
      </w:tr>
      <w:tr>
        <w:trPr>
          <w:trHeight w:val="240"/>
        </w:trPr>
        <w:tc>
          <w:tcPr>
            <w:tcW w:w="6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1E1E1E"/>
              </w:rPr>
              <w:t>Prepaid expense &amp; other assets</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1,085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(1,675)</w:t>
            </w:r>
          </w:p>
        </w:tc>
      </w:tr>
      <w:tr>
        <w:trPr>
          <w:trHeight w:val="240"/>
        </w:trPr>
        <w:tc>
          <w:tcPr>
            <w:tcW w:w="634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20"/>
                <w:szCs w:val="20"/>
                <w:color w:val="1E1E1E"/>
              </w:rPr>
              <w:t>Software hosting implementation costs, net</w:t>
            </w:r>
          </w:p>
        </w:tc>
        <w:tc>
          <w:tcPr>
            <w:tcW w:w="20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(3,171)</w:t>
            </w:r>
          </w:p>
        </w:tc>
        <w:tc>
          <w:tcPr>
            <w:tcW w:w="22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(216)</w:t>
            </w:r>
          </w:p>
        </w:tc>
      </w:tr>
      <w:tr>
        <w:trPr>
          <w:trHeight w:val="240"/>
        </w:trPr>
        <w:tc>
          <w:tcPr>
            <w:tcW w:w="6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1E1E1E"/>
              </w:rPr>
              <w:t>Trade accounts payable</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22,863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(5,449)</w:t>
            </w:r>
          </w:p>
        </w:tc>
      </w:tr>
      <w:tr>
        <w:trPr>
          <w:trHeight w:val="240"/>
        </w:trPr>
        <w:tc>
          <w:tcPr>
            <w:tcW w:w="634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20"/>
                <w:szCs w:val="20"/>
                <w:color w:val="1E1E1E"/>
              </w:rPr>
              <w:t>Income taxes payable</w:t>
            </w:r>
          </w:p>
        </w:tc>
        <w:tc>
          <w:tcPr>
            <w:tcW w:w="20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65</w:t>
            </w:r>
          </w:p>
        </w:tc>
        <w:tc>
          <w:tcPr>
            <w:tcW w:w="22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(1,761)</w:t>
            </w:r>
          </w:p>
        </w:tc>
      </w:tr>
      <w:tr>
        <w:trPr>
          <w:trHeight w:val="240"/>
        </w:trPr>
        <w:tc>
          <w:tcPr>
            <w:tcW w:w="6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1E1E1E"/>
              </w:rPr>
              <w:t>Accrued expenses and deferred rent obligations</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2,059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(4,405)</w:t>
            </w:r>
          </w:p>
        </w:tc>
      </w:tr>
      <w:tr>
        <w:trPr>
          <w:trHeight w:val="240"/>
        </w:trPr>
        <w:tc>
          <w:tcPr>
            <w:tcW w:w="634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20"/>
                <w:szCs w:val="20"/>
                <w:color w:val="1E1E1E"/>
              </w:rPr>
              <w:t>Other</w:t>
            </w:r>
          </w:p>
        </w:tc>
        <w:tc>
          <w:tcPr>
            <w:tcW w:w="20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473</w:t>
            </w:r>
          </w:p>
        </w:tc>
        <w:tc>
          <w:tcPr>
            <w:tcW w:w="22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58</w:t>
            </w:r>
          </w:p>
        </w:tc>
      </w:tr>
      <w:tr>
        <w:trPr>
          <w:trHeight w:val="240"/>
        </w:trPr>
        <w:tc>
          <w:tcPr>
            <w:tcW w:w="6540" w:type="dxa"/>
            <w:vAlign w:val="bottom"/>
            <w:tcBorders>
              <w:bottom w:val="single" w:sz="8" w:color="E2E2E2"/>
            </w:tcBorders>
            <w:gridSpan w:val="2"/>
          </w:tcPr>
          <w:p>
            <w:pPr>
              <w:ind w:left="120"/>
              <w:spacing w:after="0"/>
              <w:rPr>
                <w:sz w:val="20"/>
                <w:szCs w:val="20"/>
                <w:color w:val="auto"/>
              </w:rPr>
            </w:pPr>
            <w:r>
              <w:rPr>
                <w:rFonts w:ascii="Times New Roman" w:cs="Times New Roman" w:eastAsia="Times New Roman" w:hAnsi="Times New Roman"/>
                <w:sz w:val="20"/>
                <w:szCs w:val="20"/>
                <w:color w:val="1E1E1E"/>
              </w:rPr>
              <w:t>Noncash lease impacts</w:t>
            </w:r>
          </w:p>
        </w:tc>
        <w:tc>
          <w:tcPr>
            <w:tcW w:w="200" w:type="dxa"/>
            <w:vAlign w:val="bottom"/>
            <w:tcBorders>
              <w:bottom w:val="single" w:sz="8" w:color="1E1E1E"/>
            </w:tcBorders>
          </w:tcPr>
          <w:p>
            <w:pPr>
              <w:spacing w:after="0"/>
              <w:rPr>
                <w:sz w:val="20"/>
                <w:szCs w:val="20"/>
                <w:color w:val="auto"/>
              </w:rPr>
            </w:pPr>
          </w:p>
        </w:tc>
        <w:tc>
          <w:tcPr>
            <w:tcW w:w="15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2,939</w:t>
            </w:r>
          </w:p>
        </w:tc>
        <w:tc>
          <w:tcPr>
            <w:tcW w:w="220" w:type="dxa"/>
            <w:vAlign w:val="bottom"/>
            <w:tcBorders>
              <w:bottom w:val="single" w:sz="8" w:color="E2E2E2"/>
            </w:tcBorders>
          </w:tcPr>
          <w:p>
            <w:pPr>
              <w:spacing w:after="0"/>
              <w:rPr>
                <w:sz w:val="20"/>
                <w:szCs w:val="20"/>
                <w:color w:val="auto"/>
              </w:rPr>
            </w:pPr>
          </w:p>
        </w:tc>
        <w:tc>
          <w:tcPr>
            <w:tcW w:w="200" w:type="dxa"/>
            <w:vAlign w:val="bottom"/>
            <w:tcBorders>
              <w:bottom w:val="single" w:sz="8" w:color="1E1E1E"/>
            </w:tcBorders>
          </w:tcPr>
          <w:p>
            <w:pPr>
              <w:spacing w:after="0"/>
              <w:rPr>
                <w:sz w:val="20"/>
                <w:szCs w:val="20"/>
                <w:color w:val="auto"/>
              </w:rPr>
            </w:pPr>
          </w:p>
        </w:tc>
        <w:tc>
          <w:tcPr>
            <w:tcW w:w="15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(722)</w:t>
            </w:r>
          </w:p>
        </w:tc>
      </w:tr>
      <w:tr>
        <w:trPr>
          <w:trHeight w:val="220"/>
        </w:trPr>
        <w:tc>
          <w:tcPr>
            <w:tcW w:w="6340" w:type="dxa"/>
            <w:vAlign w:val="bottom"/>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1E1E1E"/>
              </w:rPr>
              <w:t>Net cash (used in) provided by operating activities</w:t>
            </w:r>
          </w:p>
        </w:tc>
        <w:tc>
          <w:tcPr>
            <w:tcW w:w="200" w:type="dxa"/>
            <w:vAlign w:val="bottom"/>
            <w:shd w:val="clear" w:color="auto" w:fill="E2E2E2"/>
          </w:tcPr>
          <w:p>
            <w:pPr>
              <w:spacing w:after="0"/>
              <w:rPr>
                <w:sz w:val="19"/>
                <w:szCs w:val="19"/>
                <w:color w:val="auto"/>
              </w:rPr>
            </w:pPr>
          </w:p>
        </w:tc>
        <w:tc>
          <w:tcPr>
            <w:tcW w:w="200" w:type="dxa"/>
            <w:vAlign w:val="bottom"/>
            <w:tcBorders>
              <w:bottom w:val="single" w:sz="8" w:color="1E1E1E"/>
            </w:tcBorders>
            <w:shd w:val="clear" w:color="auto" w:fill="E2E2E2"/>
          </w:tcPr>
          <w:p>
            <w:pPr>
              <w:spacing w:after="0"/>
              <w:rPr>
                <w:sz w:val="19"/>
                <w:szCs w:val="19"/>
                <w:color w:val="auto"/>
              </w:rPr>
            </w:pPr>
          </w:p>
        </w:tc>
        <w:tc>
          <w:tcPr>
            <w:tcW w:w="1540" w:type="dxa"/>
            <w:vAlign w:val="bottom"/>
            <w:tcBorders>
              <w:bottom w:val="single" w:sz="8" w:color="1E1E1E"/>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rPr>
              <w:t>(16,917)</w:t>
            </w:r>
          </w:p>
        </w:tc>
        <w:tc>
          <w:tcPr>
            <w:tcW w:w="220" w:type="dxa"/>
            <w:vAlign w:val="bottom"/>
            <w:shd w:val="clear" w:color="auto" w:fill="E2E2E2"/>
          </w:tcPr>
          <w:p>
            <w:pPr>
              <w:spacing w:after="0"/>
              <w:rPr>
                <w:sz w:val="19"/>
                <w:szCs w:val="19"/>
                <w:color w:val="auto"/>
              </w:rPr>
            </w:pPr>
          </w:p>
        </w:tc>
        <w:tc>
          <w:tcPr>
            <w:tcW w:w="200" w:type="dxa"/>
            <w:vAlign w:val="bottom"/>
            <w:tcBorders>
              <w:bottom w:val="single" w:sz="8" w:color="1E1E1E"/>
            </w:tcBorders>
            <w:shd w:val="clear" w:color="auto" w:fill="E2E2E2"/>
          </w:tcPr>
          <w:p>
            <w:pPr>
              <w:spacing w:after="0"/>
              <w:rPr>
                <w:sz w:val="19"/>
                <w:szCs w:val="19"/>
                <w:color w:val="auto"/>
              </w:rPr>
            </w:pPr>
          </w:p>
        </w:tc>
        <w:tc>
          <w:tcPr>
            <w:tcW w:w="1540" w:type="dxa"/>
            <w:vAlign w:val="bottom"/>
            <w:tcBorders>
              <w:bottom w:val="single" w:sz="8" w:color="1E1E1E"/>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rPr>
              <w:t>38,673</w:t>
            </w:r>
          </w:p>
        </w:tc>
      </w:tr>
      <w:tr>
        <w:trPr>
          <w:trHeight w:val="234"/>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1E1E1E"/>
              </w:rPr>
              <w:t>Cash flows from investing activities:</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40"/>
        </w:trPr>
        <w:tc>
          <w:tcPr>
            <w:tcW w:w="63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Purchases of property and equipment</w:t>
            </w:r>
          </w:p>
        </w:tc>
        <w:tc>
          <w:tcPr>
            <w:tcW w:w="20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(8,329)</w:t>
            </w:r>
          </w:p>
        </w:tc>
        <w:tc>
          <w:tcPr>
            <w:tcW w:w="22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(49,086)</w:t>
            </w:r>
          </w:p>
        </w:tc>
      </w:tr>
      <w:tr>
        <w:trPr>
          <w:trHeight w:val="24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1E1E1E"/>
              </w:rPr>
              <w:t>Principal receipts from available-for-sale security</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181</w:t>
            </w:r>
          </w:p>
        </w:tc>
      </w:tr>
      <w:tr>
        <w:trPr>
          <w:trHeight w:val="240"/>
        </w:trPr>
        <w:tc>
          <w:tcPr>
            <w:tcW w:w="63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Proceeds from disposal of PP&amp;E</w:t>
            </w:r>
          </w:p>
        </w:tc>
        <w:tc>
          <w:tcPr>
            <w:tcW w:w="20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760" w:type="dxa"/>
            <w:vAlign w:val="bottom"/>
            <w:gridSpan w:val="2"/>
            <w:shd w:val="clear" w:color="auto" w:fill="E2E2E2"/>
          </w:tcPr>
          <w:p>
            <w:pPr>
              <w:jc w:val="right"/>
              <w:ind w:right="280"/>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shd w:val="clear" w:color="auto" w:fill="E2E2E2"/>
          </w:tcPr>
          <w:p>
            <w:pPr>
              <w:spacing w:after="0"/>
              <w:rPr>
                <w:sz w:val="20"/>
                <w:szCs w:val="20"/>
                <w:color w:val="auto"/>
              </w:rPr>
            </w:pP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w:t>
            </w:r>
          </w:p>
        </w:tc>
      </w:tr>
      <w:tr>
        <w:trPr>
          <w:trHeight w:val="24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Changes in the TRI Holdings, LLC Consolidation</w:t>
            </w:r>
          </w:p>
        </w:tc>
        <w:tc>
          <w:tcPr>
            <w:tcW w:w="200" w:type="dxa"/>
            <w:vAlign w:val="bottom"/>
          </w:tcPr>
          <w:p>
            <w:pPr>
              <w:spacing w:after="0"/>
              <w:rPr>
                <w:sz w:val="20"/>
                <w:szCs w:val="20"/>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171</w:t>
            </w:r>
          </w:p>
        </w:tc>
      </w:tr>
      <w:tr>
        <w:trPr>
          <w:trHeight w:val="220"/>
        </w:trPr>
        <w:tc>
          <w:tcPr>
            <w:tcW w:w="6340" w:type="dxa"/>
            <w:vAlign w:val="bottom"/>
            <w:tcBorders>
              <w:top w:val="single" w:sz="8" w:color="E2E2E2"/>
            </w:tcBorders>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1E1E1E"/>
              </w:rPr>
              <w:t>Net cash used in investing activities</w:t>
            </w:r>
          </w:p>
        </w:tc>
        <w:tc>
          <w:tcPr>
            <w:tcW w:w="200" w:type="dxa"/>
            <w:vAlign w:val="bottom"/>
            <w:tcBorders>
              <w:top w:val="single" w:sz="8" w:color="E2E2E2"/>
            </w:tcBorders>
            <w:shd w:val="clear" w:color="auto" w:fill="E2E2E2"/>
          </w:tcPr>
          <w:p>
            <w:pPr>
              <w:spacing w:after="0"/>
              <w:rPr>
                <w:sz w:val="19"/>
                <w:szCs w:val="19"/>
                <w:color w:val="auto"/>
              </w:rPr>
            </w:pPr>
          </w:p>
        </w:tc>
        <w:tc>
          <w:tcPr>
            <w:tcW w:w="200" w:type="dxa"/>
            <w:vAlign w:val="bottom"/>
            <w:tcBorders>
              <w:top w:val="single" w:sz="8" w:color="1E1E1E"/>
              <w:bottom w:val="single" w:sz="8" w:color="1E1E1E"/>
            </w:tcBorders>
            <w:shd w:val="clear" w:color="auto" w:fill="E2E2E2"/>
          </w:tcPr>
          <w:p>
            <w:pPr>
              <w:spacing w:after="0"/>
              <w:rPr>
                <w:sz w:val="19"/>
                <w:szCs w:val="19"/>
                <w:color w:val="auto"/>
              </w:rPr>
            </w:pPr>
          </w:p>
        </w:tc>
        <w:tc>
          <w:tcPr>
            <w:tcW w:w="1540" w:type="dxa"/>
            <w:vAlign w:val="bottom"/>
            <w:tcBorders>
              <w:top w:val="single" w:sz="8" w:color="1E1E1E"/>
              <w:bottom w:val="single" w:sz="8" w:color="1E1E1E"/>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rPr>
              <w:t>(8,129)</w:t>
            </w:r>
          </w:p>
        </w:tc>
        <w:tc>
          <w:tcPr>
            <w:tcW w:w="220" w:type="dxa"/>
            <w:vAlign w:val="bottom"/>
            <w:tcBorders>
              <w:top w:val="single" w:sz="8" w:color="E2E2E2"/>
            </w:tcBorders>
            <w:shd w:val="clear" w:color="auto" w:fill="E2E2E2"/>
          </w:tcPr>
          <w:p>
            <w:pPr>
              <w:spacing w:after="0"/>
              <w:rPr>
                <w:sz w:val="19"/>
                <w:szCs w:val="19"/>
                <w:color w:val="auto"/>
              </w:rPr>
            </w:pPr>
          </w:p>
        </w:tc>
        <w:tc>
          <w:tcPr>
            <w:tcW w:w="200" w:type="dxa"/>
            <w:vAlign w:val="bottom"/>
            <w:tcBorders>
              <w:top w:val="single" w:sz="8" w:color="1E1E1E"/>
              <w:bottom w:val="single" w:sz="8" w:color="1E1E1E"/>
            </w:tcBorders>
            <w:shd w:val="clear" w:color="auto" w:fill="E2E2E2"/>
          </w:tcPr>
          <w:p>
            <w:pPr>
              <w:spacing w:after="0"/>
              <w:rPr>
                <w:sz w:val="19"/>
                <w:szCs w:val="19"/>
                <w:color w:val="auto"/>
              </w:rPr>
            </w:pPr>
          </w:p>
        </w:tc>
        <w:tc>
          <w:tcPr>
            <w:tcW w:w="1540" w:type="dxa"/>
            <w:vAlign w:val="bottom"/>
            <w:tcBorders>
              <w:top w:val="single" w:sz="8" w:color="1E1E1E"/>
              <w:bottom w:val="single" w:sz="8" w:color="1E1E1E"/>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rPr>
              <w:t>(48,718)</w:t>
            </w:r>
          </w:p>
        </w:tc>
      </w:tr>
      <w:tr>
        <w:trPr>
          <w:trHeight w:val="234"/>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1E1E1E"/>
              </w:rPr>
              <w:t>Cash flows from financing activities:</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40"/>
        </w:trPr>
        <w:tc>
          <w:tcPr>
            <w:tcW w:w="63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Proceeds from line of credit</w:t>
            </w:r>
          </w:p>
        </w:tc>
        <w:tc>
          <w:tcPr>
            <w:tcW w:w="20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83,500</w:t>
            </w:r>
          </w:p>
        </w:tc>
        <w:tc>
          <w:tcPr>
            <w:tcW w:w="22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56,000</w:t>
            </w:r>
          </w:p>
        </w:tc>
      </w:tr>
      <w:tr>
        <w:trPr>
          <w:trHeight w:val="24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1E1E1E"/>
              </w:rPr>
              <w:t>Payment on line of credit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(83,500)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(56,000)</w:t>
            </w:r>
          </w:p>
        </w:tc>
      </w:tr>
      <w:tr>
        <w:trPr>
          <w:trHeight w:val="240"/>
        </w:trPr>
        <w:tc>
          <w:tcPr>
            <w:tcW w:w="63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Payments on TRI long term debt</w:t>
            </w:r>
          </w:p>
        </w:tc>
        <w:tc>
          <w:tcPr>
            <w:tcW w:w="20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(846)</w:t>
            </w:r>
          </w:p>
        </w:tc>
        <w:tc>
          <w:tcPr>
            <w:tcW w:w="22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(767)</w:t>
            </w:r>
          </w:p>
        </w:tc>
      </w:tr>
      <w:tr>
        <w:trPr>
          <w:trHeight w:val="24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Payments on finance lease obligations</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(2,721)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(2,842)</w:t>
            </w:r>
          </w:p>
        </w:tc>
      </w:tr>
      <w:tr>
        <w:trPr>
          <w:trHeight w:val="240"/>
        </w:trPr>
        <w:tc>
          <w:tcPr>
            <w:tcW w:w="63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Shares withheld for tax payments on vested restricted stock</w:t>
            </w:r>
          </w:p>
        </w:tc>
        <w:tc>
          <w:tcPr>
            <w:tcW w:w="20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(594)</w:t>
            </w:r>
          </w:p>
        </w:tc>
        <w:tc>
          <w:tcPr>
            <w:tcW w:w="22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(279)</w:t>
            </w:r>
          </w:p>
        </w:tc>
      </w:tr>
      <w:tr>
        <w:trPr>
          <w:trHeight w:val="240"/>
        </w:trPr>
        <w:tc>
          <w:tcPr>
            <w:tcW w:w="6540" w:type="dxa"/>
            <w:vAlign w:val="bottom"/>
            <w:tcBorders>
              <w:bottom w:val="single" w:sz="8" w:color="E2E2E2"/>
            </w:tcBorders>
            <w:gridSpan w:val="2"/>
          </w:tcPr>
          <w:p>
            <w:pPr>
              <w:spacing w:after="0"/>
              <w:rPr>
                <w:sz w:val="20"/>
                <w:szCs w:val="20"/>
                <w:color w:val="auto"/>
              </w:rPr>
            </w:pPr>
            <w:r>
              <w:rPr>
                <w:rFonts w:ascii="Times New Roman" w:cs="Times New Roman" w:eastAsia="Times New Roman" w:hAnsi="Times New Roman"/>
                <w:sz w:val="20"/>
                <w:szCs w:val="20"/>
                <w:color w:val="1E1E1E"/>
              </w:rPr>
              <w:t>Other</w:t>
            </w:r>
          </w:p>
        </w:tc>
        <w:tc>
          <w:tcPr>
            <w:tcW w:w="200" w:type="dxa"/>
            <w:vAlign w:val="bottom"/>
            <w:tcBorders>
              <w:bottom w:val="single" w:sz="8" w:color="1E1E1E"/>
            </w:tcBorders>
          </w:tcPr>
          <w:p>
            <w:pPr>
              <w:spacing w:after="0"/>
              <w:rPr>
                <w:sz w:val="20"/>
                <w:szCs w:val="20"/>
                <w:color w:val="auto"/>
              </w:rPr>
            </w:pPr>
          </w:p>
        </w:tc>
        <w:tc>
          <w:tcPr>
            <w:tcW w:w="15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385</w:t>
            </w:r>
          </w:p>
        </w:tc>
        <w:tc>
          <w:tcPr>
            <w:tcW w:w="220" w:type="dxa"/>
            <w:vAlign w:val="bottom"/>
            <w:tcBorders>
              <w:bottom w:val="single" w:sz="8" w:color="E2E2E2"/>
            </w:tcBorders>
          </w:tcPr>
          <w:p>
            <w:pPr>
              <w:spacing w:after="0"/>
              <w:rPr>
                <w:sz w:val="20"/>
                <w:szCs w:val="20"/>
                <w:color w:val="auto"/>
              </w:rPr>
            </w:pPr>
          </w:p>
        </w:tc>
        <w:tc>
          <w:tcPr>
            <w:tcW w:w="200" w:type="dxa"/>
            <w:vAlign w:val="bottom"/>
            <w:tcBorders>
              <w:bottom w:val="single" w:sz="8" w:color="1E1E1E"/>
            </w:tcBorders>
          </w:tcPr>
          <w:p>
            <w:pPr>
              <w:spacing w:after="0"/>
              <w:rPr>
                <w:sz w:val="20"/>
                <w:szCs w:val="20"/>
                <w:color w:val="auto"/>
              </w:rPr>
            </w:pPr>
          </w:p>
        </w:tc>
        <w:tc>
          <w:tcPr>
            <w:tcW w:w="15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542</w:t>
            </w:r>
          </w:p>
        </w:tc>
      </w:tr>
      <w:tr>
        <w:trPr>
          <w:trHeight w:val="220"/>
        </w:trPr>
        <w:tc>
          <w:tcPr>
            <w:tcW w:w="6340" w:type="dxa"/>
            <w:vAlign w:val="bottom"/>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1E1E1E"/>
              </w:rPr>
              <w:t>Net cash used in financing activities</w:t>
            </w:r>
          </w:p>
        </w:tc>
        <w:tc>
          <w:tcPr>
            <w:tcW w:w="200" w:type="dxa"/>
            <w:vAlign w:val="bottom"/>
            <w:shd w:val="clear" w:color="auto" w:fill="E2E2E2"/>
          </w:tcPr>
          <w:p>
            <w:pPr>
              <w:spacing w:after="0"/>
              <w:rPr>
                <w:sz w:val="19"/>
                <w:szCs w:val="19"/>
                <w:color w:val="auto"/>
              </w:rPr>
            </w:pPr>
          </w:p>
        </w:tc>
        <w:tc>
          <w:tcPr>
            <w:tcW w:w="200" w:type="dxa"/>
            <w:vAlign w:val="bottom"/>
            <w:tcBorders>
              <w:bottom w:val="single" w:sz="8" w:color="1E1E1E"/>
            </w:tcBorders>
            <w:shd w:val="clear" w:color="auto" w:fill="E2E2E2"/>
          </w:tcPr>
          <w:p>
            <w:pPr>
              <w:spacing w:after="0"/>
              <w:rPr>
                <w:sz w:val="19"/>
                <w:szCs w:val="19"/>
                <w:color w:val="auto"/>
              </w:rPr>
            </w:pPr>
          </w:p>
        </w:tc>
        <w:tc>
          <w:tcPr>
            <w:tcW w:w="1540" w:type="dxa"/>
            <w:vAlign w:val="bottom"/>
            <w:tcBorders>
              <w:bottom w:val="single" w:sz="8" w:color="1E1E1E"/>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rPr>
              <w:t>(3,776)</w:t>
            </w:r>
          </w:p>
        </w:tc>
        <w:tc>
          <w:tcPr>
            <w:tcW w:w="220" w:type="dxa"/>
            <w:vAlign w:val="bottom"/>
            <w:shd w:val="clear" w:color="auto" w:fill="E2E2E2"/>
          </w:tcPr>
          <w:p>
            <w:pPr>
              <w:spacing w:after="0"/>
              <w:rPr>
                <w:sz w:val="19"/>
                <w:szCs w:val="19"/>
                <w:color w:val="auto"/>
              </w:rPr>
            </w:pPr>
          </w:p>
        </w:tc>
        <w:tc>
          <w:tcPr>
            <w:tcW w:w="200" w:type="dxa"/>
            <w:vAlign w:val="bottom"/>
            <w:tcBorders>
              <w:bottom w:val="single" w:sz="8" w:color="1E1E1E"/>
            </w:tcBorders>
            <w:shd w:val="clear" w:color="auto" w:fill="E2E2E2"/>
          </w:tcPr>
          <w:p>
            <w:pPr>
              <w:spacing w:after="0"/>
              <w:rPr>
                <w:sz w:val="19"/>
                <w:szCs w:val="19"/>
                <w:color w:val="auto"/>
              </w:rPr>
            </w:pPr>
          </w:p>
        </w:tc>
        <w:tc>
          <w:tcPr>
            <w:tcW w:w="1540" w:type="dxa"/>
            <w:vAlign w:val="bottom"/>
            <w:tcBorders>
              <w:bottom w:val="single" w:sz="8" w:color="1E1E1E"/>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rPr>
              <w:t>(3,346)</w:t>
            </w:r>
          </w:p>
        </w:tc>
      </w:tr>
      <w:tr>
        <w:trPr>
          <w:trHeight w:val="220"/>
        </w:trPr>
        <w:tc>
          <w:tcPr>
            <w:tcW w:w="65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1E1E1E"/>
              </w:rPr>
              <w:t>Decrease in cash and cash equivalents</w:t>
            </w:r>
          </w:p>
        </w:tc>
        <w:tc>
          <w:tcPr>
            <w:tcW w:w="200" w:type="dxa"/>
            <w:vAlign w:val="bottom"/>
          </w:tcPr>
          <w:p>
            <w:pPr>
              <w:spacing w:after="0"/>
              <w:rPr>
                <w:sz w:val="19"/>
                <w:szCs w:val="19"/>
                <w:color w:val="auto"/>
              </w:rPr>
            </w:pPr>
          </w:p>
        </w:tc>
        <w:tc>
          <w:tcPr>
            <w:tcW w:w="15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rPr>
              <w:t>(28,822)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rPr>
              <w:t>(13,391)</w:t>
            </w:r>
          </w:p>
        </w:tc>
      </w:tr>
      <w:tr>
        <w:trPr>
          <w:trHeight w:val="240"/>
        </w:trPr>
        <w:tc>
          <w:tcPr>
            <w:tcW w:w="63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Cash and cash equivalents at beginning of period</w:t>
            </w:r>
          </w:p>
        </w:tc>
        <w:tc>
          <w:tcPr>
            <w:tcW w:w="200" w:type="dxa"/>
            <w:vAlign w:val="bottom"/>
            <w:shd w:val="clear" w:color="auto" w:fill="E2E2E2"/>
          </w:tcPr>
          <w:p>
            <w:pPr>
              <w:spacing w:after="0"/>
              <w:rPr>
                <w:sz w:val="20"/>
                <w:szCs w:val="20"/>
                <w:color w:val="auto"/>
              </w:rPr>
            </w:pPr>
          </w:p>
        </w:tc>
        <w:tc>
          <w:tcPr>
            <w:tcW w:w="200" w:type="dxa"/>
            <w:vAlign w:val="bottom"/>
            <w:tcBorders>
              <w:bottom w:val="single" w:sz="8" w:color="1E1E1E"/>
            </w:tcBorders>
            <w:shd w:val="clear" w:color="auto" w:fill="E2E2E2"/>
          </w:tcPr>
          <w:p>
            <w:pPr>
              <w:spacing w:after="0"/>
              <w:rPr>
                <w:sz w:val="20"/>
                <w:szCs w:val="20"/>
                <w:color w:val="auto"/>
              </w:rPr>
            </w:pPr>
          </w:p>
        </w:tc>
        <w:tc>
          <w:tcPr>
            <w:tcW w:w="15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32,157</w:t>
            </w:r>
          </w:p>
        </w:tc>
        <w:tc>
          <w:tcPr>
            <w:tcW w:w="220" w:type="dxa"/>
            <w:vAlign w:val="bottom"/>
            <w:shd w:val="clear" w:color="auto" w:fill="E2E2E2"/>
          </w:tcPr>
          <w:p>
            <w:pPr>
              <w:spacing w:after="0"/>
              <w:rPr>
                <w:sz w:val="20"/>
                <w:szCs w:val="20"/>
                <w:color w:val="auto"/>
              </w:rPr>
            </w:pPr>
          </w:p>
        </w:tc>
        <w:tc>
          <w:tcPr>
            <w:tcW w:w="200" w:type="dxa"/>
            <w:vAlign w:val="bottom"/>
            <w:tcBorders>
              <w:bottom w:val="single" w:sz="8" w:color="1E1E1E"/>
            </w:tcBorders>
            <w:shd w:val="clear" w:color="auto" w:fill="E2E2E2"/>
          </w:tcPr>
          <w:p>
            <w:pPr>
              <w:spacing w:after="0"/>
              <w:rPr>
                <w:sz w:val="20"/>
                <w:szCs w:val="20"/>
                <w:color w:val="auto"/>
              </w:rPr>
            </w:pPr>
          </w:p>
        </w:tc>
        <w:tc>
          <w:tcPr>
            <w:tcW w:w="15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45,548</w:t>
            </w:r>
          </w:p>
        </w:tc>
      </w:tr>
      <w:tr>
        <w:trPr>
          <w:trHeight w:val="229"/>
        </w:trPr>
        <w:tc>
          <w:tcPr>
            <w:tcW w:w="6540" w:type="dxa"/>
            <w:vAlign w:val="bottom"/>
            <w:tcBorders>
              <w:bottom w:val="single" w:sz="8" w:color="E2E2E2"/>
            </w:tcBorders>
            <w:gridSpan w:val="2"/>
          </w:tcPr>
          <w:p>
            <w:pPr>
              <w:spacing w:after="0" w:line="220" w:lineRule="exact"/>
              <w:rPr>
                <w:sz w:val="20"/>
                <w:szCs w:val="20"/>
                <w:color w:val="auto"/>
              </w:rPr>
            </w:pPr>
            <w:r>
              <w:rPr>
                <w:rFonts w:ascii="Times New Roman" w:cs="Times New Roman" w:eastAsia="Times New Roman" w:hAnsi="Times New Roman"/>
                <w:sz w:val="20"/>
                <w:szCs w:val="20"/>
                <w:color w:val="1E1E1E"/>
              </w:rPr>
              <w:t>Cash and cash equivalents at end of period</w:t>
            </w:r>
          </w:p>
        </w:tc>
        <w:tc>
          <w:tcPr>
            <w:tcW w:w="20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54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3,335</w:t>
            </w:r>
          </w:p>
        </w:tc>
        <w:tc>
          <w:tcPr>
            <w:tcW w:w="220" w:type="dxa"/>
            <w:vAlign w:val="bottom"/>
            <w:tcBorders>
              <w:bottom w:val="single" w:sz="8" w:color="E2E2E2"/>
            </w:tcBorders>
          </w:tcPr>
          <w:p>
            <w:pPr>
              <w:spacing w:after="0"/>
              <w:rPr>
                <w:sz w:val="19"/>
                <w:szCs w:val="19"/>
                <w:color w:val="auto"/>
              </w:rPr>
            </w:pPr>
          </w:p>
        </w:tc>
        <w:tc>
          <w:tcPr>
            <w:tcW w:w="20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54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32,157</w:t>
            </w:r>
          </w:p>
        </w:tc>
      </w:tr>
      <w:tr>
        <w:trPr>
          <w:trHeight w:val="226"/>
        </w:trPr>
        <w:tc>
          <w:tcPr>
            <w:tcW w:w="634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b w:val="1"/>
                <w:bCs w:val="1"/>
                <w:color w:val="1E1E1E"/>
              </w:rPr>
              <w:t>Supplemental disclosure of cash flow information:</w:t>
            </w:r>
          </w:p>
        </w:tc>
        <w:tc>
          <w:tcPr>
            <w:tcW w:w="20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1540" w:type="dxa"/>
            <w:vAlign w:val="bottom"/>
            <w:shd w:val="clear" w:color="auto" w:fill="E2E2E2"/>
          </w:tcPr>
          <w:p>
            <w:pPr>
              <w:spacing w:after="0"/>
              <w:rPr>
                <w:sz w:val="19"/>
                <w:szCs w:val="19"/>
                <w:color w:val="auto"/>
              </w:rPr>
            </w:pPr>
          </w:p>
        </w:tc>
        <w:tc>
          <w:tcPr>
            <w:tcW w:w="22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1540" w:type="dxa"/>
            <w:vAlign w:val="bottom"/>
            <w:shd w:val="clear" w:color="auto" w:fill="E2E2E2"/>
          </w:tcPr>
          <w:p>
            <w:pPr>
              <w:spacing w:after="0"/>
              <w:rPr>
                <w:sz w:val="19"/>
                <w:szCs w:val="19"/>
                <w:color w:val="auto"/>
              </w:rPr>
            </w:pPr>
          </w:p>
        </w:tc>
      </w:tr>
      <w:tr>
        <w:trPr>
          <w:trHeight w:val="24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1E1E1E"/>
              </w:rPr>
              <w:t>Interest paid</w:t>
            </w:r>
          </w:p>
        </w:tc>
        <w:tc>
          <w:tcPr>
            <w:tcW w:w="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4,554</w:t>
            </w:r>
          </w:p>
        </w:tc>
        <w:tc>
          <w:tcPr>
            <w:tcW w:w="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4,156</w:t>
            </w:r>
          </w:p>
        </w:tc>
      </w:tr>
      <w:tr>
        <w:trPr>
          <w:trHeight w:val="240"/>
        </w:trPr>
        <w:tc>
          <w:tcPr>
            <w:tcW w:w="654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1E1E1E"/>
              </w:rPr>
              <w:t>Income taxes paid</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125</w:t>
            </w:r>
          </w:p>
        </w:tc>
        <w:tc>
          <w:tcPr>
            <w:tcW w:w="220" w:type="dxa"/>
            <w:vAlign w:val="bottom"/>
            <w:shd w:val="clear" w:color="auto" w:fill="E2E2E2"/>
          </w:tcPr>
          <w:p>
            <w:pPr>
              <w:spacing w:after="0"/>
              <w:rPr>
                <w:sz w:val="20"/>
                <w:szCs w:val="20"/>
                <w:color w:val="auto"/>
              </w:rPr>
            </w:pP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2,026</w:t>
            </w:r>
          </w:p>
        </w:tc>
      </w:tr>
      <w:tr>
        <w:trPr>
          <w:trHeight w:val="254"/>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1E1E1E"/>
              </w:rPr>
              <w:t>Supplemental disclosure of non-cash information:</w:t>
            </w: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40"/>
        </w:trPr>
        <w:tc>
          <w:tcPr>
            <w:tcW w:w="63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Unpaid liability to acquire property and equipment</w:t>
            </w:r>
          </w:p>
        </w:tc>
        <w:tc>
          <w:tcPr>
            <w:tcW w:w="200" w:type="dxa"/>
            <w:vAlign w:val="bottom"/>
            <w:shd w:val="clear" w:color="auto" w:fill="E2E2E2"/>
          </w:tcPr>
          <w:p>
            <w:pPr>
              <w:spacing w:after="0"/>
              <w:rPr>
                <w:sz w:val="20"/>
                <w:szCs w:val="20"/>
                <w:color w:val="auto"/>
              </w:rPr>
            </w:pP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1,285</w:t>
            </w:r>
          </w:p>
        </w:tc>
        <w:tc>
          <w:tcPr>
            <w:tcW w:w="220" w:type="dxa"/>
            <w:vAlign w:val="bottom"/>
            <w:shd w:val="clear" w:color="auto" w:fill="E2E2E2"/>
          </w:tcPr>
          <w:p>
            <w:pPr>
              <w:spacing w:after="0"/>
              <w:rPr>
                <w:sz w:val="20"/>
                <w:szCs w:val="20"/>
                <w:color w:val="auto"/>
              </w:rPr>
            </w:pP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1,874</w:t>
            </w:r>
          </w:p>
        </w:tc>
      </w:tr>
    </w:tbl>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The accompanying notes are an integral part of these consolidated financial statements.</w:t>
      </w:r>
    </w:p>
    <w:p>
      <w:pPr>
        <w:sectPr>
          <w:pgSz w:w="11880" w:h="15480" w:orient="portrait"/>
          <w:cols w:equalWidth="0" w:num="1">
            <w:col w:w="10240"/>
          </w:cols>
          <w:pgMar w:left="820" w:top="65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44</w:t>
      </w:r>
    </w:p>
    <w:p>
      <w:pPr>
        <w:sectPr>
          <w:pgSz w:w="11880" w:h="15480" w:orient="portrait"/>
          <w:cols w:equalWidth="0" w:num="1">
            <w:col w:w="10240"/>
          </w:cols>
          <w:pgMar w:left="820" w:top="658" w:right="820" w:bottom="0" w:gutter="0" w:footer="0" w:header="0"/>
          <w:type w:val="continuous"/>
        </w:sectPr>
      </w:pPr>
    </w:p>
    <w:bookmarkStart w:id="50" w:name="page51"/>
    <w:bookmarkEnd w:id="50"/>
    <w:p>
      <w:pPr>
        <w:jc w:val="center"/>
        <w:ind w:right="-79"/>
        <w:spacing w:after="0"/>
        <w:rPr>
          <w:sz w:val="20"/>
          <w:szCs w:val="20"/>
          <w:color w:val="auto"/>
        </w:rPr>
      </w:pPr>
      <w:r>
        <w:rPr>
          <w:rFonts w:ascii="Times New Roman" w:cs="Times New Roman" w:eastAsia="Times New Roman" w:hAnsi="Times New Roman"/>
          <w:sz w:val="20"/>
          <w:szCs w:val="20"/>
          <w:b w:val="1"/>
          <w:bCs w:val="1"/>
          <w:color w:val="1E1E1E"/>
        </w:rPr>
        <w:t>DULUTH HOLDINGS INC.</w:t>
      </w:r>
    </w:p>
    <w:p>
      <w:pPr>
        <w:jc w:val="center"/>
        <w:ind w:right="-79"/>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w:t>
      </w:r>
    </w:p>
    <w:p>
      <w:pPr>
        <w:spacing w:after="0" w:line="231" w:lineRule="exact"/>
        <w:rPr>
          <w:sz w:val="20"/>
          <w:szCs w:val="20"/>
          <w:color w:val="auto"/>
        </w:rPr>
      </w:pPr>
    </w:p>
    <w:p>
      <w:pPr>
        <w:ind w:right="4240"/>
        <w:spacing w:after="0" w:line="450" w:lineRule="auto"/>
        <w:rPr>
          <w:sz w:val="20"/>
          <w:szCs w:val="20"/>
          <w:color w:val="auto"/>
        </w:rPr>
      </w:pPr>
      <w:r>
        <w:rPr>
          <w:rFonts w:ascii="Times New Roman" w:cs="Times New Roman" w:eastAsia="Times New Roman" w:hAnsi="Times New Roman"/>
          <w:sz w:val="20"/>
          <w:szCs w:val="20"/>
          <w:b w:val="1"/>
          <w:bCs w:val="1"/>
          <w:color w:val="1E1E1E"/>
        </w:rPr>
        <w:t xml:space="preserve">1. NATURE OF OPERATIONS AND BASIS OF PRESENTATION </w:t>
      </w:r>
      <w:r>
        <w:rPr>
          <w:rFonts w:ascii="Times New Roman" w:cs="Times New Roman" w:eastAsia="Times New Roman" w:hAnsi="Times New Roman"/>
          <w:sz w:val="20"/>
          <w:szCs w:val="20"/>
          <w:b w:val="1"/>
          <w:bCs w:val="1"/>
          <w:i w:val="1"/>
          <w:iCs w:val="1"/>
          <w:color w:val="1E1E1E"/>
        </w:rPr>
        <w:t>Nature of Operations</w:t>
      </w:r>
    </w:p>
    <w:p>
      <w:pPr>
        <w:ind w:right="100" w:firstLine="490"/>
        <w:spacing w:after="0" w:line="254" w:lineRule="auto"/>
        <w:rPr>
          <w:sz w:val="20"/>
          <w:szCs w:val="20"/>
          <w:color w:val="auto"/>
        </w:rPr>
      </w:pPr>
      <w:r>
        <w:rPr>
          <w:rFonts w:ascii="Times New Roman" w:cs="Times New Roman" w:eastAsia="Times New Roman" w:hAnsi="Times New Roman"/>
          <w:sz w:val="20"/>
          <w:szCs w:val="20"/>
          <w:color w:val="1E1E1E"/>
        </w:rPr>
        <w:t>Duluth Holdings Inc. (“Duluth Trading” or the “Company”), a Wisconsin corporation, is a lifestyle brand of men’s and women’s casual wear, workwear and accessories sold primarily through the Company’s own omnichannel platform. The Company’s products are marketed under the Duluth Trading Company brand, with the majority of products being exclusively developed and sold as Duluth Trading branded merchandise.</w:t>
      </w:r>
    </w:p>
    <w:p>
      <w:pPr>
        <w:spacing w:after="0" w:line="145" w:lineRule="exact"/>
        <w:rPr>
          <w:sz w:val="20"/>
          <w:szCs w:val="20"/>
          <w:color w:val="auto"/>
        </w:rPr>
      </w:pPr>
    </w:p>
    <w:p>
      <w:pPr>
        <w:ind w:right="20" w:firstLine="540"/>
        <w:spacing w:after="0" w:line="247" w:lineRule="auto"/>
        <w:rPr>
          <w:sz w:val="20"/>
          <w:szCs w:val="20"/>
          <w:color w:val="auto"/>
        </w:rPr>
      </w:pPr>
      <w:r>
        <w:rPr>
          <w:rFonts w:ascii="Times New Roman" w:cs="Times New Roman" w:eastAsia="Times New Roman" w:hAnsi="Times New Roman"/>
          <w:sz w:val="20"/>
          <w:szCs w:val="20"/>
          <w:color w:val="1E1E1E"/>
        </w:rPr>
        <w:t>In 2010, the Company initiated its omnichannel platform with the opening of its first store. Since then, Duluth Trading has expanded its retail presence, and as of February 2, 2025, the Company operated 62 retail stores and three outlet stores. The Company identifies its operating segments according to how its business activities are managed and evaluated. The Company continues to grow its omnichannel distribution network which allows the consumer to interact with the Company through a consistent customer experience whether on the Company website or at Company stores. The Company has one reportable external segment, consistent with the Company’s omnichannel business approach. The Company’s revenues generated outside the United States were insignificant.</w:t>
      </w:r>
    </w:p>
    <w:p>
      <w:pPr>
        <w:spacing w:after="0" w:line="153" w:lineRule="exact"/>
        <w:rPr>
          <w:sz w:val="20"/>
          <w:szCs w:val="20"/>
          <w:color w:val="auto"/>
        </w:rPr>
      </w:pPr>
    </w:p>
    <w:p>
      <w:pPr>
        <w:ind w:right="100" w:firstLine="490"/>
        <w:spacing w:after="0" w:line="250" w:lineRule="auto"/>
        <w:rPr>
          <w:sz w:val="20"/>
          <w:szCs w:val="20"/>
          <w:color w:val="auto"/>
        </w:rPr>
      </w:pPr>
      <w:r>
        <w:rPr>
          <w:rFonts w:ascii="Times New Roman" w:cs="Times New Roman" w:eastAsia="Times New Roman" w:hAnsi="Times New Roman"/>
          <w:sz w:val="20"/>
          <w:szCs w:val="20"/>
          <w:color w:val="1E1E1E"/>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Basis of Presentation</w:t>
      </w:r>
    </w:p>
    <w:p>
      <w:pPr>
        <w:spacing w:after="0" w:line="200" w:lineRule="exact"/>
        <w:rPr>
          <w:sz w:val="20"/>
          <w:szCs w:val="20"/>
          <w:color w:val="auto"/>
        </w:rPr>
      </w:pPr>
    </w:p>
    <w:p>
      <w:pPr>
        <w:ind w:right="180" w:firstLine="490"/>
        <w:spacing w:after="0" w:line="281" w:lineRule="auto"/>
        <w:rPr>
          <w:sz w:val="20"/>
          <w:szCs w:val="20"/>
          <w:color w:val="auto"/>
        </w:rPr>
      </w:pPr>
      <w:r>
        <w:rPr>
          <w:rFonts w:ascii="Times New Roman" w:cs="Times New Roman" w:eastAsia="Times New Roman" w:hAnsi="Times New Roman"/>
          <w:sz w:val="20"/>
          <w:szCs w:val="20"/>
          <w:color w:val="1E1E1E"/>
        </w:rPr>
        <w:t>The consolidated financial statements are prepared in accordance with U.S. Generally Accepted Accounting Principles (“U.S. GAAP”). All significant intercompany balances and transactions have been eliminated in consolidation.</w:t>
      </w:r>
    </w:p>
    <w:p>
      <w:pPr>
        <w:spacing w:after="0" w:line="119" w:lineRule="exact"/>
        <w:rPr>
          <w:sz w:val="20"/>
          <w:szCs w:val="20"/>
          <w:color w:val="auto"/>
        </w:rPr>
      </w:pPr>
    </w:p>
    <w:p>
      <w:pPr>
        <w:ind w:right="80" w:firstLine="490"/>
        <w:spacing w:after="0" w:line="261" w:lineRule="auto"/>
        <w:rPr>
          <w:sz w:val="20"/>
          <w:szCs w:val="20"/>
          <w:color w:val="auto"/>
        </w:rPr>
      </w:pPr>
      <w:r>
        <w:rPr>
          <w:rFonts w:ascii="Times New Roman" w:cs="Times New Roman" w:eastAsia="Times New Roman" w:hAnsi="Times New Roman"/>
          <w:sz w:val="20"/>
          <w:szCs w:val="20"/>
          <w:color w:val="1E1E1E"/>
        </w:rPr>
        <w:t>The Company’s fiscal year ends on the Sunday nearest to January 31 of the following year. Fiscal 2024 and Fiscal 2023 ended on February 2, 2025 and January 28, 2024, respectively. Fiscal 2024 was a 53-week period and Fiscal 2023 was a 52-week period.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Seasonality of Business</w:t>
      </w:r>
    </w:p>
    <w:p>
      <w:pPr>
        <w:spacing w:after="0" w:line="196" w:lineRule="exact"/>
        <w:rPr>
          <w:sz w:val="20"/>
          <w:szCs w:val="20"/>
          <w:color w:val="auto"/>
        </w:rPr>
      </w:pPr>
    </w:p>
    <w:p>
      <w:pPr>
        <w:jc w:val="both"/>
        <w:ind w:firstLine="490"/>
        <w:spacing w:after="0" w:line="261" w:lineRule="auto"/>
        <w:rPr>
          <w:sz w:val="20"/>
          <w:szCs w:val="20"/>
          <w:color w:val="auto"/>
        </w:rPr>
      </w:pPr>
      <w:r>
        <w:rPr>
          <w:rFonts w:ascii="Times New Roman" w:cs="Times New Roman" w:eastAsia="Times New Roman" w:hAnsi="Times New Roman"/>
          <w:sz w:val="20"/>
          <w:szCs w:val="20"/>
          <w:color w:val="1E1E1E"/>
        </w:rPr>
        <w:t>The Company’s business is affected by the pattern of seasonality common to most retail apparel businesses. Historically, the Company has recognized a significant portion of its revenue and operating profit in the fourth fiscal quarter of each year as a result of increased sales during the holiday season.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Revision of Prior Period Financial Information</w:t>
      </w:r>
    </w:p>
    <w:p>
      <w:pPr>
        <w:spacing w:after="0" w:line="229" w:lineRule="exact"/>
        <w:rPr>
          <w:sz w:val="20"/>
          <w:szCs w:val="20"/>
          <w:color w:val="auto"/>
        </w:rPr>
      </w:pPr>
    </w:p>
    <w:p>
      <w:pPr>
        <w:ind w:right="180" w:firstLine="490"/>
        <w:spacing w:after="0" w:line="245" w:lineRule="auto"/>
        <w:rPr>
          <w:sz w:val="20"/>
          <w:szCs w:val="20"/>
          <w:color w:val="auto"/>
        </w:rPr>
      </w:pPr>
      <w:r>
        <w:rPr>
          <w:rFonts w:ascii="Times New Roman" w:cs="Times New Roman" w:eastAsia="Times New Roman" w:hAnsi="Times New Roman"/>
          <w:sz w:val="20"/>
          <w:szCs w:val="20"/>
          <w:color w:val="1E1E1E"/>
        </w:rPr>
        <w:t>During fiscal 2024, management identified inaccuracies in the collection of local sales tax transactions within certain states. Accordingly, the Company has revised its consolidated financial statements and related notes to increase Accrued expenses by $3.2 million and Deferred tax assets by $0.8 million as of January 28, 2024, and to increase Selling, general and administrative expenses by $0.7 million and income tax benefit by $0.2 million for the year ended January 28, 2024. The cumulative errors related to periods prior to fiscal 2023 resulted in a decrease to Retained earnings by $2.4 million as of the beginning of fiscal 2023. The Company has determined that the errors were immaterial to all impacted periods and has corrected the impacted periods as an immaterial correction of an error. The Company also revised the fiscal 2024 quarterly consolidated financial statements to correct the impact of the errors on the respective periods.</w:t>
      </w:r>
    </w:p>
    <w:p>
      <w:pPr>
        <w:sectPr>
          <w:pgSz w:w="11880" w:h="15480" w:orient="portrait"/>
          <w:cols w:equalWidth="0" w:num="1">
            <w:col w:w="10160"/>
          </w:cols>
          <w:pgMar w:left="820" w:top="22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1E1E1E"/>
        </w:rPr>
        <w:t>45</w:t>
      </w:r>
    </w:p>
    <w:p>
      <w:pPr>
        <w:sectPr>
          <w:pgSz w:w="11880" w:h="15480" w:orient="portrait"/>
          <w:cols w:equalWidth="0" w:num="1">
            <w:col w:w="10160"/>
          </w:cols>
          <w:pgMar w:left="820" w:top="226" w:right="900" w:bottom="0" w:gutter="0" w:footer="0" w:header="0"/>
          <w:type w:val="continuous"/>
        </w:sectPr>
      </w:pPr>
    </w:p>
    <w:bookmarkStart w:id="51" w:name="page52"/>
    <w:bookmarkEnd w:id="51"/>
    <w:p>
      <w:pPr>
        <w:jc w:val="center"/>
        <w:ind w:right="-5"/>
        <w:spacing w:after="0"/>
        <w:rPr>
          <w:sz w:val="20"/>
          <w:szCs w:val="20"/>
          <w:color w:val="auto"/>
        </w:rPr>
      </w:pPr>
      <w:r>
        <w:rPr>
          <w:rFonts w:ascii="Times New Roman" w:cs="Times New Roman" w:eastAsia="Times New Roman" w:hAnsi="Times New Roman"/>
          <w:sz w:val="20"/>
          <w:szCs w:val="20"/>
          <w:b w:val="1"/>
          <w:bCs w:val="1"/>
          <w:color w:val="1E1E1E"/>
        </w:rPr>
        <w:t>DULUTH HOLDINGS INC.</w:t>
      </w:r>
    </w:p>
    <w:p>
      <w:pPr>
        <w:jc w:val="center"/>
        <w:ind w:right="-25"/>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w:t>
      </w:r>
    </w:p>
    <w:p>
      <w:pPr>
        <w:spacing w:after="0" w:line="231" w:lineRule="exact"/>
        <w:rPr>
          <w:sz w:val="20"/>
          <w:szCs w:val="20"/>
          <w:color w:val="auto"/>
        </w:rPr>
      </w:pPr>
    </w:p>
    <w:p>
      <w:pPr>
        <w:ind w:left="6" w:right="4680"/>
        <w:spacing w:after="0" w:line="450" w:lineRule="auto"/>
        <w:rPr>
          <w:sz w:val="20"/>
          <w:szCs w:val="20"/>
          <w:color w:val="auto"/>
        </w:rPr>
      </w:pPr>
      <w:r>
        <w:rPr>
          <w:rFonts w:ascii="Times New Roman" w:cs="Times New Roman" w:eastAsia="Times New Roman" w:hAnsi="Times New Roman"/>
          <w:sz w:val="20"/>
          <w:szCs w:val="20"/>
          <w:b w:val="1"/>
          <w:bCs w:val="1"/>
          <w:color w:val="1E1E1E"/>
        </w:rPr>
        <w:t xml:space="preserve">2. SUMMARY OF SIGNIFICANT ACCOUNTING POLICIES </w:t>
      </w:r>
      <w:r>
        <w:rPr>
          <w:rFonts w:ascii="Times New Roman" w:cs="Times New Roman" w:eastAsia="Times New Roman" w:hAnsi="Times New Roman"/>
          <w:sz w:val="20"/>
          <w:szCs w:val="20"/>
          <w:b w:val="1"/>
          <w:bCs w:val="1"/>
          <w:i w:val="1"/>
          <w:iCs w:val="1"/>
          <w:color w:val="1E1E1E"/>
        </w:rPr>
        <w:t>Principles of Consolidation</w:t>
      </w:r>
    </w:p>
    <w:p>
      <w:pPr>
        <w:ind w:left="6" w:right="140" w:firstLine="490"/>
        <w:spacing w:after="0" w:line="281" w:lineRule="auto"/>
        <w:rPr>
          <w:sz w:val="20"/>
          <w:szCs w:val="20"/>
          <w:color w:val="auto"/>
        </w:rPr>
      </w:pPr>
      <w:r>
        <w:rPr>
          <w:rFonts w:ascii="Times New Roman" w:cs="Times New Roman" w:eastAsia="Times New Roman" w:hAnsi="Times New Roman"/>
          <w:sz w:val="20"/>
          <w:szCs w:val="20"/>
          <w:color w:val="1E1E1E"/>
        </w:rPr>
        <w:t>The accompanying consolidated financial statements consist of the accounts of Duluth Holdings Inc. and TRI Holdings, LLC (“TRI”) as a variable interest entity. See Note 6 “Variable Interest Entities” for further information.</w:t>
      </w:r>
    </w:p>
    <w:p>
      <w:pPr>
        <w:spacing w:after="0" w:line="1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1E1E1E"/>
        </w:rPr>
        <w:t>Use of Estimates</w:t>
      </w:r>
    </w:p>
    <w:p>
      <w:pPr>
        <w:spacing w:after="0" w:line="200" w:lineRule="exact"/>
        <w:rPr>
          <w:sz w:val="20"/>
          <w:szCs w:val="20"/>
          <w:color w:val="auto"/>
        </w:rPr>
      </w:pPr>
    </w:p>
    <w:p>
      <w:pPr>
        <w:ind w:left="6" w:right="100" w:firstLine="490"/>
        <w:spacing w:after="0" w:line="254" w:lineRule="auto"/>
        <w:rPr>
          <w:sz w:val="20"/>
          <w:szCs w:val="20"/>
          <w:color w:val="auto"/>
        </w:rPr>
      </w:pPr>
      <w:r>
        <w:rPr>
          <w:rFonts w:ascii="Times New Roman" w:cs="Times New Roman" w:eastAsia="Times New Roman" w:hAnsi="Times New Roman"/>
          <w:sz w:val="20"/>
          <w:szCs w:val="20"/>
          <w:color w:val="1E1E1E"/>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7"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1E1E1E"/>
        </w:rPr>
        <w:t>Revenue Recognition</w:t>
      </w:r>
    </w:p>
    <w:p>
      <w:pPr>
        <w:spacing w:after="0" w:line="200" w:lineRule="exact"/>
        <w:rPr>
          <w:sz w:val="20"/>
          <w:szCs w:val="20"/>
          <w:color w:val="auto"/>
        </w:rPr>
      </w:pPr>
    </w:p>
    <w:p>
      <w:pPr>
        <w:ind w:left="6" w:firstLine="490"/>
        <w:spacing w:after="0" w:line="243" w:lineRule="auto"/>
        <w:rPr>
          <w:sz w:val="20"/>
          <w:szCs w:val="20"/>
          <w:color w:val="auto"/>
        </w:rPr>
      </w:pPr>
      <w:r>
        <w:rPr>
          <w:rFonts w:ascii="Times New Roman" w:cs="Times New Roman" w:eastAsia="Times New Roman" w:hAnsi="Times New Roman"/>
          <w:sz w:val="20"/>
          <w:szCs w:val="20"/>
          <w:color w:val="1E1E1E"/>
        </w:rPr>
        <w:t>The Company’s revenue primarily consists of the sale of apparel, footwear and hard goods. Revenue for merchandise that is shipped to our customers from our fulfillment centers and stores is recognized upon shipment following customer payment, which is when the customer obtains control of the product and has the ability to direct the use of the product, including, among other options, the ability to redirect the product to a different shipping destination. Store revenue is recognized at the point of sale. The Company provides the customer the right of return on the product and revenue is adjusted based on an estimate of the expected returns based on historical rates as well as events that may cause changes to historical rates. See Note 5 “Accrued Expense and Other Liabilities” for the Company’s product returns reserve.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 A liability is recognized at the time a gift card is sold, and revenue is recognized at the time the gift card is redeemed for merchandise. See Note 8 “Revenue” for further information.</w:t>
      </w:r>
    </w:p>
    <w:p>
      <w:pPr>
        <w:spacing w:after="0" w:line="164"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1E1E1E"/>
        </w:rPr>
        <w:t>Cost of Goods Sold and Selling, General and Administrative Expenses</w:t>
      </w:r>
    </w:p>
    <w:p>
      <w:pPr>
        <w:spacing w:after="0" w:line="200" w:lineRule="exact"/>
        <w:rPr>
          <w:sz w:val="20"/>
          <w:szCs w:val="20"/>
          <w:color w:val="auto"/>
        </w:rPr>
      </w:pPr>
    </w:p>
    <w:p>
      <w:pPr>
        <w:ind w:left="6" w:right="240" w:firstLine="490"/>
        <w:spacing w:after="0" w:line="281" w:lineRule="auto"/>
        <w:rPr>
          <w:sz w:val="20"/>
          <w:szCs w:val="20"/>
          <w:color w:val="auto"/>
        </w:rPr>
      </w:pPr>
      <w:r>
        <w:rPr>
          <w:rFonts w:ascii="Times New Roman" w:cs="Times New Roman" w:eastAsia="Times New Roman" w:hAnsi="Times New Roman"/>
          <w:sz w:val="20"/>
          <w:szCs w:val="20"/>
          <w:color w:val="1E1E1E"/>
        </w:rPr>
        <w:t>The following table illustrates the primary costs classified in cost of goods sold and selling, general and administrative expenses:</w:t>
      </w:r>
    </w:p>
    <w:p>
      <w:pPr>
        <w:sectPr>
          <w:pgSz w:w="11880" w:h="15480" w:orient="portrait"/>
          <w:cols w:equalWidth="0" w:num="1">
            <w:col w:w="10226"/>
          </w:cols>
          <w:pgMar w:left="814" w:top="226" w:right="840" w:bottom="0" w:gutter="0" w:footer="0" w:header="0"/>
        </w:sectPr>
      </w:pPr>
    </w:p>
    <w:p>
      <w:pPr>
        <w:spacing w:after="0" w:line="242" w:lineRule="exact"/>
        <w:rPr>
          <w:sz w:val="20"/>
          <w:szCs w:val="20"/>
          <w:color w:val="auto"/>
        </w:rPr>
      </w:pPr>
    </w:p>
    <w:p>
      <w:pPr>
        <w:ind w:left="1846"/>
        <w:spacing w:after="0"/>
        <w:rPr>
          <w:sz w:val="20"/>
          <w:szCs w:val="20"/>
          <w:color w:val="auto"/>
        </w:rPr>
      </w:pPr>
      <w:r>
        <w:rPr>
          <w:rFonts w:ascii="Times New Roman" w:cs="Times New Roman" w:eastAsia="Times New Roman" w:hAnsi="Times New Roman"/>
          <w:sz w:val="16"/>
          <w:szCs w:val="16"/>
          <w:b w:val="1"/>
          <w:bCs w:val="1"/>
          <w:color w:val="1E1E1E"/>
        </w:rPr>
        <w:t>Cost of Goods Sold</w:t>
      </w:r>
    </w:p>
    <w:p>
      <w:pPr>
        <w:ind w:left="166" w:hanging="166"/>
        <w:spacing w:after="0"/>
        <w:tabs>
          <w:tab w:leader="none" w:pos="166" w:val="left"/>
        </w:tabs>
        <w:numPr>
          <w:ilvl w:val="0"/>
          <w:numId w:val="23"/>
        </w:numPr>
        <w:rPr>
          <w:rFonts w:ascii="Arial" w:cs="Arial" w:eastAsia="Arial" w:hAnsi="Arial"/>
          <w:sz w:val="16"/>
          <w:szCs w:val="16"/>
          <w:color w:val="1E1E1E"/>
        </w:rPr>
      </w:pPr>
      <w:r>
        <w:rPr>
          <w:rFonts w:ascii="Times New Roman" w:cs="Times New Roman" w:eastAsia="Times New Roman" w:hAnsi="Times New Roman"/>
          <w:sz w:val="20"/>
          <w:szCs w:val="20"/>
          <w:color w:val="1E1E1E"/>
        </w:rPr>
        <w:t>Direct cost of purchased merchandise</w:t>
      </w:r>
    </w:p>
    <w:p>
      <w:pPr>
        <w:ind w:left="166" w:right="440" w:hanging="166"/>
        <w:spacing w:after="0"/>
        <w:tabs>
          <w:tab w:leader="none" w:pos="166" w:val="left"/>
        </w:tabs>
        <w:numPr>
          <w:ilvl w:val="0"/>
          <w:numId w:val="23"/>
        </w:numPr>
        <w:rPr>
          <w:rFonts w:ascii="Arial" w:cs="Arial" w:eastAsia="Arial" w:hAnsi="Arial"/>
          <w:sz w:val="16"/>
          <w:szCs w:val="16"/>
          <w:color w:val="1E1E1E"/>
        </w:rPr>
      </w:pPr>
      <w:r>
        <w:rPr>
          <w:rFonts w:ascii="Times New Roman" w:cs="Times New Roman" w:eastAsia="Times New Roman" w:hAnsi="Times New Roman"/>
          <w:sz w:val="20"/>
          <w:szCs w:val="20"/>
          <w:color w:val="1E1E1E"/>
        </w:rPr>
        <w:t>Inventory shrinkage and inventory adjustments due to obsolescence</w:t>
      </w:r>
    </w:p>
    <w:p>
      <w:pPr>
        <w:ind w:left="166" w:hanging="166"/>
        <w:spacing w:after="0"/>
        <w:tabs>
          <w:tab w:leader="none" w:pos="166" w:val="left"/>
        </w:tabs>
        <w:numPr>
          <w:ilvl w:val="0"/>
          <w:numId w:val="23"/>
        </w:numPr>
        <w:rPr>
          <w:rFonts w:ascii="Arial" w:cs="Arial" w:eastAsia="Arial" w:hAnsi="Arial"/>
          <w:sz w:val="16"/>
          <w:szCs w:val="16"/>
          <w:color w:val="1E1E1E"/>
        </w:rPr>
      </w:pPr>
      <w:r>
        <w:rPr>
          <w:rFonts w:ascii="Times New Roman" w:cs="Times New Roman" w:eastAsia="Times New Roman" w:hAnsi="Times New Roman"/>
          <w:sz w:val="20"/>
          <w:szCs w:val="20"/>
          <w:color w:val="1E1E1E"/>
        </w:rPr>
        <w:t>Inbound freight</w:t>
      </w:r>
    </w:p>
    <w:p>
      <w:pPr>
        <w:ind w:left="166" w:hanging="166"/>
        <w:spacing w:after="0"/>
        <w:tabs>
          <w:tab w:leader="none" w:pos="166" w:val="left"/>
        </w:tabs>
        <w:numPr>
          <w:ilvl w:val="0"/>
          <w:numId w:val="23"/>
        </w:numPr>
        <w:rPr>
          <w:rFonts w:ascii="Arial" w:cs="Arial" w:eastAsia="Arial" w:hAnsi="Arial"/>
          <w:sz w:val="16"/>
          <w:szCs w:val="16"/>
          <w:color w:val="1E1E1E"/>
        </w:rPr>
      </w:pPr>
      <w:r>
        <w:rPr>
          <w:rFonts w:ascii="Times New Roman" w:cs="Times New Roman" w:eastAsia="Times New Roman" w:hAnsi="Times New Roman"/>
          <w:sz w:val="20"/>
          <w:szCs w:val="20"/>
          <w:color w:val="1E1E1E"/>
        </w:rPr>
        <w:t>Freight from the Company's fulfillment centers to its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-716280</wp:posOffset>
            </wp:positionV>
            <wp:extent cx="318198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81985"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-277495</wp:posOffset>
            </wp:positionV>
            <wp:extent cx="318198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81985"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307340</wp:posOffset>
            </wp:positionV>
            <wp:extent cx="3432175" cy="292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32175" cy="292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945"/>
        <w:spacing w:after="0"/>
        <w:rPr>
          <w:sz w:val="20"/>
          <w:szCs w:val="20"/>
          <w:color w:val="auto"/>
        </w:rPr>
      </w:pPr>
      <w:r>
        <w:rPr>
          <w:rFonts w:ascii="Times New Roman" w:cs="Times New Roman" w:eastAsia="Times New Roman" w:hAnsi="Times New Roman"/>
          <w:sz w:val="16"/>
          <w:szCs w:val="16"/>
          <w:b w:val="1"/>
          <w:bCs w:val="1"/>
          <w:color w:val="1E1E1E"/>
        </w:rPr>
        <w:t>Selling, General and Administrative Expenses</w:t>
      </w:r>
    </w:p>
    <w:p>
      <w:pPr>
        <w:ind w:left="165" w:hanging="165"/>
        <w:spacing w:after="0"/>
        <w:tabs>
          <w:tab w:leader="none" w:pos="165" w:val="left"/>
        </w:tabs>
        <w:numPr>
          <w:ilvl w:val="0"/>
          <w:numId w:val="24"/>
        </w:numPr>
        <w:rPr>
          <w:rFonts w:ascii="Arial" w:cs="Arial" w:eastAsia="Arial" w:hAnsi="Arial"/>
          <w:sz w:val="16"/>
          <w:szCs w:val="16"/>
          <w:color w:val="1E1E1E"/>
        </w:rPr>
      </w:pPr>
      <w:r>
        <w:rPr>
          <w:rFonts w:ascii="Times New Roman" w:cs="Times New Roman" w:eastAsia="Times New Roman" w:hAnsi="Times New Roman"/>
          <w:sz w:val="20"/>
          <w:szCs w:val="20"/>
          <w:color w:val="1E1E1E"/>
        </w:rPr>
        <w:t>Payroll and payroll-related expenses</w:t>
      </w:r>
    </w:p>
    <w:p>
      <w:pPr>
        <w:ind w:left="165" w:right="120" w:hanging="165"/>
        <w:spacing w:after="0"/>
        <w:tabs>
          <w:tab w:leader="none" w:pos="165" w:val="left"/>
        </w:tabs>
        <w:numPr>
          <w:ilvl w:val="0"/>
          <w:numId w:val="24"/>
        </w:numPr>
        <w:rPr>
          <w:rFonts w:ascii="Arial" w:cs="Arial" w:eastAsia="Arial" w:hAnsi="Arial"/>
          <w:sz w:val="16"/>
          <w:szCs w:val="16"/>
          <w:color w:val="1E1E1E"/>
        </w:rPr>
      </w:pPr>
      <w:r>
        <w:rPr>
          <w:rFonts w:ascii="Times New Roman" w:cs="Times New Roman" w:eastAsia="Times New Roman" w:hAnsi="Times New Roman"/>
          <w:sz w:val="20"/>
          <w:szCs w:val="20"/>
          <w:color w:val="1E1E1E"/>
        </w:rPr>
        <w:t>Occupancy expenses related to stores and operations at the Company's headquarters, including utilities</w:t>
      </w:r>
    </w:p>
    <w:p>
      <w:pPr>
        <w:ind w:left="165" w:hanging="165"/>
        <w:spacing w:after="0"/>
        <w:tabs>
          <w:tab w:leader="none" w:pos="165" w:val="left"/>
        </w:tabs>
        <w:numPr>
          <w:ilvl w:val="0"/>
          <w:numId w:val="24"/>
        </w:numPr>
        <w:rPr>
          <w:rFonts w:ascii="Arial" w:cs="Arial" w:eastAsia="Arial" w:hAnsi="Arial"/>
          <w:sz w:val="16"/>
          <w:szCs w:val="16"/>
          <w:color w:val="1E1E1E"/>
        </w:rPr>
      </w:pPr>
      <w:r>
        <w:rPr>
          <w:rFonts w:ascii="Times New Roman" w:cs="Times New Roman" w:eastAsia="Times New Roman" w:hAnsi="Times New Roman"/>
          <w:sz w:val="20"/>
          <w:szCs w:val="20"/>
          <w:color w:val="1E1E1E"/>
        </w:rPr>
        <w:t>Depreciation and amortization</w:t>
      </w:r>
    </w:p>
    <w:p>
      <w:pPr>
        <w:ind w:left="165" w:right="20" w:hanging="165"/>
        <w:spacing w:after="0"/>
        <w:tabs>
          <w:tab w:leader="none" w:pos="165" w:val="left"/>
        </w:tabs>
        <w:numPr>
          <w:ilvl w:val="0"/>
          <w:numId w:val="24"/>
        </w:numPr>
        <w:rPr>
          <w:rFonts w:ascii="Arial" w:cs="Arial" w:eastAsia="Arial" w:hAnsi="Arial"/>
          <w:sz w:val="16"/>
          <w:szCs w:val="16"/>
          <w:color w:val="1E1E1E"/>
        </w:rPr>
      </w:pPr>
      <w:r>
        <w:rPr>
          <w:rFonts w:ascii="Times New Roman" w:cs="Times New Roman" w:eastAsia="Times New Roman" w:hAnsi="Times New Roman"/>
          <w:sz w:val="20"/>
          <w:szCs w:val="20"/>
          <w:color w:val="1E1E1E"/>
        </w:rPr>
        <w:t>Marketing expenses including: digital, television, and social media advertising; catalog production and mailing; and print advertising costs</w:t>
      </w:r>
    </w:p>
    <w:p>
      <w:pPr>
        <w:spacing w:after="0" w:line="1" w:lineRule="exact"/>
        <w:rPr>
          <w:rFonts w:ascii="Arial" w:cs="Arial" w:eastAsia="Arial" w:hAnsi="Arial"/>
          <w:sz w:val="16"/>
          <w:szCs w:val="16"/>
          <w:color w:val="1E1E1E"/>
        </w:rPr>
      </w:pPr>
    </w:p>
    <w:p>
      <w:pPr>
        <w:ind w:left="165" w:right="680" w:hanging="165"/>
        <w:spacing w:after="0" w:line="237" w:lineRule="auto"/>
        <w:tabs>
          <w:tab w:leader="none" w:pos="165" w:val="left"/>
        </w:tabs>
        <w:numPr>
          <w:ilvl w:val="0"/>
          <w:numId w:val="24"/>
        </w:numPr>
        <w:rPr>
          <w:rFonts w:ascii="Arial" w:cs="Arial" w:eastAsia="Arial" w:hAnsi="Arial"/>
          <w:sz w:val="16"/>
          <w:szCs w:val="16"/>
          <w:color w:val="1E1E1E"/>
        </w:rPr>
      </w:pPr>
      <w:r>
        <w:rPr>
          <w:rFonts w:ascii="Times New Roman" w:cs="Times New Roman" w:eastAsia="Times New Roman" w:hAnsi="Times New Roman"/>
          <w:sz w:val="20"/>
          <w:szCs w:val="20"/>
          <w:color w:val="1E1E1E"/>
        </w:rPr>
        <w:t>Logistical costs associated with shipping product to customers</w:t>
      </w:r>
    </w:p>
    <w:p>
      <w:pPr>
        <w:spacing w:after="0" w:line="1" w:lineRule="exact"/>
        <w:rPr>
          <w:rFonts w:ascii="Arial" w:cs="Arial" w:eastAsia="Arial" w:hAnsi="Arial"/>
          <w:sz w:val="16"/>
          <w:szCs w:val="16"/>
          <w:color w:val="1E1E1E"/>
        </w:rPr>
      </w:pPr>
    </w:p>
    <w:p>
      <w:pPr>
        <w:ind w:left="165" w:right="40" w:hanging="165"/>
        <w:spacing w:after="0" w:line="281" w:lineRule="auto"/>
        <w:tabs>
          <w:tab w:leader="none" w:pos="165" w:val="left"/>
        </w:tabs>
        <w:numPr>
          <w:ilvl w:val="0"/>
          <w:numId w:val="24"/>
        </w:numPr>
        <w:rPr>
          <w:rFonts w:ascii="Arial" w:cs="Arial" w:eastAsia="Arial" w:hAnsi="Arial"/>
          <w:sz w:val="16"/>
          <w:szCs w:val="16"/>
          <w:color w:val="1E1E1E"/>
        </w:rPr>
      </w:pPr>
      <w:r>
        <w:rPr>
          <w:rFonts w:ascii="Times New Roman" w:cs="Times New Roman" w:eastAsia="Times New Roman" w:hAnsi="Times New Roman"/>
          <w:sz w:val="20"/>
          <w:szCs w:val="20"/>
          <w:color w:val="1E1E1E"/>
        </w:rPr>
        <w:t>Consulting and software expenses and professional services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-1640840</wp:posOffset>
            </wp:positionV>
            <wp:extent cx="332867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28670" cy="146050"/>
                    </a:xfrm>
                    <a:prstGeom prst="rect">
                      <a:avLst/>
                    </a:prstGeom>
                    <a:noFill/>
                  </pic:spPr>
                </pic:pic>
              </a:graphicData>
            </a:graphic>
          </wp:anchor>
        </w:drawing>
        <w:drawing>
          <wp:anchor simplePos="0" relativeHeight="251657728" behindDoc="1" locked="0" layoutInCell="0" allowOverlap="1">
            <wp:simplePos x="0" y="0"/>
            <wp:positionH relativeFrom="column">
              <wp:posOffset>-145415</wp:posOffset>
            </wp:positionH>
            <wp:positionV relativeFrom="paragraph">
              <wp:posOffset>-1202055</wp:posOffset>
            </wp:positionV>
            <wp:extent cx="332867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28670" cy="146050"/>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-616585</wp:posOffset>
            </wp:positionV>
            <wp:extent cx="3078480" cy="292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78480" cy="292735"/>
                    </a:xfrm>
                    <a:prstGeom prst="rect">
                      <a:avLst/>
                    </a:prstGeom>
                    <a:noFill/>
                  </pic:spPr>
                </pic:pic>
              </a:graphicData>
            </a:graphic>
          </wp:anchor>
        </w:drawing>
        <w:drawing>
          <wp:anchor simplePos="0" relativeHeight="251657728" behindDoc="1" locked="0" layoutInCell="0" allowOverlap="1">
            <wp:simplePos x="0" y="0"/>
            <wp:positionH relativeFrom="column">
              <wp:posOffset>-3328035</wp:posOffset>
            </wp:positionH>
            <wp:positionV relativeFrom="paragraph">
              <wp:posOffset>-34290</wp:posOffset>
            </wp:positionV>
            <wp:extent cx="651065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10655" cy="14605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4906" w:space="335"/>
            <w:col w:w="4985"/>
          </w:cols>
          <w:pgMar w:left="814" w:top="226" w:right="840" w:bottom="0" w:gutter="0" w:footer="0" w:header="0"/>
          <w:type w:val="continuous"/>
        </w:sectPr>
      </w:pPr>
    </w:p>
    <w:p>
      <w:pPr>
        <w:spacing w:after="0" w:line="185"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1E1E1E"/>
        </w:rPr>
        <w:t>Advertising and Catalog Expenses</w:t>
      </w:r>
    </w:p>
    <w:p>
      <w:pPr>
        <w:spacing w:after="0" w:line="200" w:lineRule="exact"/>
        <w:rPr>
          <w:sz w:val="20"/>
          <w:szCs w:val="20"/>
          <w:color w:val="auto"/>
        </w:rPr>
      </w:pPr>
    </w:p>
    <w:p>
      <w:pPr>
        <w:ind w:left="6" w:right="60" w:firstLine="490"/>
        <w:spacing w:after="0" w:line="258" w:lineRule="auto"/>
        <w:rPr>
          <w:sz w:val="20"/>
          <w:szCs w:val="20"/>
          <w:color w:val="auto"/>
        </w:rPr>
      </w:pPr>
      <w:r>
        <w:rPr>
          <w:rFonts w:ascii="Times New Roman" w:cs="Times New Roman" w:eastAsia="Times New Roman" w:hAnsi="Times New Roman"/>
          <w:sz w:val="20"/>
          <w:szCs w:val="20"/>
          <w:color w:val="1E1E1E"/>
        </w:rPr>
        <w:t>The Company’s advertising and catalog expense primarily consists of web marketing programs, social media and radio and television advertisements, which are expensed as they are incurred. The Company’s direct-response advertising consists of producing, printing and mailing catalogs, which are expensed upon receipt by customers.</w:t>
      </w:r>
    </w:p>
    <w:p>
      <w:pPr>
        <w:spacing w:after="0" w:line="146" w:lineRule="exact"/>
        <w:rPr>
          <w:sz w:val="20"/>
          <w:szCs w:val="20"/>
          <w:color w:val="auto"/>
        </w:rPr>
      </w:pPr>
    </w:p>
    <w:p>
      <w:pPr>
        <w:ind w:left="486"/>
        <w:spacing w:after="0"/>
        <w:rPr>
          <w:sz w:val="20"/>
          <w:szCs w:val="20"/>
          <w:color w:val="auto"/>
        </w:rPr>
      </w:pPr>
      <w:r>
        <w:rPr>
          <w:rFonts w:ascii="Times New Roman" w:cs="Times New Roman" w:eastAsia="Times New Roman" w:hAnsi="Times New Roman"/>
          <w:sz w:val="20"/>
          <w:szCs w:val="20"/>
          <w:color w:val="1E1E1E"/>
        </w:rPr>
        <w:t>Advertising and Catalog expenses were $67.5 million and $69.0 million for fiscal 2024 and fiscal 2023, respectively.</w:t>
      </w:r>
    </w:p>
    <w:p>
      <w:pPr>
        <w:sectPr>
          <w:pgSz w:w="11880" w:h="15480" w:orient="portrait"/>
          <w:cols w:equalWidth="0" w:num="1">
            <w:col w:w="10226"/>
          </w:cols>
          <w:pgMar w:left="814" w:top="226" w:right="8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color w:val="1E1E1E"/>
        </w:rPr>
        <w:t>46</w:t>
      </w:r>
    </w:p>
    <w:p>
      <w:pPr>
        <w:sectPr>
          <w:pgSz w:w="11880" w:h="15480" w:orient="portrait"/>
          <w:cols w:equalWidth="0" w:num="1">
            <w:col w:w="10226"/>
          </w:cols>
          <w:pgMar w:left="814" w:top="226" w:right="840" w:bottom="0"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20"/>
          <w:szCs w:val="20"/>
          <w:b w:val="1"/>
          <w:bCs w:val="1"/>
          <w:color w:val="1E1E1E"/>
        </w:rPr>
        <w:t>DULUTH HOLDINGS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Shipping and Processing</w:t>
      </w:r>
    </w:p>
    <w:p>
      <w:pPr>
        <w:spacing w:after="0" w:line="196" w:lineRule="exact"/>
        <w:rPr>
          <w:sz w:val="20"/>
          <w:szCs w:val="20"/>
          <w:color w:val="auto"/>
        </w:rPr>
      </w:pPr>
    </w:p>
    <w:p>
      <w:pPr>
        <w:ind w:right="40" w:firstLine="490"/>
        <w:spacing w:after="0" w:line="254" w:lineRule="auto"/>
        <w:rPr>
          <w:sz w:val="20"/>
          <w:szCs w:val="20"/>
          <w:color w:val="auto"/>
        </w:rPr>
      </w:pPr>
      <w:r>
        <w:rPr>
          <w:rFonts w:ascii="Times New Roman" w:cs="Times New Roman" w:eastAsia="Times New Roman" w:hAnsi="Times New Roman"/>
          <w:sz w:val="20"/>
          <w:szCs w:val="20"/>
          <w:color w:val="1E1E1E"/>
        </w:rPr>
        <w:t>Shipping and processing revenue generated from customer orders has been classified as a component of net sales. Shipping and processing expense, including handling expense, has been classified as a component of selling, general and administrative expenses. The Company incurred shipping and processing expenses of $43.7 million and $47.2 million for fiscal 2024 and fiscal 2023, respectively.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Income Taxes</w:t>
      </w:r>
    </w:p>
    <w:p>
      <w:pPr>
        <w:spacing w:after="0" w:line="196" w:lineRule="exact"/>
        <w:rPr>
          <w:sz w:val="20"/>
          <w:szCs w:val="20"/>
          <w:color w:val="auto"/>
        </w:rPr>
      </w:pPr>
    </w:p>
    <w:p>
      <w:pPr>
        <w:ind w:firstLine="490"/>
        <w:spacing w:after="0" w:line="264" w:lineRule="auto"/>
        <w:rPr>
          <w:sz w:val="20"/>
          <w:szCs w:val="20"/>
          <w:color w:val="auto"/>
        </w:rPr>
      </w:pPr>
      <w:r>
        <w:rPr>
          <w:rFonts w:ascii="Times New Roman" w:cs="Times New Roman" w:eastAsia="Times New Roman" w:hAnsi="Times New Roman"/>
          <w:sz w:val="19"/>
          <w:szCs w:val="19"/>
          <w:color w:val="1E1E1E"/>
        </w:rPr>
        <w:t xml:space="preserve">The Company accounts for income taxes and related accounts using the asset/liability method in accordance with ASC Topic 740, </w:t>
      </w:r>
      <w:r>
        <w:rPr>
          <w:rFonts w:ascii="Times New Roman" w:cs="Times New Roman" w:eastAsia="Times New Roman" w:hAnsi="Times New Roman"/>
          <w:sz w:val="19"/>
          <w:szCs w:val="19"/>
          <w:i w:val="1"/>
          <w:iCs w:val="1"/>
          <w:color w:val="1E1E1E"/>
        </w:rPr>
        <w:t>Income Taxes</w:t>
      </w:r>
      <w:r>
        <w:rPr>
          <w:rFonts w:ascii="Times New Roman" w:cs="Times New Roman" w:eastAsia="Times New Roman" w:hAnsi="Times New Roman"/>
          <w:sz w:val="19"/>
          <w:szCs w:val="19"/>
          <w:color w:val="1E1E1E"/>
        </w:rPr>
        <w:t xml:space="preserve"> (“ASC 740”). Under ASC 740, the Company accrues income taxes payable or refundable and recognizes deferred tax assets and liabilities based on differences between U.S. GAAP and tax bases of assets and liabilities. The Company measures deferred tax assets and liabilities using enacted tax rates in effect for the years in which the differences are expected to reverse, and recognizes the effect of a change in enacted rates in the period of enactment. A valuation allowance is established if it is more likely than not that some portion or all of the deferred income tax asset will not be realized.</w:t>
      </w:r>
    </w:p>
    <w:p>
      <w:pPr>
        <w:spacing w:after="0" w:line="137" w:lineRule="exact"/>
        <w:rPr>
          <w:sz w:val="20"/>
          <w:szCs w:val="20"/>
          <w:color w:val="auto"/>
        </w:rPr>
      </w:pPr>
    </w:p>
    <w:p>
      <w:pPr>
        <w:ind w:right="80" w:firstLine="490"/>
        <w:spacing w:after="0" w:line="254" w:lineRule="auto"/>
        <w:rPr>
          <w:sz w:val="20"/>
          <w:szCs w:val="20"/>
          <w:color w:val="auto"/>
        </w:rPr>
      </w:pPr>
      <w:r>
        <w:rPr>
          <w:rFonts w:ascii="Times New Roman" w:cs="Times New Roman" w:eastAsia="Times New Roman" w:hAnsi="Times New Roman"/>
          <w:sz w:val="20"/>
          <w:szCs w:val="20"/>
          <w:color w:val="1E1E1E"/>
        </w:rPr>
        <w:t>The Company establishes assets and liabilities for uncertain tax positions taken or expected to be taken in income tax returns, using a more-likely-than-not recognition threshold. The Company recognizes penalties and interest related to uncertain tax positions as income tax expense. See Note 9 “Income Taxes,” of these Notes to Consolidated Financial Statements for further discussion.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Concentrations of Credit Risk</w:t>
      </w:r>
    </w:p>
    <w:p>
      <w:pPr>
        <w:spacing w:after="0" w:line="196" w:lineRule="exact"/>
        <w:rPr>
          <w:sz w:val="20"/>
          <w:szCs w:val="20"/>
          <w:color w:val="auto"/>
        </w:rPr>
      </w:pPr>
    </w:p>
    <w:p>
      <w:pPr>
        <w:ind w:right="200" w:firstLine="490"/>
        <w:spacing w:after="0" w:line="254" w:lineRule="auto"/>
        <w:rPr>
          <w:sz w:val="20"/>
          <w:szCs w:val="20"/>
          <w:color w:val="auto"/>
        </w:rPr>
      </w:pPr>
      <w:r>
        <w:rPr>
          <w:rFonts w:ascii="Times New Roman" w:cs="Times New Roman" w:eastAsia="Times New Roman" w:hAnsi="Times New Roman"/>
          <w:sz w:val="20"/>
          <w:szCs w:val="20"/>
          <w:color w:val="1E1E1E"/>
        </w:rPr>
        <w:t>Financial instruments that potentially subject the Company to concentrations of credit risk consist principally of cash deposits. At various times during the year, the Company has certain cash balances deposited in financial institutions in excess of federally insured limits. The Company has not experienced any losses in such accounts and management believes it is not exposed to any significant credit risk.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Cash and Cash Equivalents</w:t>
      </w:r>
    </w:p>
    <w:p>
      <w:pPr>
        <w:spacing w:after="0" w:line="200" w:lineRule="exact"/>
        <w:rPr>
          <w:sz w:val="20"/>
          <w:szCs w:val="20"/>
          <w:color w:val="auto"/>
        </w:rPr>
      </w:pPr>
    </w:p>
    <w:p>
      <w:pPr>
        <w:ind w:right="60" w:firstLine="490"/>
        <w:spacing w:after="0" w:line="254" w:lineRule="auto"/>
        <w:rPr>
          <w:sz w:val="20"/>
          <w:szCs w:val="20"/>
          <w:color w:val="auto"/>
        </w:rPr>
      </w:pPr>
      <w:r>
        <w:rPr>
          <w:rFonts w:ascii="Times New Roman" w:cs="Times New Roman" w:eastAsia="Times New Roman" w:hAnsi="Times New Roman"/>
          <w:sz w:val="20"/>
          <w:szCs w:val="20"/>
          <w:color w:val="1E1E1E"/>
        </w:rPr>
        <w:t>The Company considers short-term investments with original maturities of three months or less when purchased to be cash equivalents. As of February 2, 2025, Cash and cash equivalents consisted of cash, amounts receivable from credit card issuers and money market funds. Amounts receivable from credit card issuers are typically converted to cash within 2 to 4 days of the original sales transaction and are considered to be cash equivalents.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Significant Suppliers</w:t>
      </w:r>
    </w:p>
    <w:p>
      <w:pPr>
        <w:spacing w:after="0" w:line="200" w:lineRule="exact"/>
        <w:rPr>
          <w:sz w:val="20"/>
          <w:szCs w:val="20"/>
          <w:color w:val="auto"/>
        </w:rPr>
      </w:pPr>
    </w:p>
    <w:p>
      <w:pPr>
        <w:ind w:right="20" w:firstLine="490"/>
        <w:spacing w:after="0" w:line="281" w:lineRule="auto"/>
        <w:rPr>
          <w:sz w:val="20"/>
          <w:szCs w:val="20"/>
          <w:color w:val="auto"/>
        </w:rPr>
      </w:pPr>
      <w:r>
        <w:rPr>
          <w:rFonts w:ascii="Times New Roman" w:cs="Times New Roman" w:eastAsia="Times New Roman" w:hAnsi="Times New Roman"/>
          <w:sz w:val="20"/>
          <w:szCs w:val="20"/>
          <w:color w:val="1E1E1E"/>
        </w:rPr>
        <w:t>The Company’s principal supplier of inventory accounted for 43% and 59% of total inventory expenditures in fiscal 2024 and fiscal 2023,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Inventories</w:t>
      </w:r>
    </w:p>
    <w:p>
      <w:pPr>
        <w:spacing w:after="0" w:line="200" w:lineRule="exact"/>
        <w:rPr>
          <w:sz w:val="20"/>
          <w:szCs w:val="20"/>
          <w:color w:val="auto"/>
        </w:rPr>
      </w:pPr>
    </w:p>
    <w:p>
      <w:pPr>
        <w:ind w:right="220" w:firstLine="490"/>
        <w:spacing w:after="0" w:line="254" w:lineRule="auto"/>
        <w:rPr>
          <w:sz w:val="20"/>
          <w:szCs w:val="20"/>
          <w:color w:val="auto"/>
        </w:rPr>
      </w:pPr>
      <w:r>
        <w:rPr>
          <w:rFonts w:ascii="Times New Roman" w:cs="Times New Roman" w:eastAsia="Times New Roman" w:hAnsi="Times New Roman"/>
          <w:sz w:val="20"/>
          <w:szCs w:val="20"/>
          <w:color w:val="1E1E1E"/>
        </w:rPr>
        <w:t>Inventory consists of finished goods stated at the lower of cost or net realizable value, with cost determined using the first-in, first-out valuation method. The Company records an inventory reserve for the anticipated loss associated with selling inventories below cost. Inventory reserve for excess, obsolete items and shrinkage was $2.1 million and $1.4 million as of February 2, 2025 and January 28, 2024, respectively.</w:t>
      </w:r>
    </w:p>
    <w:p>
      <w:pPr>
        <w:sectPr>
          <w:pgSz w:w="11880" w:h="15480" w:orient="portrait"/>
          <w:cols w:equalWidth="0" w:num="1">
            <w:col w:w="10240"/>
          </w:cols>
          <w:pgMar w:left="820" w:top="22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47</w:t>
      </w:r>
    </w:p>
    <w:p>
      <w:pPr>
        <w:sectPr>
          <w:pgSz w:w="11880" w:h="15480" w:orient="portrait"/>
          <w:cols w:equalWidth="0" w:num="1">
            <w:col w:w="10240"/>
          </w:cols>
          <w:pgMar w:left="820" w:top="226" w:right="820" w:bottom="0"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20"/>
          <w:szCs w:val="20"/>
          <w:b w:val="1"/>
          <w:bCs w:val="1"/>
          <w:color w:val="1E1E1E"/>
        </w:rPr>
        <w:t>DULUTH HOLDINGS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Property and Equipment</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E1E1E"/>
        </w:rPr>
        <w:t>Property and equipment consist of the following:</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1E1E1E"/>
              </w:rPr>
              <w:t>February 2, 2025</w:t>
            </w:r>
          </w:p>
        </w:tc>
        <w:tc>
          <w:tcPr>
            <w:tcW w:w="280" w:type="dxa"/>
            <w:vAlign w:val="bottom"/>
          </w:tcPr>
          <w:p>
            <w:pPr>
              <w:spacing w:after="0"/>
              <w:rPr>
                <w:sz w:val="17"/>
                <w:szCs w:val="17"/>
                <w:color w:val="auto"/>
              </w:rPr>
            </w:pPr>
          </w:p>
        </w:tc>
        <w:tc>
          <w:tcPr>
            <w:tcW w:w="192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1E1E1E"/>
              </w:rPr>
              <w:t>January 28, 2024</w:t>
            </w:r>
          </w:p>
        </w:tc>
      </w:tr>
      <w:tr>
        <w:trPr>
          <w:trHeight w:val="220"/>
        </w:trPr>
        <w:tc>
          <w:tcPr>
            <w:tcW w:w="558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1E1E1E"/>
              </w:rPr>
              <w:t>(in thousands)</w:t>
            </w:r>
          </w:p>
        </w:tc>
        <w:tc>
          <w:tcPr>
            <w:tcW w:w="320" w:type="dxa"/>
            <w:vAlign w:val="bottom"/>
            <w:tcBorders>
              <w:top w:val="single" w:sz="8" w:color="1E1E1E"/>
            </w:tcBorders>
          </w:tcPr>
          <w:p>
            <w:pPr>
              <w:spacing w:after="0"/>
              <w:rPr>
                <w:sz w:val="19"/>
                <w:szCs w:val="19"/>
                <w:color w:val="auto"/>
              </w:rPr>
            </w:pPr>
          </w:p>
        </w:tc>
        <w:tc>
          <w:tcPr>
            <w:tcW w:w="1880" w:type="dxa"/>
            <w:vAlign w:val="bottom"/>
            <w:tcBorders>
              <w:top w:val="single" w:sz="8" w:color="1E1E1E"/>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1E1E1E"/>
            </w:tcBorders>
          </w:tcPr>
          <w:p>
            <w:pPr>
              <w:spacing w:after="0"/>
              <w:rPr>
                <w:sz w:val="19"/>
                <w:szCs w:val="19"/>
                <w:color w:val="auto"/>
              </w:rPr>
            </w:pPr>
          </w:p>
        </w:tc>
        <w:tc>
          <w:tcPr>
            <w:tcW w:w="1920" w:type="dxa"/>
            <w:vAlign w:val="bottom"/>
            <w:tcBorders>
              <w:top w:val="single" w:sz="8" w:color="1E1E1E"/>
            </w:tcBorders>
          </w:tcPr>
          <w:p>
            <w:pPr>
              <w:spacing w:after="0"/>
              <w:rPr>
                <w:sz w:val="19"/>
                <w:szCs w:val="19"/>
                <w:color w:val="auto"/>
              </w:rPr>
            </w:pPr>
          </w:p>
        </w:tc>
      </w:tr>
      <w:tr>
        <w:trPr>
          <w:trHeight w:val="226"/>
        </w:trPr>
        <w:tc>
          <w:tcPr>
            <w:tcW w:w="532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Land and land improvements</w:t>
            </w:r>
          </w:p>
        </w:tc>
        <w:tc>
          <w:tcPr>
            <w:tcW w:w="2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320" w:type="dxa"/>
            <w:vAlign w:val="bottom"/>
            <w:shd w:val="clear" w:color="auto" w:fill="E2E2E2"/>
          </w:tcPr>
          <w:p>
            <w:pPr>
              <w:jc w:val="right"/>
              <w:ind w:right="119"/>
              <w:spacing w:after="0" w:line="226" w:lineRule="exact"/>
              <w:rPr>
                <w:sz w:val="20"/>
                <w:szCs w:val="20"/>
                <w:color w:val="auto"/>
              </w:rPr>
            </w:pPr>
            <w:r>
              <w:rPr>
                <w:rFonts w:ascii="Times New Roman" w:cs="Times New Roman" w:eastAsia="Times New Roman" w:hAnsi="Times New Roman"/>
                <w:sz w:val="20"/>
                <w:szCs w:val="20"/>
                <w:color w:val="1E1E1E"/>
                <w:w w:val="79"/>
              </w:rPr>
              <w:t>$</w:t>
            </w:r>
          </w:p>
        </w:tc>
        <w:tc>
          <w:tcPr>
            <w:tcW w:w="18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4,486</w:t>
            </w:r>
          </w:p>
        </w:tc>
        <w:tc>
          <w:tcPr>
            <w:tcW w:w="260" w:type="dxa"/>
            <w:vAlign w:val="bottom"/>
            <w:shd w:val="clear" w:color="auto" w:fill="E2E2E2"/>
          </w:tcPr>
          <w:p>
            <w:pPr>
              <w:spacing w:after="0"/>
              <w:rPr>
                <w:sz w:val="19"/>
                <w:szCs w:val="19"/>
                <w:color w:val="auto"/>
              </w:rPr>
            </w:pPr>
          </w:p>
        </w:tc>
        <w:tc>
          <w:tcPr>
            <w:tcW w:w="280" w:type="dxa"/>
            <w:vAlign w:val="bottom"/>
            <w:shd w:val="clear" w:color="auto" w:fill="E2E2E2"/>
          </w:tcPr>
          <w:p>
            <w:pPr>
              <w:jc w:val="right"/>
              <w:ind w:right="79"/>
              <w:spacing w:after="0" w:line="226" w:lineRule="exact"/>
              <w:rPr>
                <w:sz w:val="20"/>
                <w:szCs w:val="20"/>
                <w:color w:val="auto"/>
              </w:rPr>
            </w:pPr>
            <w:r>
              <w:rPr>
                <w:rFonts w:ascii="Times New Roman" w:cs="Times New Roman" w:eastAsia="Times New Roman" w:hAnsi="Times New Roman"/>
                <w:sz w:val="20"/>
                <w:szCs w:val="20"/>
                <w:color w:val="1E1E1E"/>
                <w:w w:val="79"/>
              </w:rPr>
              <w:t>$</w:t>
            </w:r>
          </w:p>
        </w:tc>
        <w:tc>
          <w:tcPr>
            <w:tcW w:w="192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4,486</w:t>
            </w:r>
          </w:p>
        </w:tc>
      </w:tr>
      <w:tr>
        <w:trPr>
          <w:trHeight w:val="226"/>
        </w:trPr>
        <w:tc>
          <w:tcPr>
            <w:tcW w:w="53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Leasehold improvements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57,732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56,850</w:t>
            </w:r>
          </w:p>
        </w:tc>
      </w:tr>
      <w:tr>
        <w:trPr>
          <w:trHeight w:val="226"/>
        </w:trPr>
        <w:tc>
          <w:tcPr>
            <w:tcW w:w="5580" w:type="dxa"/>
            <w:vAlign w:val="bottom"/>
            <w:gridSpan w:val="3"/>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Buildings</w:t>
            </w:r>
          </w:p>
        </w:tc>
        <w:tc>
          <w:tcPr>
            <w:tcW w:w="320" w:type="dxa"/>
            <w:vAlign w:val="bottom"/>
            <w:shd w:val="clear" w:color="auto" w:fill="E2E2E2"/>
          </w:tcPr>
          <w:p>
            <w:pPr>
              <w:spacing w:after="0"/>
              <w:rPr>
                <w:sz w:val="19"/>
                <w:szCs w:val="19"/>
                <w:color w:val="auto"/>
              </w:rPr>
            </w:pPr>
          </w:p>
        </w:tc>
        <w:tc>
          <w:tcPr>
            <w:tcW w:w="18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36,272</w:t>
            </w:r>
          </w:p>
        </w:tc>
        <w:tc>
          <w:tcPr>
            <w:tcW w:w="260" w:type="dxa"/>
            <w:vAlign w:val="bottom"/>
            <w:shd w:val="clear" w:color="auto" w:fill="E2E2E2"/>
          </w:tcPr>
          <w:p>
            <w:pPr>
              <w:spacing w:after="0"/>
              <w:rPr>
                <w:sz w:val="19"/>
                <w:szCs w:val="19"/>
                <w:color w:val="auto"/>
              </w:rPr>
            </w:pPr>
          </w:p>
        </w:tc>
        <w:tc>
          <w:tcPr>
            <w:tcW w:w="280" w:type="dxa"/>
            <w:vAlign w:val="bottom"/>
            <w:shd w:val="clear" w:color="auto" w:fill="E2E2E2"/>
          </w:tcPr>
          <w:p>
            <w:pPr>
              <w:spacing w:after="0"/>
              <w:rPr>
                <w:sz w:val="19"/>
                <w:szCs w:val="19"/>
                <w:color w:val="auto"/>
              </w:rPr>
            </w:pPr>
          </w:p>
        </w:tc>
        <w:tc>
          <w:tcPr>
            <w:tcW w:w="192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36,191</w:t>
            </w:r>
          </w:p>
        </w:tc>
      </w:tr>
      <w:tr>
        <w:trPr>
          <w:trHeight w:val="226"/>
        </w:trPr>
        <w:tc>
          <w:tcPr>
            <w:tcW w:w="5580" w:type="dxa"/>
            <w:vAlign w:val="bottom"/>
            <w:gridSpan w:val="3"/>
          </w:tcPr>
          <w:p>
            <w:pPr>
              <w:spacing w:after="0" w:line="226" w:lineRule="exact"/>
              <w:rPr>
                <w:sz w:val="20"/>
                <w:szCs w:val="20"/>
                <w:color w:val="auto"/>
              </w:rPr>
            </w:pPr>
            <w:r>
              <w:rPr>
                <w:rFonts w:ascii="Times New Roman" w:cs="Times New Roman" w:eastAsia="Times New Roman" w:hAnsi="Times New Roman"/>
                <w:sz w:val="20"/>
                <w:szCs w:val="20"/>
                <w:color w:val="1E1E1E"/>
              </w:rPr>
              <w:t>Vehicles</w:t>
            </w:r>
          </w:p>
        </w:tc>
        <w:tc>
          <w:tcPr>
            <w:tcW w:w="320" w:type="dxa"/>
            <w:vAlign w:val="bottom"/>
          </w:tcPr>
          <w:p>
            <w:pPr>
              <w:spacing w:after="0"/>
              <w:rPr>
                <w:sz w:val="19"/>
                <w:szCs w:val="19"/>
                <w:color w:val="auto"/>
              </w:rPr>
            </w:pPr>
          </w:p>
        </w:tc>
        <w:tc>
          <w:tcPr>
            <w:tcW w:w="18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84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121</w:t>
            </w:r>
          </w:p>
        </w:tc>
      </w:tr>
      <w:tr>
        <w:trPr>
          <w:trHeight w:val="226"/>
        </w:trPr>
        <w:tc>
          <w:tcPr>
            <w:tcW w:w="532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Warehouse equipment</w:t>
            </w:r>
          </w:p>
        </w:tc>
        <w:tc>
          <w:tcPr>
            <w:tcW w:w="2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320" w:type="dxa"/>
            <w:vAlign w:val="bottom"/>
            <w:shd w:val="clear" w:color="auto" w:fill="E2E2E2"/>
          </w:tcPr>
          <w:p>
            <w:pPr>
              <w:spacing w:after="0"/>
              <w:rPr>
                <w:sz w:val="19"/>
                <w:szCs w:val="19"/>
                <w:color w:val="auto"/>
              </w:rPr>
            </w:pPr>
          </w:p>
        </w:tc>
        <w:tc>
          <w:tcPr>
            <w:tcW w:w="18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65,592</w:t>
            </w:r>
          </w:p>
        </w:tc>
        <w:tc>
          <w:tcPr>
            <w:tcW w:w="260" w:type="dxa"/>
            <w:vAlign w:val="bottom"/>
            <w:shd w:val="clear" w:color="auto" w:fill="E2E2E2"/>
          </w:tcPr>
          <w:p>
            <w:pPr>
              <w:spacing w:after="0"/>
              <w:rPr>
                <w:sz w:val="19"/>
                <w:szCs w:val="19"/>
                <w:color w:val="auto"/>
              </w:rPr>
            </w:pPr>
          </w:p>
        </w:tc>
        <w:tc>
          <w:tcPr>
            <w:tcW w:w="280" w:type="dxa"/>
            <w:vAlign w:val="bottom"/>
            <w:shd w:val="clear" w:color="auto" w:fill="E2E2E2"/>
          </w:tcPr>
          <w:p>
            <w:pPr>
              <w:spacing w:after="0"/>
              <w:rPr>
                <w:sz w:val="19"/>
                <w:szCs w:val="19"/>
                <w:color w:val="auto"/>
              </w:rPr>
            </w:pPr>
          </w:p>
        </w:tc>
        <w:tc>
          <w:tcPr>
            <w:tcW w:w="192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66,481</w:t>
            </w:r>
          </w:p>
        </w:tc>
      </w:tr>
      <w:tr>
        <w:trPr>
          <w:trHeight w:val="221"/>
        </w:trPr>
        <w:tc>
          <w:tcPr>
            <w:tcW w:w="5320" w:type="dxa"/>
            <w:vAlign w:val="bottom"/>
          </w:tcPr>
          <w:p>
            <w:pPr>
              <w:spacing w:after="0" w:line="221" w:lineRule="exact"/>
              <w:rPr>
                <w:sz w:val="20"/>
                <w:szCs w:val="20"/>
                <w:color w:val="auto"/>
              </w:rPr>
            </w:pPr>
            <w:r>
              <w:rPr>
                <w:rFonts w:ascii="Times New Roman" w:cs="Times New Roman" w:eastAsia="Times New Roman" w:hAnsi="Times New Roman"/>
                <w:sz w:val="20"/>
                <w:szCs w:val="20"/>
                <w:color w:val="1E1E1E"/>
              </w:rPr>
              <w:t>Office equipment and furniture</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1E1E1E"/>
              </w:rPr>
              <w:t>54,542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1E1E1E"/>
              </w:rPr>
              <w:t>54,294</w:t>
            </w:r>
          </w:p>
        </w:tc>
      </w:tr>
      <w:tr>
        <w:trPr>
          <w:trHeight w:val="226"/>
        </w:trPr>
        <w:tc>
          <w:tcPr>
            <w:tcW w:w="532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Computer equipment</w:t>
            </w:r>
          </w:p>
        </w:tc>
        <w:tc>
          <w:tcPr>
            <w:tcW w:w="2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320" w:type="dxa"/>
            <w:vAlign w:val="bottom"/>
            <w:shd w:val="clear" w:color="auto" w:fill="E2E2E2"/>
          </w:tcPr>
          <w:p>
            <w:pPr>
              <w:spacing w:after="0"/>
              <w:rPr>
                <w:sz w:val="19"/>
                <w:szCs w:val="19"/>
                <w:color w:val="auto"/>
              </w:rPr>
            </w:pPr>
          </w:p>
        </w:tc>
        <w:tc>
          <w:tcPr>
            <w:tcW w:w="18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9,472</w:t>
            </w:r>
          </w:p>
        </w:tc>
        <w:tc>
          <w:tcPr>
            <w:tcW w:w="260" w:type="dxa"/>
            <w:vAlign w:val="bottom"/>
            <w:shd w:val="clear" w:color="auto" w:fill="E2E2E2"/>
          </w:tcPr>
          <w:p>
            <w:pPr>
              <w:spacing w:after="0"/>
              <w:rPr>
                <w:sz w:val="19"/>
                <w:szCs w:val="19"/>
                <w:color w:val="auto"/>
              </w:rPr>
            </w:pPr>
          </w:p>
        </w:tc>
        <w:tc>
          <w:tcPr>
            <w:tcW w:w="280" w:type="dxa"/>
            <w:vAlign w:val="bottom"/>
            <w:shd w:val="clear" w:color="auto" w:fill="E2E2E2"/>
          </w:tcPr>
          <w:p>
            <w:pPr>
              <w:spacing w:after="0"/>
              <w:rPr>
                <w:sz w:val="19"/>
                <w:szCs w:val="19"/>
                <w:color w:val="auto"/>
              </w:rPr>
            </w:pPr>
          </w:p>
        </w:tc>
        <w:tc>
          <w:tcPr>
            <w:tcW w:w="192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11,142</w:t>
            </w:r>
          </w:p>
        </w:tc>
      </w:tr>
      <w:tr>
        <w:trPr>
          <w:trHeight w:val="226"/>
        </w:trPr>
        <w:tc>
          <w:tcPr>
            <w:tcW w:w="5320" w:type="dxa"/>
            <w:vAlign w:val="bottom"/>
            <w:tcBorders>
              <w:bottom w:val="single" w:sz="8" w:color="E2E2E2"/>
            </w:tcBorders>
          </w:tcPr>
          <w:p>
            <w:pPr>
              <w:spacing w:after="0" w:line="226" w:lineRule="exact"/>
              <w:rPr>
                <w:sz w:val="20"/>
                <w:szCs w:val="20"/>
                <w:color w:val="auto"/>
              </w:rPr>
            </w:pPr>
            <w:r>
              <w:rPr>
                <w:rFonts w:ascii="Times New Roman" w:cs="Times New Roman" w:eastAsia="Times New Roman" w:hAnsi="Times New Roman"/>
                <w:sz w:val="20"/>
                <w:szCs w:val="20"/>
                <w:color w:val="1E1E1E"/>
              </w:rPr>
              <w:t>Software</w:t>
            </w:r>
          </w:p>
        </w:tc>
        <w:tc>
          <w:tcPr>
            <w:tcW w:w="24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320" w:type="dxa"/>
            <w:vAlign w:val="bottom"/>
            <w:tcBorders>
              <w:bottom w:val="single" w:sz="8" w:color="1E1E1E"/>
            </w:tcBorders>
          </w:tcPr>
          <w:p>
            <w:pPr>
              <w:spacing w:after="0"/>
              <w:rPr>
                <w:sz w:val="19"/>
                <w:szCs w:val="19"/>
                <w:color w:val="auto"/>
              </w:rPr>
            </w:pPr>
          </w:p>
        </w:tc>
        <w:tc>
          <w:tcPr>
            <w:tcW w:w="188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39,952</w:t>
            </w:r>
          </w:p>
        </w:tc>
        <w:tc>
          <w:tcPr>
            <w:tcW w:w="260" w:type="dxa"/>
            <w:vAlign w:val="bottom"/>
            <w:tcBorders>
              <w:bottom w:val="single" w:sz="8" w:color="E2E2E2"/>
            </w:tcBorders>
          </w:tcPr>
          <w:p>
            <w:pPr>
              <w:spacing w:after="0"/>
              <w:rPr>
                <w:sz w:val="19"/>
                <w:szCs w:val="19"/>
                <w:color w:val="auto"/>
              </w:rPr>
            </w:pPr>
          </w:p>
        </w:tc>
        <w:tc>
          <w:tcPr>
            <w:tcW w:w="280" w:type="dxa"/>
            <w:vAlign w:val="bottom"/>
            <w:tcBorders>
              <w:bottom w:val="single" w:sz="8" w:color="1E1E1E"/>
            </w:tcBorders>
          </w:tcPr>
          <w:p>
            <w:pPr>
              <w:spacing w:after="0"/>
              <w:rPr>
                <w:sz w:val="19"/>
                <w:szCs w:val="19"/>
                <w:color w:val="auto"/>
              </w:rPr>
            </w:pPr>
          </w:p>
        </w:tc>
        <w:tc>
          <w:tcPr>
            <w:tcW w:w="192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39,923</w:t>
            </w:r>
          </w:p>
        </w:tc>
      </w:tr>
      <w:tr>
        <w:trPr>
          <w:trHeight w:val="206"/>
        </w:trPr>
        <w:tc>
          <w:tcPr>
            <w:tcW w:w="5320" w:type="dxa"/>
            <w:vAlign w:val="bottom"/>
            <w:shd w:val="clear" w:color="auto" w:fill="E2E2E2"/>
          </w:tcPr>
          <w:p>
            <w:pPr>
              <w:spacing w:after="0"/>
              <w:rPr>
                <w:sz w:val="17"/>
                <w:szCs w:val="17"/>
                <w:color w:val="auto"/>
              </w:rPr>
            </w:pPr>
          </w:p>
        </w:tc>
        <w:tc>
          <w:tcPr>
            <w:tcW w:w="24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320" w:type="dxa"/>
            <w:vAlign w:val="bottom"/>
            <w:shd w:val="clear" w:color="auto" w:fill="E2E2E2"/>
          </w:tcPr>
          <w:p>
            <w:pPr>
              <w:spacing w:after="0"/>
              <w:rPr>
                <w:sz w:val="17"/>
                <w:szCs w:val="17"/>
                <w:color w:val="auto"/>
              </w:rPr>
            </w:pPr>
          </w:p>
        </w:tc>
        <w:tc>
          <w:tcPr>
            <w:tcW w:w="188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268,132</w:t>
            </w:r>
          </w:p>
        </w:tc>
        <w:tc>
          <w:tcPr>
            <w:tcW w:w="260" w:type="dxa"/>
            <w:vAlign w:val="bottom"/>
            <w:shd w:val="clear" w:color="auto" w:fill="E2E2E2"/>
          </w:tcPr>
          <w:p>
            <w:pPr>
              <w:spacing w:after="0"/>
              <w:rPr>
                <w:sz w:val="17"/>
                <w:szCs w:val="17"/>
                <w:color w:val="auto"/>
              </w:rPr>
            </w:pPr>
          </w:p>
        </w:tc>
        <w:tc>
          <w:tcPr>
            <w:tcW w:w="280" w:type="dxa"/>
            <w:vAlign w:val="bottom"/>
            <w:shd w:val="clear" w:color="auto" w:fill="E2E2E2"/>
          </w:tcPr>
          <w:p>
            <w:pPr>
              <w:spacing w:after="0"/>
              <w:rPr>
                <w:sz w:val="17"/>
                <w:szCs w:val="17"/>
                <w:color w:val="auto"/>
              </w:rPr>
            </w:pPr>
          </w:p>
        </w:tc>
        <w:tc>
          <w:tcPr>
            <w:tcW w:w="192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269,488</w:t>
            </w:r>
          </w:p>
        </w:tc>
      </w:tr>
      <w:tr>
        <w:trPr>
          <w:trHeight w:val="226"/>
        </w:trPr>
        <w:tc>
          <w:tcPr>
            <w:tcW w:w="5580" w:type="dxa"/>
            <w:vAlign w:val="bottom"/>
            <w:gridSpan w:val="3"/>
          </w:tcPr>
          <w:p>
            <w:pPr>
              <w:spacing w:after="0" w:line="226" w:lineRule="exact"/>
              <w:rPr>
                <w:sz w:val="20"/>
                <w:szCs w:val="20"/>
                <w:color w:val="auto"/>
              </w:rPr>
            </w:pPr>
            <w:r>
              <w:rPr>
                <w:rFonts w:ascii="Times New Roman" w:cs="Times New Roman" w:eastAsia="Times New Roman" w:hAnsi="Times New Roman"/>
                <w:sz w:val="20"/>
                <w:szCs w:val="20"/>
                <w:color w:val="1E1E1E"/>
              </w:rPr>
              <w:t>Accumulated depreciation and amortization</w:t>
            </w:r>
          </w:p>
        </w:tc>
        <w:tc>
          <w:tcPr>
            <w:tcW w:w="320" w:type="dxa"/>
            <w:vAlign w:val="bottom"/>
          </w:tcPr>
          <w:p>
            <w:pPr>
              <w:spacing w:after="0"/>
              <w:rPr>
                <w:sz w:val="19"/>
                <w:szCs w:val="19"/>
                <w:color w:val="auto"/>
              </w:rPr>
            </w:pPr>
          </w:p>
        </w:tc>
        <w:tc>
          <w:tcPr>
            <w:tcW w:w="2140" w:type="dxa"/>
            <w:vAlign w:val="bottom"/>
            <w:gridSpan w:val="2"/>
          </w:tcPr>
          <w:p>
            <w:pPr>
              <w:jc w:val="right"/>
              <w:ind w:right="260"/>
              <w:spacing w:after="0" w:line="226" w:lineRule="exact"/>
              <w:rPr>
                <w:sz w:val="20"/>
                <w:szCs w:val="20"/>
                <w:color w:val="auto"/>
              </w:rPr>
            </w:pPr>
            <w:r>
              <w:rPr>
                <w:rFonts w:ascii="Times New Roman" w:cs="Times New Roman" w:eastAsia="Times New Roman" w:hAnsi="Times New Roman"/>
                <w:sz w:val="20"/>
                <w:szCs w:val="20"/>
                <w:color w:val="1E1E1E"/>
              </w:rPr>
              <w:t>(159,450)</w:t>
            </w:r>
          </w:p>
        </w:tc>
        <w:tc>
          <w:tcPr>
            <w:tcW w:w="280" w:type="dxa"/>
            <w:vAlign w:val="bottom"/>
          </w:tcPr>
          <w:p>
            <w:pPr>
              <w:spacing w:after="0"/>
              <w:rPr>
                <w:sz w:val="19"/>
                <w:szCs w:val="19"/>
                <w:color w:val="auto"/>
              </w:rPr>
            </w:pPr>
          </w:p>
        </w:tc>
        <w:tc>
          <w:tcPr>
            <w:tcW w:w="19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(140,551)</w:t>
            </w:r>
          </w:p>
        </w:tc>
      </w:tr>
      <w:tr>
        <w:trPr>
          <w:trHeight w:val="206"/>
        </w:trPr>
        <w:tc>
          <w:tcPr>
            <w:tcW w:w="5320" w:type="dxa"/>
            <w:vAlign w:val="bottom"/>
            <w:tcBorders>
              <w:top w:val="single" w:sz="8" w:color="E2E2E2"/>
            </w:tcBorders>
            <w:shd w:val="clear" w:color="auto" w:fill="E2E2E2"/>
          </w:tcPr>
          <w:p>
            <w:pPr>
              <w:spacing w:after="0"/>
              <w:rPr>
                <w:sz w:val="17"/>
                <w:szCs w:val="17"/>
                <w:color w:val="auto"/>
              </w:rPr>
            </w:pPr>
          </w:p>
        </w:tc>
        <w:tc>
          <w:tcPr>
            <w:tcW w:w="240" w:type="dxa"/>
            <w:vAlign w:val="bottom"/>
            <w:tcBorders>
              <w:top w:val="single" w:sz="8" w:color="E2E2E2"/>
            </w:tcBorders>
            <w:shd w:val="clear" w:color="auto" w:fill="E2E2E2"/>
          </w:tcPr>
          <w:p>
            <w:pPr>
              <w:spacing w:after="0"/>
              <w:rPr>
                <w:sz w:val="17"/>
                <w:szCs w:val="17"/>
                <w:color w:val="auto"/>
              </w:rPr>
            </w:pPr>
          </w:p>
        </w:tc>
        <w:tc>
          <w:tcPr>
            <w:tcW w:w="20" w:type="dxa"/>
            <w:vAlign w:val="bottom"/>
            <w:tcBorders>
              <w:top w:val="single" w:sz="8" w:color="E2E2E2"/>
            </w:tcBorders>
            <w:shd w:val="clear" w:color="auto" w:fill="E2E2E2"/>
          </w:tcPr>
          <w:p>
            <w:pPr>
              <w:spacing w:after="0"/>
              <w:rPr>
                <w:sz w:val="17"/>
                <w:szCs w:val="17"/>
                <w:color w:val="auto"/>
              </w:rPr>
            </w:pPr>
          </w:p>
        </w:tc>
        <w:tc>
          <w:tcPr>
            <w:tcW w:w="320" w:type="dxa"/>
            <w:vAlign w:val="bottom"/>
            <w:tcBorders>
              <w:top w:val="single" w:sz="8" w:color="1E1E1E"/>
            </w:tcBorders>
            <w:shd w:val="clear" w:color="auto" w:fill="E2E2E2"/>
          </w:tcPr>
          <w:p>
            <w:pPr>
              <w:spacing w:after="0"/>
              <w:rPr>
                <w:sz w:val="17"/>
                <w:szCs w:val="17"/>
                <w:color w:val="auto"/>
              </w:rPr>
            </w:pPr>
          </w:p>
        </w:tc>
        <w:tc>
          <w:tcPr>
            <w:tcW w:w="1880" w:type="dxa"/>
            <w:vAlign w:val="bottom"/>
            <w:tcBorders>
              <w:top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108,682</w:t>
            </w:r>
          </w:p>
        </w:tc>
        <w:tc>
          <w:tcPr>
            <w:tcW w:w="260" w:type="dxa"/>
            <w:vAlign w:val="bottom"/>
            <w:tcBorders>
              <w:top w:val="single" w:sz="8" w:color="E2E2E2"/>
            </w:tcBorders>
            <w:shd w:val="clear" w:color="auto" w:fill="E2E2E2"/>
          </w:tcPr>
          <w:p>
            <w:pPr>
              <w:spacing w:after="0"/>
              <w:rPr>
                <w:sz w:val="17"/>
                <w:szCs w:val="17"/>
                <w:color w:val="auto"/>
              </w:rPr>
            </w:pPr>
          </w:p>
        </w:tc>
        <w:tc>
          <w:tcPr>
            <w:tcW w:w="280" w:type="dxa"/>
            <w:vAlign w:val="bottom"/>
            <w:tcBorders>
              <w:top w:val="single" w:sz="8" w:color="1E1E1E"/>
            </w:tcBorders>
            <w:shd w:val="clear" w:color="auto" w:fill="E2E2E2"/>
          </w:tcPr>
          <w:p>
            <w:pPr>
              <w:spacing w:after="0"/>
              <w:rPr>
                <w:sz w:val="17"/>
                <w:szCs w:val="17"/>
                <w:color w:val="auto"/>
              </w:rPr>
            </w:pPr>
          </w:p>
        </w:tc>
        <w:tc>
          <w:tcPr>
            <w:tcW w:w="1920" w:type="dxa"/>
            <w:vAlign w:val="bottom"/>
            <w:tcBorders>
              <w:top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128,937</w:t>
            </w:r>
          </w:p>
        </w:tc>
      </w:tr>
      <w:tr>
        <w:trPr>
          <w:trHeight w:val="226"/>
        </w:trPr>
        <w:tc>
          <w:tcPr>
            <w:tcW w:w="5580" w:type="dxa"/>
            <w:vAlign w:val="bottom"/>
            <w:tcBorders>
              <w:bottom w:val="single" w:sz="8" w:color="E2E2E2"/>
            </w:tcBorders>
            <w:gridSpan w:val="3"/>
          </w:tcPr>
          <w:p>
            <w:pPr>
              <w:spacing w:after="0" w:line="226" w:lineRule="exact"/>
              <w:rPr>
                <w:sz w:val="20"/>
                <w:szCs w:val="20"/>
                <w:color w:val="auto"/>
              </w:rPr>
            </w:pPr>
            <w:r>
              <w:rPr>
                <w:rFonts w:ascii="Times New Roman" w:cs="Times New Roman" w:eastAsia="Times New Roman" w:hAnsi="Times New Roman"/>
                <w:sz w:val="20"/>
                <w:szCs w:val="20"/>
                <w:color w:val="1E1E1E"/>
              </w:rPr>
              <w:t>Construction in progress</w:t>
            </w:r>
          </w:p>
        </w:tc>
        <w:tc>
          <w:tcPr>
            <w:tcW w:w="320" w:type="dxa"/>
            <w:vAlign w:val="bottom"/>
            <w:tcBorders>
              <w:bottom w:val="single" w:sz="8" w:color="1E1E1E"/>
            </w:tcBorders>
          </w:tcPr>
          <w:p>
            <w:pPr>
              <w:spacing w:after="0"/>
              <w:rPr>
                <w:sz w:val="19"/>
                <w:szCs w:val="19"/>
                <w:color w:val="auto"/>
              </w:rPr>
            </w:pPr>
          </w:p>
        </w:tc>
        <w:tc>
          <w:tcPr>
            <w:tcW w:w="188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2,878</w:t>
            </w:r>
          </w:p>
        </w:tc>
        <w:tc>
          <w:tcPr>
            <w:tcW w:w="260" w:type="dxa"/>
            <w:vAlign w:val="bottom"/>
            <w:tcBorders>
              <w:bottom w:val="single" w:sz="8" w:color="E2E2E2"/>
            </w:tcBorders>
          </w:tcPr>
          <w:p>
            <w:pPr>
              <w:spacing w:after="0"/>
              <w:rPr>
                <w:sz w:val="19"/>
                <w:szCs w:val="19"/>
                <w:color w:val="auto"/>
              </w:rPr>
            </w:pPr>
          </w:p>
        </w:tc>
        <w:tc>
          <w:tcPr>
            <w:tcW w:w="280" w:type="dxa"/>
            <w:vAlign w:val="bottom"/>
            <w:tcBorders>
              <w:bottom w:val="single" w:sz="8" w:color="1E1E1E"/>
            </w:tcBorders>
          </w:tcPr>
          <w:p>
            <w:pPr>
              <w:spacing w:after="0"/>
              <w:rPr>
                <w:sz w:val="19"/>
                <w:szCs w:val="19"/>
                <w:color w:val="auto"/>
              </w:rPr>
            </w:pPr>
          </w:p>
        </w:tc>
        <w:tc>
          <w:tcPr>
            <w:tcW w:w="192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3,781</w:t>
            </w:r>
          </w:p>
        </w:tc>
      </w:tr>
      <w:tr>
        <w:trPr>
          <w:trHeight w:val="214"/>
        </w:trPr>
        <w:tc>
          <w:tcPr>
            <w:tcW w:w="5320" w:type="dxa"/>
            <w:vAlign w:val="bottom"/>
            <w:shd w:val="clear" w:color="auto" w:fill="E2E2E2"/>
          </w:tcPr>
          <w:p>
            <w:pPr>
              <w:spacing w:after="0" w:line="206" w:lineRule="exact"/>
              <w:rPr>
                <w:sz w:val="20"/>
                <w:szCs w:val="20"/>
                <w:color w:val="auto"/>
              </w:rPr>
            </w:pPr>
            <w:r>
              <w:rPr>
                <w:rFonts w:ascii="Times New Roman" w:cs="Times New Roman" w:eastAsia="Times New Roman" w:hAnsi="Times New Roman"/>
                <w:sz w:val="20"/>
                <w:szCs w:val="20"/>
                <w:color w:val="1E1E1E"/>
              </w:rPr>
              <w:t>Property and equipment, net</w:t>
            </w:r>
          </w:p>
        </w:tc>
        <w:tc>
          <w:tcPr>
            <w:tcW w:w="240" w:type="dxa"/>
            <w:vAlign w:val="bottom"/>
            <w:shd w:val="clear" w:color="auto" w:fill="E2E2E2"/>
          </w:tcPr>
          <w:p>
            <w:pPr>
              <w:spacing w:after="0"/>
              <w:rPr>
                <w:sz w:val="18"/>
                <w:szCs w:val="18"/>
                <w:color w:val="auto"/>
              </w:rPr>
            </w:pPr>
          </w:p>
        </w:tc>
        <w:tc>
          <w:tcPr>
            <w:tcW w:w="20" w:type="dxa"/>
            <w:vAlign w:val="bottom"/>
            <w:tcBorders>
              <w:bottom w:val="single" w:sz="8" w:color="1E1E1E"/>
            </w:tcBorders>
            <w:shd w:val="clear" w:color="auto" w:fill="E2E2E2"/>
          </w:tcPr>
          <w:p>
            <w:pPr>
              <w:spacing w:after="0"/>
              <w:rPr>
                <w:sz w:val="18"/>
                <w:szCs w:val="18"/>
                <w:color w:val="auto"/>
              </w:rPr>
            </w:pPr>
          </w:p>
        </w:tc>
        <w:tc>
          <w:tcPr>
            <w:tcW w:w="320" w:type="dxa"/>
            <w:vAlign w:val="bottom"/>
            <w:tcBorders>
              <w:bottom w:val="single" w:sz="8" w:color="1E1E1E"/>
            </w:tcBorders>
            <w:shd w:val="clear" w:color="auto" w:fill="E2E2E2"/>
          </w:tcPr>
          <w:p>
            <w:pPr>
              <w:jc w:val="right"/>
              <w:ind w:right="119"/>
              <w:spacing w:after="0" w:line="206" w:lineRule="exact"/>
              <w:rPr>
                <w:sz w:val="20"/>
                <w:szCs w:val="20"/>
                <w:color w:val="auto"/>
              </w:rPr>
            </w:pPr>
            <w:r>
              <w:rPr>
                <w:rFonts w:ascii="Times New Roman" w:cs="Times New Roman" w:eastAsia="Times New Roman" w:hAnsi="Times New Roman"/>
                <w:sz w:val="20"/>
                <w:szCs w:val="20"/>
                <w:color w:val="1E1E1E"/>
                <w:w w:val="79"/>
              </w:rPr>
              <w:t>$</w:t>
            </w:r>
          </w:p>
        </w:tc>
        <w:tc>
          <w:tcPr>
            <w:tcW w:w="188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111,560</w:t>
            </w:r>
          </w:p>
        </w:tc>
        <w:tc>
          <w:tcPr>
            <w:tcW w:w="260" w:type="dxa"/>
            <w:vAlign w:val="bottom"/>
            <w:shd w:val="clear" w:color="auto" w:fill="E2E2E2"/>
          </w:tcPr>
          <w:p>
            <w:pPr>
              <w:spacing w:after="0"/>
              <w:rPr>
                <w:sz w:val="18"/>
                <w:szCs w:val="18"/>
                <w:color w:val="auto"/>
              </w:rPr>
            </w:pPr>
          </w:p>
        </w:tc>
        <w:tc>
          <w:tcPr>
            <w:tcW w:w="280" w:type="dxa"/>
            <w:vAlign w:val="bottom"/>
            <w:tcBorders>
              <w:bottom w:val="single" w:sz="8" w:color="1E1E1E"/>
            </w:tcBorders>
            <w:shd w:val="clear" w:color="auto" w:fill="E2E2E2"/>
          </w:tcPr>
          <w:p>
            <w:pPr>
              <w:jc w:val="right"/>
              <w:ind w:right="79"/>
              <w:spacing w:after="0" w:line="206" w:lineRule="exact"/>
              <w:rPr>
                <w:sz w:val="20"/>
                <w:szCs w:val="20"/>
                <w:color w:val="auto"/>
              </w:rPr>
            </w:pPr>
            <w:r>
              <w:rPr>
                <w:rFonts w:ascii="Times New Roman" w:cs="Times New Roman" w:eastAsia="Times New Roman" w:hAnsi="Times New Roman"/>
                <w:sz w:val="20"/>
                <w:szCs w:val="20"/>
                <w:color w:val="1E1E1E"/>
                <w:w w:val="79"/>
              </w:rPr>
              <w:t>$</w:t>
            </w:r>
          </w:p>
        </w:tc>
        <w:tc>
          <w:tcPr>
            <w:tcW w:w="192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132,718</w:t>
            </w:r>
          </w:p>
        </w:tc>
      </w:tr>
    </w:tbl>
    <w:p>
      <w:pPr>
        <w:spacing w:after="0" w:line="208" w:lineRule="exact"/>
        <w:rPr>
          <w:sz w:val="20"/>
          <w:szCs w:val="20"/>
          <w:color w:val="auto"/>
        </w:rPr>
      </w:pPr>
    </w:p>
    <w:p>
      <w:pPr>
        <w:ind w:right="500" w:firstLine="490"/>
        <w:spacing w:after="0" w:line="261" w:lineRule="auto"/>
        <w:rPr>
          <w:sz w:val="20"/>
          <w:szCs w:val="20"/>
          <w:color w:val="auto"/>
        </w:rPr>
      </w:pPr>
      <w:r>
        <w:rPr>
          <w:rFonts w:ascii="Times New Roman" w:cs="Times New Roman" w:eastAsia="Times New Roman" w:hAnsi="Times New Roman"/>
          <w:sz w:val="20"/>
          <w:szCs w:val="20"/>
          <w:color w:val="1E1E1E"/>
        </w:rPr>
        <w:t>The Company recorded depreciation expense of $28.7 million and $28.0 million for fiscal 2024 and fiscal 2023, respectively. The Company expenses as incurred all routine repair and maintenance costs that do not extend the estimated useful life of the asset.</w:t>
      </w:r>
    </w:p>
    <w:p>
      <w:pPr>
        <w:spacing w:after="0" w:line="138" w:lineRule="exact"/>
        <w:rPr>
          <w:sz w:val="20"/>
          <w:szCs w:val="20"/>
          <w:color w:val="auto"/>
        </w:rPr>
      </w:pPr>
    </w:p>
    <w:p>
      <w:pPr>
        <w:ind w:firstLine="490"/>
        <w:spacing w:after="0" w:line="261" w:lineRule="auto"/>
        <w:rPr>
          <w:sz w:val="20"/>
          <w:szCs w:val="20"/>
          <w:color w:val="auto"/>
        </w:rPr>
      </w:pPr>
      <w:r>
        <w:rPr>
          <w:rFonts w:ascii="Times New Roman" w:cs="Times New Roman" w:eastAsia="Times New Roman" w:hAnsi="Times New Roman"/>
          <w:sz w:val="20"/>
          <w:szCs w:val="20"/>
          <w:color w:val="1E1E1E"/>
        </w:rPr>
        <w:t>Property and equipment are carried at cost and are generally depreciated using the straight-line method over the estimated useful lives. Leasehold improvements are depreciated over the shorter of the lease term or estimated useful life. Depreciable lives by major classification generally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520" w:type="dxa"/>
            <w:vAlign w:val="bottom"/>
            <w:tcBorders>
              <w:bottom w:val="single" w:sz="8" w:color="E2E2E2"/>
            </w:tcBorders>
          </w:tcPr>
          <w:p>
            <w:pPr>
              <w:spacing w:after="0"/>
              <w:rPr>
                <w:sz w:val="17"/>
                <w:szCs w:val="17"/>
                <w:color w:val="auto"/>
              </w:rPr>
            </w:pPr>
          </w:p>
        </w:tc>
        <w:tc>
          <w:tcPr>
            <w:tcW w:w="180" w:type="dxa"/>
            <w:vAlign w:val="bottom"/>
            <w:tcBorders>
              <w:bottom w:val="single" w:sz="8" w:color="E2E2E2"/>
            </w:tcBorders>
          </w:tcPr>
          <w:p>
            <w:pPr>
              <w:spacing w:after="0"/>
              <w:rPr>
                <w:sz w:val="17"/>
                <w:szCs w:val="17"/>
                <w:color w:val="auto"/>
              </w:rPr>
            </w:pPr>
          </w:p>
        </w:tc>
        <w:tc>
          <w:tcPr>
            <w:tcW w:w="1540" w:type="dxa"/>
            <w:vAlign w:val="bottom"/>
            <w:tcBorders>
              <w:bottom w:val="single" w:sz="8" w:color="1E1E1E"/>
            </w:tcBorders>
            <w:gridSpan w:val="2"/>
          </w:tcPr>
          <w:p>
            <w:pPr>
              <w:jc w:val="right"/>
              <w:ind w:right="459"/>
              <w:spacing w:after="0"/>
              <w:rPr>
                <w:sz w:val="20"/>
                <w:szCs w:val="20"/>
                <w:color w:val="auto"/>
              </w:rPr>
            </w:pPr>
            <w:r>
              <w:rPr>
                <w:rFonts w:ascii="Times New Roman" w:cs="Times New Roman" w:eastAsia="Times New Roman" w:hAnsi="Times New Roman"/>
                <w:sz w:val="16"/>
                <w:szCs w:val="16"/>
                <w:b w:val="1"/>
                <w:bCs w:val="1"/>
                <w:color w:val="1E1E1E"/>
              </w:rPr>
              <w:t>Years</w:t>
            </w:r>
          </w:p>
        </w:tc>
      </w:tr>
      <w:tr>
        <w:trPr>
          <w:trHeight w:val="206"/>
        </w:trPr>
        <w:tc>
          <w:tcPr>
            <w:tcW w:w="8520" w:type="dxa"/>
            <w:vAlign w:val="bottom"/>
            <w:shd w:val="clear" w:color="auto" w:fill="E2E2E2"/>
          </w:tcPr>
          <w:p>
            <w:pPr>
              <w:spacing w:after="0" w:line="206" w:lineRule="exact"/>
              <w:rPr>
                <w:sz w:val="20"/>
                <w:szCs w:val="20"/>
                <w:color w:val="auto"/>
              </w:rPr>
            </w:pPr>
            <w:r>
              <w:rPr>
                <w:rFonts w:ascii="Times New Roman" w:cs="Times New Roman" w:eastAsia="Times New Roman" w:hAnsi="Times New Roman"/>
                <w:sz w:val="20"/>
                <w:szCs w:val="20"/>
                <w:color w:val="1E1E1E"/>
              </w:rPr>
              <w:t>Land improvements</w:t>
            </w:r>
          </w:p>
        </w:tc>
        <w:tc>
          <w:tcPr>
            <w:tcW w:w="180" w:type="dxa"/>
            <w:vAlign w:val="bottom"/>
            <w:shd w:val="clear" w:color="auto" w:fill="E2E2E2"/>
          </w:tcPr>
          <w:p>
            <w:pPr>
              <w:spacing w:after="0"/>
              <w:rPr>
                <w:sz w:val="17"/>
                <w:szCs w:val="17"/>
                <w:color w:val="auto"/>
              </w:rPr>
            </w:pPr>
          </w:p>
        </w:tc>
        <w:tc>
          <w:tcPr>
            <w:tcW w:w="680" w:type="dxa"/>
            <w:vAlign w:val="bottom"/>
            <w:shd w:val="clear" w:color="auto" w:fill="E2E2E2"/>
          </w:tcPr>
          <w:p>
            <w:pPr>
              <w:spacing w:after="0"/>
              <w:rPr>
                <w:sz w:val="17"/>
                <w:szCs w:val="17"/>
                <w:color w:val="auto"/>
              </w:rPr>
            </w:pPr>
          </w:p>
        </w:tc>
        <w:tc>
          <w:tcPr>
            <w:tcW w:w="860" w:type="dxa"/>
            <w:vAlign w:val="bottom"/>
            <w:shd w:val="clear" w:color="auto" w:fill="E2E2E2"/>
          </w:tcPr>
          <w:p>
            <w:pPr>
              <w:jc w:val="right"/>
              <w:ind w:right="379"/>
              <w:spacing w:after="0" w:line="206" w:lineRule="exact"/>
              <w:rPr>
                <w:sz w:val="20"/>
                <w:szCs w:val="20"/>
                <w:color w:val="auto"/>
              </w:rPr>
            </w:pPr>
            <w:r>
              <w:rPr>
                <w:rFonts w:ascii="Times New Roman" w:cs="Times New Roman" w:eastAsia="Times New Roman" w:hAnsi="Times New Roman"/>
                <w:sz w:val="20"/>
                <w:szCs w:val="20"/>
                <w:color w:val="1E1E1E"/>
              </w:rPr>
              <w:t>15</w:t>
            </w:r>
          </w:p>
        </w:tc>
      </w:tr>
      <w:tr>
        <w:trPr>
          <w:trHeight w:val="221"/>
        </w:trPr>
        <w:tc>
          <w:tcPr>
            <w:tcW w:w="8520" w:type="dxa"/>
            <w:vAlign w:val="bottom"/>
          </w:tcPr>
          <w:p>
            <w:pPr>
              <w:spacing w:after="0" w:line="221" w:lineRule="exact"/>
              <w:rPr>
                <w:sz w:val="20"/>
                <w:szCs w:val="20"/>
                <w:color w:val="auto"/>
              </w:rPr>
            </w:pPr>
            <w:r>
              <w:rPr>
                <w:rFonts w:ascii="Times New Roman" w:cs="Times New Roman" w:eastAsia="Times New Roman" w:hAnsi="Times New Roman"/>
                <w:sz w:val="20"/>
                <w:szCs w:val="20"/>
                <w:color w:val="1E1E1E"/>
              </w:rPr>
              <w:t>Leasehold improvements</w:t>
            </w:r>
          </w:p>
        </w:tc>
        <w:tc>
          <w:tcPr>
            <w:tcW w:w="180" w:type="dxa"/>
            <w:vAlign w:val="bottom"/>
          </w:tcPr>
          <w:p>
            <w:pPr>
              <w:spacing w:after="0"/>
              <w:rPr>
                <w:sz w:val="19"/>
                <w:szCs w:val="19"/>
                <w:color w:val="auto"/>
              </w:rPr>
            </w:pPr>
          </w:p>
        </w:tc>
        <w:tc>
          <w:tcPr>
            <w:tcW w:w="6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1E1E1E"/>
              </w:rPr>
              <w:t>3</w:t>
            </w:r>
          </w:p>
        </w:tc>
        <w:tc>
          <w:tcPr>
            <w:tcW w:w="860" w:type="dxa"/>
            <w:vAlign w:val="bottom"/>
          </w:tcPr>
          <w:p>
            <w:pPr>
              <w:jc w:val="right"/>
              <w:ind w:right="379"/>
              <w:spacing w:after="0" w:line="221" w:lineRule="exact"/>
              <w:rPr>
                <w:sz w:val="20"/>
                <w:szCs w:val="20"/>
                <w:color w:val="auto"/>
              </w:rPr>
            </w:pPr>
            <w:r>
              <w:rPr>
                <w:rFonts w:ascii="Times New Roman" w:cs="Times New Roman" w:eastAsia="Times New Roman" w:hAnsi="Times New Roman"/>
                <w:sz w:val="20"/>
                <w:szCs w:val="20"/>
                <w:color w:val="1E1E1E"/>
              </w:rPr>
              <w:t>- 15</w:t>
            </w:r>
          </w:p>
        </w:tc>
      </w:tr>
      <w:tr>
        <w:trPr>
          <w:trHeight w:val="226"/>
        </w:trPr>
        <w:tc>
          <w:tcPr>
            <w:tcW w:w="852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Buildings</w:t>
            </w:r>
          </w:p>
        </w:tc>
        <w:tc>
          <w:tcPr>
            <w:tcW w:w="180" w:type="dxa"/>
            <w:vAlign w:val="bottom"/>
            <w:shd w:val="clear" w:color="auto" w:fill="E2E2E2"/>
          </w:tcPr>
          <w:p>
            <w:pPr>
              <w:spacing w:after="0"/>
              <w:rPr>
                <w:sz w:val="19"/>
                <w:szCs w:val="19"/>
                <w:color w:val="auto"/>
              </w:rPr>
            </w:pPr>
          </w:p>
        </w:tc>
        <w:tc>
          <w:tcPr>
            <w:tcW w:w="680" w:type="dxa"/>
            <w:vAlign w:val="bottom"/>
            <w:shd w:val="clear" w:color="auto" w:fill="E2E2E2"/>
          </w:tcPr>
          <w:p>
            <w:pPr>
              <w:spacing w:after="0"/>
              <w:rPr>
                <w:sz w:val="19"/>
                <w:szCs w:val="19"/>
                <w:color w:val="auto"/>
              </w:rPr>
            </w:pPr>
          </w:p>
        </w:tc>
        <w:tc>
          <w:tcPr>
            <w:tcW w:w="860" w:type="dxa"/>
            <w:vAlign w:val="bottom"/>
            <w:shd w:val="clear" w:color="auto" w:fill="E2E2E2"/>
          </w:tcPr>
          <w:p>
            <w:pPr>
              <w:jc w:val="right"/>
              <w:ind w:right="379"/>
              <w:spacing w:after="0" w:line="226" w:lineRule="exact"/>
              <w:rPr>
                <w:sz w:val="20"/>
                <w:szCs w:val="20"/>
                <w:color w:val="auto"/>
              </w:rPr>
            </w:pPr>
            <w:r>
              <w:rPr>
                <w:rFonts w:ascii="Times New Roman" w:cs="Times New Roman" w:eastAsia="Times New Roman" w:hAnsi="Times New Roman"/>
                <w:sz w:val="20"/>
                <w:szCs w:val="20"/>
                <w:color w:val="1E1E1E"/>
              </w:rPr>
              <w:t>39</w:t>
            </w:r>
          </w:p>
        </w:tc>
      </w:tr>
      <w:tr>
        <w:trPr>
          <w:trHeight w:val="226"/>
        </w:trPr>
        <w:tc>
          <w:tcPr>
            <w:tcW w:w="85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Vehicles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jc w:val="right"/>
              <w:ind w:right="479"/>
              <w:spacing w:after="0" w:line="226" w:lineRule="exact"/>
              <w:rPr>
                <w:sz w:val="20"/>
                <w:szCs w:val="20"/>
                <w:color w:val="auto"/>
              </w:rPr>
            </w:pPr>
            <w:r>
              <w:rPr>
                <w:rFonts w:ascii="Times New Roman" w:cs="Times New Roman" w:eastAsia="Times New Roman" w:hAnsi="Times New Roman"/>
                <w:sz w:val="20"/>
                <w:szCs w:val="20"/>
                <w:color w:val="1E1E1E"/>
              </w:rPr>
              <w:t>5</w:t>
            </w:r>
          </w:p>
        </w:tc>
      </w:tr>
      <w:tr>
        <w:trPr>
          <w:trHeight w:val="226"/>
        </w:trPr>
        <w:tc>
          <w:tcPr>
            <w:tcW w:w="852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Warehouse equipment</w:t>
            </w:r>
          </w:p>
        </w:tc>
        <w:tc>
          <w:tcPr>
            <w:tcW w:w="860" w:type="dxa"/>
            <w:vAlign w:val="bottom"/>
            <w:gridSpan w:val="2"/>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7</w:t>
            </w:r>
          </w:p>
        </w:tc>
        <w:tc>
          <w:tcPr>
            <w:tcW w:w="860" w:type="dxa"/>
            <w:vAlign w:val="bottom"/>
            <w:shd w:val="clear" w:color="auto" w:fill="E2E2E2"/>
          </w:tcPr>
          <w:p>
            <w:pPr>
              <w:jc w:val="right"/>
              <w:ind w:right="379"/>
              <w:spacing w:after="0" w:line="226" w:lineRule="exact"/>
              <w:rPr>
                <w:sz w:val="20"/>
                <w:szCs w:val="20"/>
                <w:color w:val="auto"/>
              </w:rPr>
            </w:pPr>
            <w:r>
              <w:rPr>
                <w:rFonts w:ascii="Times New Roman" w:cs="Times New Roman" w:eastAsia="Times New Roman" w:hAnsi="Times New Roman"/>
                <w:sz w:val="20"/>
                <w:szCs w:val="20"/>
                <w:color w:val="1E1E1E"/>
              </w:rPr>
              <w:t>- 10</w:t>
            </w:r>
          </w:p>
        </w:tc>
      </w:tr>
      <w:tr>
        <w:trPr>
          <w:trHeight w:val="226"/>
        </w:trPr>
        <w:tc>
          <w:tcPr>
            <w:tcW w:w="85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Office equipment and furniture</w:t>
            </w:r>
          </w:p>
        </w:tc>
        <w:tc>
          <w:tcPr>
            <w:tcW w:w="86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1E1E1E"/>
              </w:rPr>
              <w:t>7</w:t>
            </w:r>
          </w:p>
        </w:tc>
        <w:tc>
          <w:tcPr>
            <w:tcW w:w="860" w:type="dxa"/>
            <w:vAlign w:val="bottom"/>
          </w:tcPr>
          <w:p>
            <w:pPr>
              <w:jc w:val="right"/>
              <w:ind w:right="379"/>
              <w:spacing w:after="0" w:line="226" w:lineRule="exact"/>
              <w:rPr>
                <w:sz w:val="20"/>
                <w:szCs w:val="20"/>
                <w:color w:val="auto"/>
              </w:rPr>
            </w:pPr>
            <w:r>
              <w:rPr>
                <w:rFonts w:ascii="Times New Roman" w:cs="Times New Roman" w:eastAsia="Times New Roman" w:hAnsi="Times New Roman"/>
                <w:sz w:val="20"/>
                <w:szCs w:val="20"/>
                <w:color w:val="1E1E1E"/>
              </w:rPr>
              <w:t>- 10</w:t>
            </w:r>
          </w:p>
        </w:tc>
      </w:tr>
      <w:tr>
        <w:trPr>
          <w:trHeight w:val="226"/>
        </w:trPr>
        <w:tc>
          <w:tcPr>
            <w:tcW w:w="852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Computer equipment</w:t>
            </w:r>
          </w:p>
        </w:tc>
        <w:tc>
          <w:tcPr>
            <w:tcW w:w="860" w:type="dxa"/>
            <w:vAlign w:val="bottom"/>
            <w:gridSpan w:val="2"/>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3</w:t>
            </w:r>
          </w:p>
        </w:tc>
        <w:tc>
          <w:tcPr>
            <w:tcW w:w="860" w:type="dxa"/>
            <w:vAlign w:val="bottom"/>
            <w:shd w:val="clear" w:color="auto" w:fill="E2E2E2"/>
          </w:tcPr>
          <w:p>
            <w:pPr>
              <w:jc w:val="right"/>
              <w:ind w:right="479"/>
              <w:spacing w:after="0" w:line="226" w:lineRule="exact"/>
              <w:rPr>
                <w:sz w:val="20"/>
                <w:szCs w:val="20"/>
                <w:color w:val="auto"/>
              </w:rPr>
            </w:pPr>
            <w:r>
              <w:rPr>
                <w:rFonts w:ascii="Times New Roman" w:cs="Times New Roman" w:eastAsia="Times New Roman" w:hAnsi="Times New Roman"/>
                <w:sz w:val="20"/>
                <w:szCs w:val="20"/>
                <w:color w:val="1E1E1E"/>
              </w:rPr>
              <w:t>- 5</w:t>
            </w:r>
          </w:p>
        </w:tc>
      </w:tr>
      <w:tr>
        <w:trPr>
          <w:trHeight w:val="270"/>
        </w:trPr>
        <w:tc>
          <w:tcPr>
            <w:tcW w:w="8520" w:type="dxa"/>
            <w:vAlign w:val="bottom"/>
          </w:tcPr>
          <w:p>
            <w:pPr>
              <w:spacing w:after="0"/>
              <w:rPr>
                <w:sz w:val="20"/>
                <w:szCs w:val="20"/>
                <w:color w:val="auto"/>
              </w:rPr>
            </w:pPr>
            <w:r>
              <w:rPr>
                <w:rFonts w:ascii="Times New Roman" w:cs="Times New Roman" w:eastAsia="Times New Roman" w:hAnsi="Times New Roman"/>
                <w:sz w:val="20"/>
                <w:szCs w:val="20"/>
                <w:color w:val="1E1E1E"/>
              </w:rPr>
              <w:t>Software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3</w:t>
            </w:r>
          </w:p>
        </w:tc>
        <w:tc>
          <w:tcPr>
            <w:tcW w:w="860" w:type="dxa"/>
            <w:vAlign w:val="bottom"/>
          </w:tcPr>
          <w:p>
            <w:pPr>
              <w:jc w:val="right"/>
              <w:ind w:right="479"/>
              <w:spacing w:after="0"/>
              <w:rPr>
                <w:sz w:val="20"/>
                <w:szCs w:val="20"/>
                <w:color w:val="auto"/>
              </w:rPr>
            </w:pPr>
            <w:r>
              <w:rPr>
                <w:rFonts w:ascii="Times New Roman" w:cs="Times New Roman" w:eastAsia="Times New Roman" w:hAnsi="Times New Roman"/>
                <w:sz w:val="20"/>
                <w:szCs w:val="20"/>
                <w:color w:val="1E1E1E"/>
              </w:rPr>
              <w:t>- 5</w:t>
            </w:r>
          </w:p>
        </w:tc>
      </w:tr>
    </w:tbl>
    <w:p>
      <w:pPr>
        <w:spacing w:after="0" w:line="200" w:lineRule="exact"/>
        <w:rPr>
          <w:sz w:val="20"/>
          <w:szCs w:val="20"/>
          <w:color w:val="auto"/>
        </w:rPr>
      </w:pPr>
    </w:p>
    <w:p>
      <w:pPr>
        <w:sectPr>
          <w:pgSz w:w="11880" w:h="15480" w:orient="portrait"/>
          <w:cols w:equalWidth="0" w:num="1">
            <w:col w:w="10240"/>
          </w:cols>
          <w:pgMar w:left="820" w:top="22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48</w:t>
      </w:r>
    </w:p>
    <w:p>
      <w:pPr>
        <w:sectPr>
          <w:pgSz w:w="11880" w:h="15480" w:orient="portrait"/>
          <w:cols w:equalWidth="0" w:num="1">
            <w:col w:w="10240"/>
          </w:cols>
          <w:pgMar w:left="820" w:top="226" w:right="820" w:bottom="0"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20"/>
          <w:szCs w:val="20"/>
          <w:b w:val="1"/>
          <w:bCs w:val="1"/>
          <w:color w:val="1E1E1E"/>
        </w:rPr>
        <w:t>DULUTH HOLDINGS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Prepaid Expenses and Other Assets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Prepaid expenses and other assets consist of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1760" w:type="dxa"/>
            <w:vAlign w:val="bottom"/>
            <w:tcBorders>
              <w:bottom w:val="single" w:sz="8" w:color="1E1E1E"/>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1E1E1E"/>
              </w:rPr>
              <w:t>February 2, 2025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1720" w:type="dxa"/>
            <w:vAlign w:val="bottom"/>
            <w:tcBorders>
              <w:bottom w:val="single" w:sz="8" w:color="1E1E1E"/>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1E1E1E"/>
              </w:rPr>
              <w:t>January 28, 2024</w:t>
            </w:r>
          </w:p>
        </w:tc>
      </w:tr>
      <w:tr>
        <w:trPr>
          <w:trHeight w:val="220"/>
        </w:trPr>
        <w:tc>
          <w:tcPr>
            <w:tcW w:w="602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1E1E1E"/>
              </w:rPr>
              <w:t>(in thousands)</w:t>
            </w: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6"/>
        </w:trPr>
        <w:tc>
          <w:tcPr>
            <w:tcW w:w="578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b w:val="1"/>
                <w:bCs w:val="1"/>
                <w:color w:val="1E1E1E"/>
              </w:rPr>
              <w:t>Prepaid expenses &amp; other current assets</w:t>
            </w:r>
          </w:p>
        </w:tc>
        <w:tc>
          <w:tcPr>
            <w:tcW w:w="22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1760" w:type="dxa"/>
            <w:vAlign w:val="bottom"/>
            <w:shd w:val="clear" w:color="auto" w:fill="E2E2E2"/>
          </w:tcPr>
          <w:p>
            <w:pPr>
              <w:spacing w:after="0"/>
              <w:rPr>
                <w:sz w:val="19"/>
                <w:szCs w:val="19"/>
                <w:color w:val="auto"/>
              </w:rPr>
            </w:pPr>
          </w:p>
        </w:tc>
        <w:tc>
          <w:tcPr>
            <w:tcW w:w="22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60" w:type="dxa"/>
            <w:vAlign w:val="bottom"/>
            <w:shd w:val="clear" w:color="auto" w:fill="E2E2E2"/>
          </w:tcPr>
          <w:p>
            <w:pPr>
              <w:spacing w:after="0"/>
              <w:rPr>
                <w:sz w:val="19"/>
                <w:szCs w:val="19"/>
                <w:color w:val="auto"/>
              </w:rPr>
            </w:pPr>
          </w:p>
        </w:tc>
        <w:tc>
          <w:tcPr>
            <w:tcW w:w="1720" w:type="dxa"/>
            <w:vAlign w:val="bottom"/>
            <w:shd w:val="clear" w:color="auto" w:fill="E2E2E2"/>
          </w:tcPr>
          <w:p>
            <w:pPr>
              <w:spacing w:after="0"/>
              <w:rPr>
                <w:sz w:val="19"/>
                <w:szCs w:val="19"/>
                <w:color w:val="auto"/>
              </w:rPr>
            </w:pPr>
          </w:p>
        </w:tc>
      </w:tr>
      <w:tr>
        <w:trPr>
          <w:trHeight w:val="226"/>
        </w:trPr>
        <w:tc>
          <w:tcPr>
            <w:tcW w:w="578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1E1E1E"/>
              </w:rPr>
              <w:t>Pending returns inventory, net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39"/>
              <w:spacing w:after="0" w:line="226" w:lineRule="exact"/>
              <w:rPr>
                <w:sz w:val="20"/>
                <w:szCs w:val="20"/>
                <w:color w:val="auto"/>
              </w:rPr>
            </w:pPr>
            <w:r>
              <w:rPr>
                <w:rFonts w:ascii="Times New Roman" w:cs="Times New Roman" w:eastAsia="Times New Roman" w:hAnsi="Times New Roman"/>
                <w:sz w:val="20"/>
                <w:szCs w:val="20"/>
                <w:color w:val="1E1E1E"/>
                <w:w w:val="79"/>
              </w:rPr>
              <w:t>$</w:t>
            </w:r>
          </w:p>
        </w:tc>
        <w:tc>
          <w:tcPr>
            <w:tcW w:w="17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2,301</w:t>
            </w:r>
          </w:p>
        </w:tc>
        <w:tc>
          <w:tcPr>
            <w:tcW w:w="500" w:type="dxa"/>
            <w:vAlign w:val="bottom"/>
            <w:gridSpan w:val="3"/>
          </w:tcPr>
          <w:p>
            <w:pPr>
              <w:jc w:val="right"/>
              <w:ind w:right="59"/>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7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2,778</w:t>
            </w:r>
          </w:p>
        </w:tc>
      </w:tr>
      <w:tr>
        <w:trPr>
          <w:trHeight w:val="226"/>
        </w:trPr>
        <w:tc>
          <w:tcPr>
            <w:tcW w:w="5780" w:type="dxa"/>
            <w:vAlign w:val="bottom"/>
            <w:shd w:val="clear" w:color="auto" w:fill="E2E2E2"/>
          </w:tcPr>
          <w:p>
            <w:pPr>
              <w:ind w:left="120"/>
              <w:spacing w:after="0" w:line="226" w:lineRule="exact"/>
              <w:rPr>
                <w:sz w:val="20"/>
                <w:szCs w:val="20"/>
                <w:color w:val="auto"/>
              </w:rPr>
            </w:pPr>
            <w:r>
              <w:rPr>
                <w:rFonts w:ascii="Times New Roman" w:cs="Times New Roman" w:eastAsia="Times New Roman" w:hAnsi="Times New Roman"/>
                <w:sz w:val="20"/>
                <w:szCs w:val="20"/>
                <w:color w:val="1E1E1E"/>
              </w:rPr>
              <w:t>Current software hosting implementation costs, net</w:t>
            </w:r>
          </w:p>
        </w:tc>
        <w:tc>
          <w:tcPr>
            <w:tcW w:w="22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176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3,749</w:t>
            </w:r>
          </w:p>
        </w:tc>
        <w:tc>
          <w:tcPr>
            <w:tcW w:w="22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60" w:type="dxa"/>
            <w:vAlign w:val="bottom"/>
            <w:shd w:val="clear" w:color="auto" w:fill="E2E2E2"/>
          </w:tcPr>
          <w:p>
            <w:pPr>
              <w:spacing w:after="0"/>
              <w:rPr>
                <w:sz w:val="19"/>
                <w:szCs w:val="19"/>
                <w:color w:val="auto"/>
              </w:rPr>
            </w:pPr>
          </w:p>
        </w:tc>
        <w:tc>
          <w:tcPr>
            <w:tcW w:w="172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3,353</w:t>
            </w:r>
          </w:p>
        </w:tc>
      </w:tr>
      <w:tr>
        <w:trPr>
          <w:trHeight w:val="221"/>
        </w:trPr>
        <w:tc>
          <w:tcPr>
            <w:tcW w:w="5780" w:type="dxa"/>
            <w:vAlign w:val="bottom"/>
            <w:tcBorders>
              <w:bottom w:val="single" w:sz="8" w:color="E2E2E2"/>
            </w:tcBorders>
          </w:tcPr>
          <w:p>
            <w:pPr>
              <w:ind w:left="120"/>
              <w:spacing w:after="0" w:line="221" w:lineRule="exact"/>
              <w:rPr>
                <w:sz w:val="20"/>
                <w:szCs w:val="20"/>
                <w:color w:val="auto"/>
              </w:rPr>
            </w:pPr>
            <w:r>
              <w:rPr>
                <w:rFonts w:ascii="Times New Roman" w:cs="Times New Roman" w:eastAsia="Times New Roman" w:hAnsi="Times New Roman"/>
                <w:sz w:val="20"/>
                <w:szCs w:val="20"/>
                <w:color w:val="1E1E1E"/>
              </w:rPr>
              <w:t>Other prepaid expenses</w:t>
            </w:r>
          </w:p>
        </w:tc>
        <w:tc>
          <w:tcPr>
            <w:tcW w:w="22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240" w:type="dxa"/>
            <w:vAlign w:val="bottom"/>
            <w:tcBorders>
              <w:bottom w:val="single" w:sz="8" w:color="1E1E1E"/>
            </w:tcBorders>
          </w:tcPr>
          <w:p>
            <w:pPr>
              <w:spacing w:after="0"/>
              <w:rPr>
                <w:sz w:val="19"/>
                <w:szCs w:val="19"/>
                <w:color w:val="auto"/>
              </w:rPr>
            </w:pPr>
          </w:p>
        </w:tc>
        <w:tc>
          <w:tcPr>
            <w:tcW w:w="1760" w:type="dxa"/>
            <w:vAlign w:val="bottom"/>
            <w:tcBorders>
              <w:bottom w:val="single" w:sz="8" w:color="1E1E1E"/>
            </w:tcBorders>
          </w:tcPr>
          <w:p>
            <w:pPr>
              <w:jc w:val="right"/>
              <w:spacing w:after="0" w:line="221" w:lineRule="exact"/>
              <w:rPr>
                <w:sz w:val="20"/>
                <w:szCs w:val="20"/>
                <w:color w:val="auto"/>
              </w:rPr>
            </w:pPr>
            <w:r>
              <w:rPr>
                <w:rFonts w:ascii="Times New Roman" w:cs="Times New Roman" w:eastAsia="Times New Roman" w:hAnsi="Times New Roman"/>
                <w:sz w:val="20"/>
                <w:szCs w:val="20"/>
                <w:color w:val="1E1E1E"/>
              </w:rPr>
              <w:t>11,731</w:t>
            </w:r>
          </w:p>
        </w:tc>
        <w:tc>
          <w:tcPr>
            <w:tcW w:w="22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260" w:type="dxa"/>
            <w:vAlign w:val="bottom"/>
            <w:tcBorders>
              <w:bottom w:val="single" w:sz="8" w:color="1E1E1E"/>
            </w:tcBorders>
          </w:tcPr>
          <w:p>
            <w:pPr>
              <w:spacing w:after="0"/>
              <w:rPr>
                <w:sz w:val="19"/>
                <w:szCs w:val="19"/>
                <w:color w:val="auto"/>
              </w:rPr>
            </w:pPr>
          </w:p>
        </w:tc>
        <w:tc>
          <w:tcPr>
            <w:tcW w:w="1720" w:type="dxa"/>
            <w:vAlign w:val="bottom"/>
            <w:tcBorders>
              <w:bottom w:val="single" w:sz="8" w:color="1E1E1E"/>
            </w:tcBorders>
          </w:tcPr>
          <w:p>
            <w:pPr>
              <w:jc w:val="right"/>
              <w:spacing w:after="0" w:line="221" w:lineRule="exact"/>
              <w:rPr>
                <w:sz w:val="20"/>
                <w:szCs w:val="20"/>
                <w:color w:val="auto"/>
              </w:rPr>
            </w:pPr>
            <w:r>
              <w:rPr>
                <w:rFonts w:ascii="Times New Roman" w:cs="Times New Roman" w:eastAsia="Times New Roman" w:hAnsi="Times New Roman"/>
                <w:sz w:val="20"/>
                <w:szCs w:val="20"/>
                <w:color w:val="1E1E1E"/>
              </w:rPr>
              <w:t>10,357</w:t>
            </w:r>
          </w:p>
        </w:tc>
      </w:tr>
      <w:tr>
        <w:trPr>
          <w:trHeight w:val="214"/>
        </w:trPr>
        <w:tc>
          <w:tcPr>
            <w:tcW w:w="5780" w:type="dxa"/>
            <w:vAlign w:val="bottom"/>
            <w:shd w:val="clear" w:color="auto" w:fill="E2E2E2"/>
          </w:tcPr>
          <w:p>
            <w:pPr>
              <w:ind w:left="240"/>
              <w:spacing w:after="0" w:line="206" w:lineRule="exact"/>
              <w:rPr>
                <w:sz w:val="20"/>
                <w:szCs w:val="20"/>
                <w:color w:val="auto"/>
              </w:rPr>
            </w:pPr>
            <w:r>
              <w:rPr>
                <w:rFonts w:ascii="Times New Roman" w:cs="Times New Roman" w:eastAsia="Times New Roman" w:hAnsi="Times New Roman"/>
                <w:sz w:val="20"/>
                <w:szCs w:val="20"/>
                <w:color w:val="1E1E1E"/>
              </w:rPr>
              <w:t>Prepaid expenses &amp; other current assets</w:t>
            </w:r>
          </w:p>
        </w:tc>
        <w:tc>
          <w:tcPr>
            <w:tcW w:w="220" w:type="dxa"/>
            <w:vAlign w:val="bottom"/>
            <w:shd w:val="clear" w:color="auto" w:fill="E2E2E2"/>
          </w:tcPr>
          <w:p>
            <w:pPr>
              <w:spacing w:after="0"/>
              <w:rPr>
                <w:sz w:val="18"/>
                <w:szCs w:val="18"/>
                <w:color w:val="auto"/>
              </w:rPr>
            </w:pPr>
          </w:p>
        </w:tc>
        <w:tc>
          <w:tcPr>
            <w:tcW w:w="20" w:type="dxa"/>
            <w:vAlign w:val="bottom"/>
            <w:shd w:val="clear" w:color="auto" w:fill="E2E2E2"/>
          </w:tcPr>
          <w:p>
            <w:pPr>
              <w:spacing w:after="0"/>
              <w:rPr>
                <w:sz w:val="18"/>
                <w:szCs w:val="18"/>
                <w:color w:val="auto"/>
              </w:rPr>
            </w:pPr>
          </w:p>
        </w:tc>
        <w:tc>
          <w:tcPr>
            <w:tcW w:w="240" w:type="dxa"/>
            <w:vAlign w:val="bottom"/>
            <w:tcBorders>
              <w:bottom w:val="single" w:sz="8" w:color="1E1E1E"/>
            </w:tcBorders>
            <w:shd w:val="clear" w:color="auto" w:fill="E2E2E2"/>
          </w:tcPr>
          <w:p>
            <w:pPr>
              <w:jc w:val="right"/>
              <w:ind w:right="39"/>
              <w:spacing w:after="0" w:line="206" w:lineRule="exact"/>
              <w:rPr>
                <w:sz w:val="20"/>
                <w:szCs w:val="20"/>
                <w:color w:val="auto"/>
              </w:rPr>
            </w:pPr>
            <w:r>
              <w:rPr>
                <w:rFonts w:ascii="Times New Roman" w:cs="Times New Roman" w:eastAsia="Times New Roman" w:hAnsi="Times New Roman"/>
                <w:sz w:val="20"/>
                <w:szCs w:val="20"/>
                <w:color w:val="1E1E1E"/>
                <w:w w:val="79"/>
              </w:rPr>
              <w:t>$</w:t>
            </w:r>
          </w:p>
        </w:tc>
        <w:tc>
          <w:tcPr>
            <w:tcW w:w="176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17,781</w:t>
            </w:r>
          </w:p>
        </w:tc>
        <w:tc>
          <w:tcPr>
            <w:tcW w:w="220" w:type="dxa"/>
            <w:vAlign w:val="bottom"/>
            <w:shd w:val="clear" w:color="auto" w:fill="E2E2E2"/>
          </w:tcPr>
          <w:p>
            <w:pPr>
              <w:spacing w:after="0"/>
              <w:rPr>
                <w:sz w:val="18"/>
                <w:szCs w:val="18"/>
                <w:color w:val="auto"/>
              </w:rPr>
            </w:pPr>
          </w:p>
        </w:tc>
        <w:tc>
          <w:tcPr>
            <w:tcW w:w="20" w:type="dxa"/>
            <w:vAlign w:val="bottom"/>
            <w:shd w:val="clear" w:color="auto" w:fill="E2E2E2"/>
          </w:tcPr>
          <w:p>
            <w:pPr>
              <w:spacing w:after="0"/>
              <w:rPr>
                <w:sz w:val="18"/>
                <w:szCs w:val="18"/>
                <w:color w:val="auto"/>
              </w:rPr>
            </w:pPr>
          </w:p>
        </w:tc>
        <w:tc>
          <w:tcPr>
            <w:tcW w:w="260" w:type="dxa"/>
            <w:vAlign w:val="bottom"/>
            <w:tcBorders>
              <w:bottom w:val="single" w:sz="8" w:color="1E1E1E"/>
            </w:tcBorders>
            <w:shd w:val="clear" w:color="auto" w:fill="E2E2E2"/>
          </w:tcPr>
          <w:p>
            <w:pPr>
              <w:jc w:val="right"/>
              <w:ind w:right="59"/>
              <w:spacing w:after="0" w:line="206" w:lineRule="exact"/>
              <w:rPr>
                <w:sz w:val="20"/>
                <w:szCs w:val="20"/>
                <w:color w:val="auto"/>
              </w:rPr>
            </w:pPr>
            <w:r>
              <w:rPr>
                <w:rFonts w:ascii="Times New Roman" w:cs="Times New Roman" w:eastAsia="Times New Roman" w:hAnsi="Times New Roman"/>
                <w:sz w:val="20"/>
                <w:szCs w:val="20"/>
                <w:color w:val="1E1E1E"/>
                <w:w w:val="79"/>
              </w:rPr>
              <w:t>$</w:t>
            </w:r>
          </w:p>
        </w:tc>
        <w:tc>
          <w:tcPr>
            <w:tcW w:w="172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16,488</w:t>
            </w:r>
          </w:p>
        </w:tc>
      </w:tr>
      <w:tr>
        <w:trPr>
          <w:trHeight w:val="197"/>
        </w:trPr>
        <w:tc>
          <w:tcPr>
            <w:tcW w:w="5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6"/>
        </w:trPr>
        <w:tc>
          <w:tcPr>
            <w:tcW w:w="578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b w:val="1"/>
                <w:bCs w:val="1"/>
                <w:color w:val="1E1E1E"/>
              </w:rPr>
              <w:t>Other assets, net</w:t>
            </w:r>
          </w:p>
        </w:tc>
        <w:tc>
          <w:tcPr>
            <w:tcW w:w="22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1760" w:type="dxa"/>
            <w:vAlign w:val="bottom"/>
            <w:shd w:val="clear" w:color="auto" w:fill="E2E2E2"/>
          </w:tcPr>
          <w:p>
            <w:pPr>
              <w:spacing w:after="0"/>
              <w:rPr>
                <w:sz w:val="19"/>
                <w:szCs w:val="19"/>
                <w:color w:val="auto"/>
              </w:rPr>
            </w:pPr>
          </w:p>
        </w:tc>
        <w:tc>
          <w:tcPr>
            <w:tcW w:w="22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60" w:type="dxa"/>
            <w:vAlign w:val="bottom"/>
            <w:shd w:val="clear" w:color="auto" w:fill="E2E2E2"/>
          </w:tcPr>
          <w:p>
            <w:pPr>
              <w:spacing w:after="0"/>
              <w:rPr>
                <w:sz w:val="19"/>
                <w:szCs w:val="19"/>
                <w:color w:val="auto"/>
              </w:rPr>
            </w:pPr>
          </w:p>
        </w:tc>
        <w:tc>
          <w:tcPr>
            <w:tcW w:w="1720" w:type="dxa"/>
            <w:vAlign w:val="bottom"/>
            <w:shd w:val="clear" w:color="auto" w:fill="E2E2E2"/>
          </w:tcPr>
          <w:p>
            <w:pPr>
              <w:spacing w:after="0"/>
              <w:rPr>
                <w:sz w:val="19"/>
                <w:szCs w:val="19"/>
                <w:color w:val="auto"/>
              </w:rPr>
            </w:pPr>
          </w:p>
        </w:tc>
      </w:tr>
      <w:tr>
        <w:trPr>
          <w:trHeight w:val="226"/>
        </w:trPr>
        <w:tc>
          <w:tcPr>
            <w:tcW w:w="578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1E1E1E"/>
              </w:rPr>
              <w:t>Goodwill</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39"/>
              <w:spacing w:after="0" w:line="226" w:lineRule="exact"/>
              <w:rPr>
                <w:sz w:val="20"/>
                <w:szCs w:val="20"/>
                <w:color w:val="auto"/>
              </w:rPr>
            </w:pPr>
            <w:r>
              <w:rPr>
                <w:rFonts w:ascii="Times New Roman" w:cs="Times New Roman" w:eastAsia="Times New Roman" w:hAnsi="Times New Roman"/>
                <w:sz w:val="20"/>
                <w:szCs w:val="20"/>
                <w:color w:val="1E1E1E"/>
                <w:w w:val="79"/>
              </w:rPr>
              <w:t>$</w:t>
            </w:r>
          </w:p>
        </w:tc>
        <w:tc>
          <w:tcPr>
            <w:tcW w:w="17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500" w:type="dxa"/>
            <w:vAlign w:val="bottom"/>
            <w:gridSpan w:val="3"/>
          </w:tcPr>
          <w:p>
            <w:pPr>
              <w:jc w:val="right"/>
              <w:ind w:right="59"/>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7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402</w:t>
            </w:r>
          </w:p>
        </w:tc>
      </w:tr>
      <w:tr>
        <w:trPr>
          <w:trHeight w:val="226"/>
        </w:trPr>
        <w:tc>
          <w:tcPr>
            <w:tcW w:w="6020" w:type="dxa"/>
            <w:vAlign w:val="bottom"/>
            <w:gridSpan w:val="3"/>
            <w:shd w:val="clear" w:color="auto" w:fill="E2E2E2"/>
          </w:tcPr>
          <w:p>
            <w:pPr>
              <w:ind w:left="120"/>
              <w:spacing w:after="0" w:line="226" w:lineRule="exact"/>
              <w:rPr>
                <w:sz w:val="20"/>
                <w:szCs w:val="20"/>
                <w:color w:val="auto"/>
              </w:rPr>
            </w:pPr>
            <w:r>
              <w:rPr>
                <w:rFonts w:ascii="Times New Roman" w:cs="Times New Roman" w:eastAsia="Times New Roman" w:hAnsi="Times New Roman"/>
                <w:sz w:val="20"/>
                <w:szCs w:val="20"/>
                <w:color w:val="1E1E1E"/>
              </w:rPr>
              <w:t>Intangible assets, net</w:t>
            </w:r>
          </w:p>
        </w:tc>
        <w:tc>
          <w:tcPr>
            <w:tcW w:w="240" w:type="dxa"/>
            <w:vAlign w:val="bottom"/>
            <w:shd w:val="clear" w:color="auto" w:fill="E2E2E2"/>
          </w:tcPr>
          <w:p>
            <w:pPr>
              <w:spacing w:after="0"/>
              <w:rPr>
                <w:sz w:val="19"/>
                <w:szCs w:val="19"/>
                <w:color w:val="auto"/>
              </w:rPr>
            </w:pPr>
          </w:p>
        </w:tc>
        <w:tc>
          <w:tcPr>
            <w:tcW w:w="176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414</w:t>
            </w:r>
          </w:p>
        </w:tc>
        <w:tc>
          <w:tcPr>
            <w:tcW w:w="22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60" w:type="dxa"/>
            <w:vAlign w:val="bottom"/>
            <w:shd w:val="clear" w:color="auto" w:fill="E2E2E2"/>
          </w:tcPr>
          <w:p>
            <w:pPr>
              <w:spacing w:after="0"/>
              <w:rPr>
                <w:sz w:val="19"/>
                <w:szCs w:val="19"/>
                <w:color w:val="auto"/>
              </w:rPr>
            </w:pPr>
          </w:p>
        </w:tc>
        <w:tc>
          <w:tcPr>
            <w:tcW w:w="172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436</w:t>
            </w:r>
          </w:p>
        </w:tc>
      </w:tr>
      <w:tr>
        <w:trPr>
          <w:trHeight w:val="226"/>
        </w:trPr>
        <w:tc>
          <w:tcPr>
            <w:tcW w:w="6020" w:type="dxa"/>
            <w:vAlign w:val="bottom"/>
            <w:gridSpan w:val="3"/>
          </w:tcPr>
          <w:p>
            <w:pPr>
              <w:ind w:left="120"/>
              <w:spacing w:after="0" w:line="226" w:lineRule="exact"/>
              <w:rPr>
                <w:sz w:val="20"/>
                <w:szCs w:val="20"/>
                <w:color w:val="auto"/>
              </w:rPr>
            </w:pPr>
            <w:r>
              <w:rPr>
                <w:rFonts w:ascii="Times New Roman" w:cs="Times New Roman" w:eastAsia="Times New Roman" w:hAnsi="Times New Roman"/>
                <w:sz w:val="20"/>
                <w:szCs w:val="20"/>
                <w:color w:val="1E1E1E"/>
              </w:rPr>
              <w:t>Non-current software hosting implementation costs</w:t>
            </w:r>
          </w:p>
        </w:tc>
        <w:tc>
          <w:tcPr>
            <w:tcW w:w="240" w:type="dxa"/>
            <w:vAlign w:val="bottom"/>
          </w:tcPr>
          <w:p>
            <w:pPr>
              <w:spacing w:after="0"/>
              <w:rPr>
                <w:sz w:val="19"/>
                <w:szCs w:val="19"/>
                <w:color w:val="auto"/>
              </w:rPr>
            </w:pPr>
          </w:p>
        </w:tc>
        <w:tc>
          <w:tcPr>
            <w:tcW w:w="17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7,498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6,705</w:t>
            </w:r>
          </w:p>
        </w:tc>
      </w:tr>
      <w:tr>
        <w:trPr>
          <w:trHeight w:val="226"/>
        </w:trPr>
        <w:tc>
          <w:tcPr>
            <w:tcW w:w="6020" w:type="dxa"/>
            <w:vAlign w:val="bottom"/>
            <w:gridSpan w:val="3"/>
            <w:shd w:val="clear" w:color="auto" w:fill="E2E2E2"/>
          </w:tcPr>
          <w:p>
            <w:pPr>
              <w:ind w:left="120"/>
              <w:spacing w:after="0" w:line="226" w:lineRule="exact"/>
              <w:rPr>
                <w:sz w:val="20"/>
                <w:szCs w:val="20"/>
                <w:color w:val="auto"/>
              </w:rPr>
            </w:pPr>
            <w:r>
              <w:rPr>
                <w:rFonts w:ascii="Times New Roman" w:cs="Times New Roman" w:eastAsia="Times New Roman" w:hAnsi="Times New Roman"/>
                <w:sz w:val="20"/>
                <w:szCs w:val="20"/>
                <w:color w:val="1E1E1E"/>
              </w:rPr>
              <w:t>Other assets, net</w:t>
            </w:r>
          </w:p>
        </w:tc>
        <w:tc>
          <w:tcPr>
            <w:tcW w:w="240" w:type="dxa"/>
            <w:vAlign w:val="bottom"/>
            <w:tcBorders>
              <w:bottom w:val="single" w:sz="8" w:color="1E1E1E"/>
            </w:tcBorders>
            <w:shd w:val="clear" w:color="auto" w:fill="E2E2E2"/>
          </w:tcPr>
          <w:p>
            <w:pPr>
              <w:spacing w:after="0"/>
              <w:rPr>
                <w:sz w:val="19"/>
                <w:szCs w:val="19"/>
                <w:color w:val="auto"/>
              </w:rPr>
            </w:pPr>
          </w:p>
        </w:tc>
        <w:tc>
          <w:tcPr>
            <w:tcW w:w="1760" w:type="dxa"/>
            <w:vAlign w:val="bottom"/>
            <w:tcBorders>
              <w:bottom w:val="single" w:sz="8" w:color="1E1E1E"/>
            </w:tcBorders>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1,228</w:t>
            </w:r>
          </w:p>
        </w:tc>
        <w:tc>
          <w:tcPr>
            <w:tcW w:w="22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60" w:type="dxa"/>
            <w:vAlign w:val="bottom"/>
            <w:tcBorders>
              <w:bottom w:val="single" w:sz="8" w:color="1E1E1E"/>
            </w:tcBorders>
            <w:shd w:val="clear" w:color="auto" w:fill="E2E2E2"/>
          </w:tcPr>
          <w:p>
            <w:pPr>
              <w:spacing w:after="0"/>
              <w:rPr>
                <w:sz w:val="19"/>
                <w:szCs w:val="19"/>
                <w:color w:val="auto"/>
              </w:rPr>
            </w:pPr>
          </w:p>
        </w:tc>
        <w:tc>
          <w:tcPr>
            <w:tcW w:w="1720" w:type="dxa"/>
            <w:vAlign w:val="bottom"/>
            <w:tcBorders>
              <w:bottom w:val="single" w:sz="8" w:color="1E1E1E"/>
            </w:tcBorders>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1,477</w:t>
            </w:r>
          </w:p>
        </w:tc>
      </w:tr>
      <w:tr>
        <w:trPr>
          <w:trHeight w:val="214"/>
        </w:trPr>
        <w:tc>
          <w:tcPr>
            <w:tcW w:w="6000" w:type="dxa"/>
            <w:vAlign w:val="bottom"/>
            <w:gridSpan w:val="2"/>
          </w:tcPr>
          <w:p>
            <w:pPr>
              <w:ind w:left="240"/>
              <w:spacing w:after="0" w:line="206" w:lineRule="exact"/>
              <w:rPr>
                <w:sz w:val="20"/>
                <w:szCs w:val="20"/>
                <w:color w:val="auto"/>
              </w:rPr>
            </w:pPr>
            <w:r>
              <w:rPr>
                <w:rFonts w:ascii="Times New Roman" w:cs="Times New Roman" w:eastAsia="Times New Roman" w:hAnsi="Times New Roman"/>
                <w:sz w:val="20"/>
                <w:szCs w:val="20"/>
                <w:color w:val="1E1E1E"/>
              </w:rPr>
              <w:t>Other assets, net</w:t>
            </w:r>
          </w:p>
        </w:tc>
        <w:tc>
          <w:tcPr>
            <w:tcW w:w="20" w:type="dxa"/>
            <w:vAlign w:val="bottom"/>
            <w:tcBorders>
              <w:bottom w:val="single" w:sz="8" w:color="1E1E1E"/>
            </w:tcBorders>
          </w:tcPr>
          <w:p>
            <w:pPr>
              <w:spacing w:after="0"/>
              <w:rPr>
                <w:sz w:val="18"/>
                <w:szCs w:val="18"/>
                <w:color w:val="auto"/>
              </w:rPr>
            </w:pPr>
          </w:p>
        </w:tc>
        <w:tc>
          <w:tcPr>
            <w:tcW w:w="240" w:type="dxa"/>
            <w:vAlign w:val="bottom"/>
            <w:tcBorders>
              <w:bottom w:val="single" w:sz="8" w:color="1E1E1E"/>
            </w:tcBorders>
          </w:tcPr>
          <w:p>
            <w:pPr>
              <w:jc w:val="right"/>
              <w:ind w:right="39"/>
              <w:spacing w:after="0" w:line="206" w:lineRule="exact"/>
              <w:rPr>
                <w:sz w:val="20"/>
                <w:szCs w:val="20"/>
                <w:color w:val="auto"/>
              </w:rPr>
            </w:pPr>
            <w:r>
              <w:rPr>
                <w:rFonts w:ascii="Times New Roman" w:cs="Times New Roman" w:eastAsia="Times New Roman" w:hAnsi="Times New Roman"/>
                <w:sz w:val="20"/>
                <w:szCs w:val="20"/>
                <w:color w:val="1E1E1E"/>
                <w:w w:val="79"/>
              </w:rPr>
              <w:t>$</w:t>
            </w:r>
          </w:p>
        </w:tc>
        <w:tc>
          <w:tcPr>
            <w:tcW w:w="1760" w:type="dxa"/>
            <w:vAlign w:val="bottom"/>
            <w:tcBorders>
              <w:bottom w:val="single" w:sz="8" w:color="1E1E1E"/>
            </w:tcBorders>
          </w:tcPr>
          <w:p>
            <w:pPr>
              <w:jc w:val="right"/>
              <w:spacing w:after="0" w:line="206" w:lineRule="exact"/>
              <w:rPr>
                <w:sz w:val="20"/>
                <w:szCs w:val="20"/>
                <w:color w:val="auto"/>
              </w:rPr>
            </w:pPr>
            <w:r>
              <w:rPr>
                <w:rFonts w:ascii="Times New Roman" w:cs="Times New Roman" w:eastAsia="Times New Roman" w:hAnsi="Times New Roman"/>
                <w:sz w:val="20"/>
                <w:szCs w:val="20"/>
                <w:color w:val="1E1E1E"/>
              </w:rPr>
              <w:t>9,140</w:t>
            </w:r>
          </w:p>
        </w:tc>
        <w:tc>
          <w:tcPr>
            <w:tcW w:w="220" w:type="dxa"/>
            <w:vAlign w:val="bottom"/>
          </w:tcPr>
          <w:p>
            <w:pPr>
              <w:spacing w:after="0"/>
              <w:rPr>
                <w:sz w:val="18"/>
                <w:szCs w:val="18"/>
                <w:color w:val="auto"/>
              </w:rPr>
            </w:pPr>
          </w:p>
        </w:tc>
        <w:tc>
          <w:tcPr>
            <w:tcW w:w="20" w:type="dxa"/>
            <w:vAlign w:val="bottom"/>
            <w:tcBorders>
              <w:bottom w:val="single" w:sz="8" w:color="1E1E1E"/>
            </w:tcBorders>
          </w:tcPr>
          <w:p>
            <w:pPr>
              <w:spacing w:after="0"/>
              <w:rPr>
                <w:sz w:val="18"/>
                <w:szCs w:val="18"/>
                <w:color w:val="auto"/>
              </w:rPr>
            </w:pPr>
          </w:p>
        </w:tc>
        <w:tc>
          <w:tcPr>
            <w:tcW w:w="260" w:type="dxa"/>
            <w:vAlign w:val="bottom"/>
            <w:tcBorders>
              <w:bottom w:val="single" w:sz="8" w:color="1E1E1E"/>
            </w:tcBorders>
          </w:tcPr>
          <w:p>
            <w:pPr>
              <w:jc w:val="right"/>
              <w:ind w:right="59"/>
              <w:spacing w:after="0" w:line="206" w:lineRule="exact"/>
              <w:rPr>
                <w:sz w:val="20"/>
                <w:szCs w:val="20"/>
                <w:color w:val="auto"/>
              </w:rPr>
            </w:pPr>
            <w:r>
              <w:rPr>
                <w:rFonts w:ascii="Times New Roman" w:cs="Times New Roman" w:eastAsia="Times New Roman" w:hAnsi="Times New Roman"/>
                <w:sz w:val="20"/>
                <w:szCs w:val="20"/>
                <w:color w:val="1E1E1E"/>
                <w:w w:val="79"/>
              </w:rPr>
              <w:t>$</w:t>
            </w:r>
          </w:p>
        </w:tc>
        <w:tc>
          <w:tcPr>
            <w:tcW w:w="1720" w:type="dxa"/>
            <w:vAlign w:val="bottom"/>
            <w:tcBorders>
              <w:bottom w:val="single" w:sz="8" w:color="1E1E1E"/>
            </w:tcBorders>
          </w:tcPr>
          <w:p>
            <w:pPr>
              <w:jc w:val="right"/>
              <w:spacing w:after="0" w:line="206" w:lineRule="exact"/>
              <w:rPr>
                <w:sz w:val="20"/>
                <w:szCs w:val="20"/>
                <w:color w:val="auto"/>
              </w:rPr>
            </w:pPr>
            <w:r>
              <w:rPr>
                <w:rFonts w:ascii="Times New Roman" w:cs="Times New Roman" w:eastAsia="Times New Roman" w:hAnsi="Times New Roman"/>
                <w:sz w:val="20"/>
                <w:szCs w:val="20"/>
                <w:color w:val="1E1E1E"/>
              </w:rPr>
              <w:t>9,020</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Software Hosting Implementation Costs</w:t>
      </w:r>
    </w:p>
    <w:p>
      <w:pPr>
        <w:spacing w:after="0" w:line="194" w:lineRule="exact"/>
        <w:rPr>
          <w:sz w:val="20"/>
          <w:szCs w:val="20"/>
          <w:color w:val="auto"/>
        </w:rPr>
      </w:pPr>
    </w:p>
    <w:p>
      <w:pPr>
        <w:ind w:right="60" w:firstLine="490"/>
        <w:spacing w:after="0" w:line="250" w:lineRule="auto"/>
        <w:rPr>
          <w:sz w:val="20"/>
          <w:szCs w:val="20"/>
          <w:color w:val="auto"/>
        </w:rPr>
      </w:pPr>
      <w:r>
        <w:rPr>
          <w:rFonts w:ascii="Times New Roman" w:cs="Times New Roman" w:eastAsia="Times New Roman" w:hAnsi="Times New Roman"/>
          <w:sz w:val="20"/>
          <w:szCs w:val="20"/>
          <w:color w:val="1E1E1E"/>
        </w:rPr>
        <w:t xml:space="preserve">Software hosting implementation costs includes costs of implementation activities of certain cloud computing arrangements in accordance with Accounting Standards Update No. 2018-15, </w:t>
      </w:r>
      <w:r>
        <w:rPr>
          <w:rFonts w:ascii="Times New Roman" w:cs="Times New Roman" w:eastAsia="Times New Roman" w:hAnsi="Times New Roman"/>
          <w:sz w:val="20"/>
          <w:szCs w:val="20"/>
          <w:i w:val="1"/>
          <w:iCs w:val="1"/>
          <w:color w:val="1E1E1E"/>
        </w:rPr>
        <w:t>Intangibles – Goodwill and Other – Internal-Use</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Software (Subtopic 350-40)</w:t>
      </w:r>
      <w:r>
        <w:rPr>
          <w:rFonts w:ascii="Times New Roman" w:cs="Times New Roman" w:eastAsia="Times New Roman" w:hAnsi="Times New Roman"/>
          <w:sz w:val="20"/>
          <w:szCs w:val="20"/>
          <w:color w:val="1E1E1E"/>
        </w:rPr>
        <w:t>. Amortization expense was $5.3 million and $5.0 million for fiscal 2024 and fiscal 2023,</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respectively. Accumulated amortization was $12.4 million and $10.4 million for fiscal 2024 and fiscal 2023, respectively. See Note 12 “Recent Accounting Pronouncements” for more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Goodwill</w:t>
      </w:r>
    </w:p>
    <w:p>
      <w:pPr>
        <w:spacing w:after="0" w:line="199" w:lineRule="exact"/>
        <w:rPr>
          <w:sz w:val="20"/>
          <w:szCs w:val="20"/>
          <w:color w:val="auto"/>
        </w:rPr>
      </w:pPr>
    </w:p>
    <w:p>
      <w:pPr>
        <w:ind w:right="40" w:firstLine="490"/>
        <w:spacing w:after="0" w:line="248" w:lineRule="auto"/>
        <w:rPr>
          <w:sz w:val="20"/>
          <w:szCs w:val="20"/>
          <w:color w:val="auto"/>
        </w:rPr>
      </w:pPr>
      <w:r>
        <w:rPr>
          <w:rFonts w:ascii="Times New Roman" w:cs="Times New Roman" w:eastAsia="Times New Roman" w:hAnsi="Times New Roman"/>
          <w:sz w:val="20"/>
          <w:szCs w:val="20"/>
          <w:color w:val="1E1E1E"/>
        </w:rPr>
        <w:t xml:space="preserve">Goodwill represents the excess of purchase price over the fair value of net assets acquired. ASC Topic 350, </w:t>
      </w:r>
      <w:r>
        <w:rPr>
          <w:rFonts w:ascii="Times New Roman" w:cs="Times New Roman" w:eastAsia="Times New Roman" w:hAnsi="Times New Roman"/>
          <w:sz w:val="20"/>
          <w:szCs w:val="20"/>
          <w:i w:val="1"/>
          <w:iCs w:val="1"/>
          <w:color w:val="1E1E1E"/>
        </w:rPr>
        <w:t>Intangibles-Goodwill and Other</w:t>
      </w:r>
      <w:r>
        <w:rPr>
          <w:rFonts w:ascii="Times New Roman" w:cs="Times New Roman" w:eastAsia="Times New Roman" w:hAnsi="Times New Roman"/>
          <w:sz w:val="20"/>
          <w:szCs w:val="20"/>
          <w:color w:val="1E1E1E"/>
        </w:rPr>
        <w:t>, requires that goodwill be tested for impairment annually, or more often if an event or circumstance</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indicates that an impairment loss may have been incurred. The Company’s management uses its judgment in assessing whether goodwill may have become impaired between annual impairment tests. Indicators such as unexpected adverse business conditions, economic factors, competitive activities, loss of key personnel and acts by governments may signal that an asset has become impaired.</w:t>
      </w:r>
    </w:p>
    <w:p>
      <w:pPr>
        <w:spacing w:after="0" w:line="153" w:lineRule="exact"/>
        <w:rPr>
          <w:sz w:val="20"/>
          <w:szCs w:val="20"/>
          <w:color w:val="auto"/>
        </w:rPr>
      </w:pPr>
    </w:p>
    <w:p>
      <w:pPr>
        <w:ind w:right="100" w:firstLine="720"/>
        <w:spacing w:after="0" w:line="248" w:lineRule="auto"/>
        <w:rPr>
          <w:sz w:val="20"/>
          <w:szCs w:val="20"/>
          <w:color w:val="auto"/>
        </w:rPr>
      </w:pPr>
      <w:r>
        <w:rPr>
          <w:rFonts w:ascii="Times New Roman" w:cs="Times New Roman" w:eastAsia="Times New Roman" w:hAnsi="Times New Roman"/>
          <w:sz w:val="20"/>
          <w:szCs w:val="20"/>
          <w:color w:val="1E1E1E"/>
        </w:rPr>
        <w:t>Management performed its annual qualitative assessment of goodwill as of December 31, 2024 and 2023, which included assessing factors such as macroeconomic conditions, industry and market considerations, cost factors and overall financial performance. The next step after the qualitative assessment failed was estimating the fair value of the reporting unit, which management used the market valuation approach. Through the annual assessment, management determined the carrying amount of the Goodwill exceeded its value. Thus, the Company recognized a full impairment for the year ended February 2, 2025.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Intangible Assets and Other Assets</w:t>
      </w:r>
    </w:p>
    <w:p>
      <w:pPr>
        <w:spacing w:after="0" w:line="199" w:lineRule="exact"/>
        <w:rPr>
          <w:sz w:val="20"/>
          <w:szCs w:val="20"/>
          <w:color w:val="auto"/>
        </w:rPr>
      </w:pPr>
    </w:p>
    <w:p>
      <w:pPr>
        <w:jc w:val="both"/>
        <w:ind w:right="20" w:firstLine="490"/>
        <w:spacing w:after="0" w:line="254" w:lineRule="auto"/>
        <w:rPr>
          <w:sz w:val="20"/>
          <w:szCs w:val="20"/>
          <w:color w:val="auto"/>
        </w:rPr>
      </w:pPr>
      <w:r>
        <w:rPr>
          <w:rFonts w:ascii="Times New Roman" w:cs="Times New Roman" w:eastAsia="Times New Roman" w:hAnsi="Times New Roman"/>
          <w:sz w:val="20"/>
          <w:szCs w:val="20"/>
          <w:color w:val="1E1E1E"/>
        </w:rPr>
        <w:t>Intangible assets and other assets include loan origination fees and trade names which are amortized over their estimated useful lives ranging from three years to fifteen years. Other assets also primarily include security deposits required by certain of the Company’s lease agreements and prepaid expenses. Amortization expense was $0.2 million for fiscal 2024 and fiscal 2023. Accumulated amortization was $1.2 million and $1.0 million as of February 2, 2025 and January 28, 2024, respectively.</w:t>
      </w:r>
    </w:p>
    <w:p>
      <w:pPr>
        <w:sectPr>
          <w:pgSz w:w="11880" w:h="15480" w:orient="portrait"/>
          <w:cols w:equalWidth="0" w:num="1">
            <w:col w:w="10240"/>
          </w:cols>
          <w:pgMar w:left="820" w:top="22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49</w:t>
      </w:r>
    </w:p>
    <w:p>
      <w:pPr>
        <w:sectPr>
          <w:pgSz w:w="11880" w:h="15480" w:orient="portrait"/>
          <w:cols w:equalWidth="0" w:num="1">
            <w:col w:w="10240"/>
          </w:cols>
          <w:pgMar w:left="820" w:top="226" w:right="820" w:bottom="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8500" w:type="dxa"/>
            <w:vAlign w:val="bottom"/>
          </w:tcPr>
          <w:p>
            <w:pPr>
              <w:ind w:left="3900"/>
              <w:spacing w:after="0"/>
              <w:rPr>
                <w:sz w:val="20"/>
                <w:szCs w:val="20"/>
                <w:color w:val="auto"/>
              </w:rPr>
            </w:pPr>
            <w:r>
              <w:rPr>
                <w:rFonts w:ascii="Times New Roman" w:cs="Times New Roman" w:eastAsia="Times New Roman" w:hAnsi="Times New Roman"/>
                <w:sz w:val="20"/>
                <w:szCs w:val="20"/>
                <w:b w:val="1"/>
                <w:bCs w:val="1"/>
                <w:color w:val="1E1E1E"/>
              </w:rPr>
              <w:t>DULUTH HOLDINGS INC.</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7"/>
        </w:trPr>
        <w:tc>
          <w:tcPr>
            <w:tcW w:w="8500" w:type="dxa"/>
            <w:vAlign w:val="bottom"/>
          </w:tcPr>
          <w:p>
            <w:pPr>
              <w:ind w:left="3260"/>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7"/>
        </w:trPr>
        <w:tc>
          <w:tcPr>
            <w:tcW w:w="8500" w:type="dxa"/>
            <w:vAlign w:val="bottom"/>
          </w:tcPr>
          <w:p>
            <w:pPr>
              <w:ind w:left="480"/>
              <w:spacing w:after="0"/>
              <w:rPr>
                <w:sz w:val="20"/>
                <w:szCs w:val="20"/>
                <w:color w:val="auto"/>
              </w:rPr>
            </w:pPr>
            <w:r>
              <w:rPr>
                <w:rFonts w:ascii="Times New Roman" w:cs="Times New Roman" w:eastAsia="Times New Roman" w:hAnsi="Times New Roman"/>
                <w:sz w:val="20"/>
                <w:szCs w:val="20"/>
                <w:color w:val="1E1E1E"/>
              </w:rPr>
              <w:t>Scheduled future amortization of amortizable other assets is as follows as of February 2, 2025:</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11"/>
        </w:trPr>
        <w:tc>
          <w:tcPr>
            <w:tcW w:w="850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6"/>
                <w:szCs w:val="16"/>
                <w:b w:val="1"/>
                <w:bCs w:val="1"/>
                <w:color w:val="1E1E1E"/>
              </w:rPr>
              <w:t>Fiscal year</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6"/>
        </w:trPr>
        <w:tc>
          <w:tcPr>
            <w:tcW w:w="8500" w:type="dxa"/>
            <w:vAlign w:val="bottom"/>
          </w:tcPr>
          <w:p>
            <w:pPr>
              <w:spacing w:after="0"/>
              <w:rPr>
                <w:sz w:val="20"/>
                <w:szCs w:val="20"/>
                <w:color w:val="auto"/>
              </w:rPr>
            </w:pPr>
            <w:r>
              <w:rPr>
                <w:rFonts w:ascii="Times New Roman" w:cs="Times New Roman" w:eastAsia="Times New Roman" w:hAnsi="Times New Roman"/>
                <w:sz w:val="16"/>
                <w:szCs w:val="16"/>
                <w:i w:val="1"/>
                <w:iCs w:val="1"/>
                <w:color w:val="1E1E1E"/>
              </w:rPr>
              <w:t>(in thousands)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1"/>
        </w:trPr>
        <w:tc>
          <w:tcPr>
            <w:tcW w:w="8500" w:type="dxa"/>
            <w:vAlign w:val="bottom"/>
            <w:shd w:val="clear" w:color="auto" w:fill="E2E2E2"/>
          </w:tcPr>
          <w:p>
            <w:pPr>
              <w:spacing w:after="0" w:line="221" w:lineRule="exact"/>
              <w:rPr>
                <w:sz w:val="20"/>
                <w:szCs w:val="20"/>
                <w:color w:val="auto"/>
              </w:rPr>
            </w:pPr>
            <w:r>
              <w:rPr>
                <w:rFonts w:ascii="Times New Roman" w:cs="Times New Roman" w:eastAsia="Times New Roman" w:hAnsi="Times New Roman"/>
                <w:sz w:val="20"/>
                <w:szCs w:val="20"/>
                <w:color w:val="1E1E1E"/>
              </w:rPr>
              <w:t>2025</w:t>
            </w:r>
          </w:p>
        </w:tc>
        <w:tc>
          <w:tcPr>
            <w:tcW w:w="180" w:type="dxa"/>
            <w:vAlign w:val="bottom"/>
            <w:shd w:val="clear" w:color="auto" w:fill="E2E2E2"/>
          </w:tcPr>
          <w:p>
            <w:pPr>
              <w:spacing w:after="0"/>
              <w:rPr>
                <w:sz w:val="19"/>
                <w:szCs w:val="19"/>
                <w:color w:val="auto"/>
              </w:rPr>
            </w:pPr>
          </w:p>
        </w:tc>
        <w:tc>
          <w:tcPr>
            <w:tcW w:w="660" w:type="dxa"/>
            <w:vAlign w:val="bottom"/>
            <w:shd w:val="clear" w:color="auto" w:fill="E2E2E2"/>
          </w:tcPr>
          <w:p>
            <w:pPr>
              <w:jc w:val="right"/>
              <w:ind w:right="459"/>
              <w:spacing w:after="0" w:line="221" w:lineRule="exact"/>
              <w:rPr>
                <w:sz w:val="20"/>
                <w:szCs w:val="20"/>
                <w:color w:val="auto"/>
              </w:rPr>
            </w:pPr>
            <w:r>
              <w:rPr>
                <w:rFonts w:ascii="Times New Roman" w:cs="Times New Roman" w:eastAsia="Times New Roman" w:hAnsi="Times New Roman"/>
                <w:sz w:val="20"/>
                <w:szCs w:val="20"/>
                <w:color w:val="1E1E1E"/>
                <w:w w:val="79"/>
              </w:rPr>
              <w:t>$</w:t>
            </w:r>
          </w:p>
        </w:tc>
        <w:tc>
          <w:tcPr>
            <w:tcW w:w="900" w:type="dxa"/>
            <w:vAlign w:val="bottom"/>
            <w:shd w:val="clear" w:color="auto" w:fill="E2E2E2"/>
          </w:tcPr>
          <w:p>
            <w:pPr>
              <w:jc w:val="right"/>
              <w:spacing w:after="0" w:line="221" w:lineRule="exact"/>
              <w:rPr>
                <w:sz w:val="20"/>
                <w:szCs w:val="20"/>
                <w:color w:val="auto"/>
              </w:rPr>
            </w:pPr>
            <w:r>
              <w:rPr>
                <w:rFonts w:ascii="Times New Roman" w:cs="Times New Roman" w:eastAsia="Times New Roman" w:hAnsi="Times New Roman"/>
                <w:sz w:val="20"/>
                <w:szCs w:val="20"/>
                <w:color w:val="1E1E1E"/>
              </w:rPr>
              <w:t>157</w:t>
            </w:r>
          </w:p>
        </w:tc>
      </w:tr>
      <w:tr>
        <w:trPr>
          <w:trHeight w:val="226"/>
        </w:trPr>
        <w:tc>
          <w:tcPr>
            <w:tcW w:w="85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2026</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80</w:t>
            </w:r>
          </w:p>
        </w:tc>
      </w:tr>
      <w:tr>
        <w:trPr>
          <w:trHeight w:val="226"/>
        </w:trPr>
        <w:tc>
          <w:tcPr>
            <w:tcW w:w="850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2027</w:t>
            </w:r>
          </w:p>
        </w:tc>
        <w:tc>
          <w:tcPr>
            <w:tcW w:w="180" w:type="dxa"/>
            <w:vAlign w:val="bottom"/>
            <w:shd w:val="clear" w:color="auto" w:fill="E2E2E2"/>
          </w:tcPr>
          <w:p>
            <w:pPr>
              <w:spacing w:after="0"/>
              <w:rPr>
                <w:sz w:val="19"/>
                <w:szCs w:val="19"/>
                <w:color w:val="auto"/>
              </w:rPr>
            </w:pPr>
          </w:p>
        </w:tc>
        <w:tc>
          <w:tcPr>
            <w:tcW w:w="660" w:type="dxa"/>
            <w:vAlign w:val="bottom"/>
            <w:shd w:val="clear" w:color="auto" w:fill="E2E2E2"/>
          </w:tcPr>
          <w:p>
            <w:pPr>
              <w:spacing w:after="0"/>
              <w:rPr>
                <w:sz w:val="19"/>
                <w:szCs w:val="19"/>
                <w:color w:val="auto"/>
              </w:rPr>
            </w:pPr>
          </w:p>
        </w:tc>
        <w:tc>
          <w:tcPr>
            <w:tcW w:w="90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22</w:t>
            </w:r>
          </w:p>
        </w:tc>
      </w:tr>
      <w:tr>
        <w:trPr>
          <w:trHeight w:val="226"/>
        </w:trPr>
        <w:tc>
          <w:tcPr>
            <w:tcW w:w="85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2028</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2</w:t>
            </w:r>
          </w:p>
        </w:tc>
      </w:tr>
      <w:tr>
        <w:trPr>
          <w:trHeight w:val="226"/>
        </w:trPr>
        <w:tc>
          <w:tcPr>
            <w:tcW w:w="850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2029</w:t>
            </w:r>
          </w:p>
        </w:tc>
        <w:tc>
          <w:tcPr>
            <w:tcW w:w="180" w:type="dxa"/>
            <w:vAlign w:val="bottom"/>
            <w:shd w:val="clear" w:color="auto" w:fill="E2E2E2"/>
          </w:tcPr>
          <w:p>
            <w:pPr>
              <w:spacing w:after="0"/>
              <w:rPr>
                <w:sz w:val="19"/>
                <w:szCs w:val="19"/>
                <w:color w:val="auto"/>
              </w:rPr>
            </w:pPr>
          </w:p>
        </w:tc>
        <w:tc>
          <w:tcPr>
            <w:tcW w:w="660" w:type="dxa"/>
            <w:vAlign w:val="bottom"/>
            <w:shd w:val="clear" w:color="auto" w:fill="E2E2E2"/>
          </w:tcPr>
          <w:p>
            <w:pPr>
              <w:spacing w:after="0"/>
              <w:rPr>
                <w:sz w:val="19"/>
                <w:szCs w:val="19"/>
                <w:color w:val="auto"/>
              </w:rPr>
            </w:pPr>
          </w:p>
        </w:tc>
        <w:tc>
          <w:tcPr>
            <w:tcW w:w="90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2</w:t>
            </w:r>
          </w:p>
        </w:tc>
      </w:tr>
      <w:tr>
        <w:trPr>
          <w:trHeight w:val="226"/>
        </w:trPr>
        <w:tc>
          <w:tcPr>
            <w:tcW w:w="8500" w:type="dxa"/>
            <w:vAlign w:val="bottom"/>
            <w:tcBorders>
              <w:bottom w:val="single" w:sz="8" w:color="E2E2E2"/>
            </w:tcBorders>
          </w:tcPr>
          <w:p>
            <w:pPr>
              <w:spacing w:after="0" w:line="226" w:lineRule="exact"/>
              <w:rPr>
                <w:sz w:val="20"/>
                <w:szCs w:val="20"/>
                <w:color w:val="auto"/>
              </w:rPr>
            </w:pPr>
            <w:r>
              <w:rPr>
                <w:rFonts w:ascii="Times New Roman" w:cs="Times New Roman" w:eastAsia="Times New Roman" w:hAnsi="Times New Roman"/>
                <w:sz w:val="20"/>
                <w:szCs w:val="20"/>
                <w:color w:val="1E1E1E"/>
              </w:rPr>
              <w:t>Thereafter</w:t>
            </w:r>
          </w:p>
        </w:tc>
        <w:tc>
          <w:tcPr>
            <w:tcW w:w="180" w:type="dxa"/>
            <w:vAlign w:val="bottom"/>
            <w:tcBorders>
              <w:bottom w:val="single" w:sz="8" w:color="E2E2E2"/>
            </w:tcBorders>
          </w:tcPr>
          <w:p>
            <w:pPr>
              <w:spacing w:after="0"/>
              <w:rPr>
                <w:sz w:val="19"/>
                <w:szCs w:val="19"/>
                <w:color w:val="auto"/>
              </w:rPr>
            </w:pPr>
          </w:p>
        </w:tc>
        <w:tc>
          <w:tcPr>
            <w:tcW w:w="660" w:type="dxa"/>
            <w:vAlign w:val="bottom"/>
            <w:tcBorders>
              <w:bottom w:val="single" w:sz="8" w:color="1E1E1E"/>
            </w:tcBorders>
          </w:tcPr>
          <w:p>
            <w:pPr>
              <w:spacing w:after="0"/>
              <w:rPr>
                <w:sz w:val="19"/>
                <w:szCs w:val="19"/>
                <w:color w:val="auto"/>
              </w:rPr>
            </w:pPr>
          </w:p>
        </w:tc>
        <w:tc>
          <w:tcPr>
            <w:tcW w:w="90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4</w:t>
            </w:r>
          </w:p>
        </w:tc>
      </w:tr>
      <w:tr>
        <w:trPr>
          <w:trHeight w:val="214"/>
        </w:trPr>
        <w:tc>
          <w:tcPr>
            <w:tcW w:w="8500" w:type="dxa"/>
            <w:vAlign w:val="bottom"/>
            <w:shd w:val="clear" w:color="auto" w:fill="E2E2E2"/>
          </w:tcPr>
          <w:p>
            <w:pPr>
              <w:spacing w:after="0"/>
              <w:rPr>
                <w:sz w:val="18"/>
                <w:szCs w:val="18"/>
                <w:color w:val="auto"/>
              </w:rPr>
            </w:pPr>
          </w:p>
        </w:tc>
        <w:tc>
          <w:tcPr>
            <w:tcW w:w="180" w:type="dxa"/>
            <w:vAlign w:val="bottom"/>
            <w:shd w:val="clear" w:color="auto" w:fill="E2E2E2"/>
          </w:tcPr>
          <w:p>
            <w:pPr>
              <w:spacing w:after="0"/>
              <w:rPr>
                <w:sz w:val="18"/>
                <w:szCs w:val="18"/>
                <w:color w:val="auto"/>
              </w:rPr>
            </w:pPr>
          </w:p>
        </w:tc>
        <w:tc>
          <w:tcPr>
            <w:tcW w:w="660" w:type="dxa"/>
            <w:vAlign w:val="bottom"/>
            <w:tcBorders>
              <w:bottom w:val="single" w:sz="8" w:color="1E1E1E"/>
            </w:tcBorders>
            <w:shd w:val="clear" w:color="auto" w:fill="E2E2E2"/>
          </w:tcPr>
          <w:p>
            <w:pPr>
              <w:jc w:val="right"/>
              <w:ind w:right="459"/>
              <w:spacing w:after="0" w:line="206" w:lineRule="exact"/>
              <w:rPr>
                <w:sz w:val="20"/>
                <w:szCs w:val="20"/>
                <w:color w:val="auto"/>
              </w:rPr>
            </w:pPr>
            <w:r>
              <w:rPr>
                <w:rFonts w:ascii="Times New Roman" w:cs="Times New Roman" w:eastAsia="Times New Roman" w:hAnsi="Times New Roman"/>
                <w:sz w:val="20"/>
                <w:szCs w:val="20"/>
                <w:color w:val="1E1E1E"/>
                <w:w w:val="79"/>
              </w:rPr>
              <w:t>$</w:t>
            </w:r>
          </w:p>
        </w:tc>
        <w:tc>
          <w:tcPr>
            <w:tcW w:w="90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267</w:t>
            </w: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Impairment of Long-Lived Assets</w:t>
      </w:r>
    </w:p>
    <w:p>
      <w:pPr>
        <w:spacing w:after="0" w:line="196" w:lineRule="exact"/>
        <w:rPr>
          <w:sz w:val="20"/>
          <w:szCs w:val="20"/>
          <w:color w:val="auto"/>
        </w:rPr>
      </w:pPr>
    </w:p>
    <w:p>
      <w:pPr>
        <w:ind w:right="100" w:firstLine="490"/>
        <w:spacing w:after="0" w:line="254" w:lineRule="auto"/>
        <w:rPr>
          <w:sz w:val="20"/>
          <w:szCs w:val="20"/>
          <w:color w:val="auto"/>
        </w:rPr>
      </w:pPr>
      <w:r>
        <w:rPr>
          <w:rFonts w:ascii="Times New Roman" w:cs="Times New Roman" w:eastAsia="Times New Roman" w:hAnsi="Times New Roman"/>
          <w:sz w:val="20"/>
          <w:szCs w:val="20"/>
          <w:color w:val="1E1E1E"/>
        </w:rPr>
        <w:t>The Company’s long-lived assets are reviewed for impairment during the fourth quarter, or whenever events or changes in circumstances indicate that the carrying amount may not be recoverable. If the sum of the expected undiscounted cash flows is less than the carrying value of the related asset or group of assets, a loss is recognized for the difference between the fair value and the carrying value of the asset or group of assets. Such analyses necessarily involve judgment.</w:t>
      </w:r>
    </w:p>
    <w:p>
      <w:pPr>
        <w:spacing w:after="0" w:line="150" w:lineRule="exact"/>
        <w:rPr>
          <w:sz w:val="20"/>
          <w:szCs w:val="20"/>
          <w:color w:val="auto"/>
        </w:rPr>
      </w:pPr>
    </w:p>
    <w:p>
      <w:pPr>
        <w:jc w:val="both"/>
        <w:ind w:right="100" w:firstLine="490"/>
        <w:spacing w:after="0" w:line="309" w:lineRule="auto"/>
        <w:rPr>
          <w:sz w:val="20"/>
          <w:szCs w:val="20"/>
          <w:color w:val="auto"/>
        </w:rPr>
      </w:pPr>
      <w:r>
        <w:rPr>
          <w:rFonts w:ascii="Times New Roman" w:cs="Times New Roman" w:eastAsia="Times New Roman" w:hAnsi="Times New Roman"/>
          <w:sz w:val="19"/>
          <w:szCs w:val="19"/>
          <w:color w:val="1E1E1E"/>
        </w:rPr>
        <w:t>For fiscal 2024, management identified a triggering event for two stores within the annual impairment test. Management determined expected undiscounted cash flows were greater than the carrying value and therefore, no impairment was recorded.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Store Pre-opening Costs</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E1E1E"/>
        </w:rPr>
        <w:t>Store pre-opening costs are expensed as incurred and are included in selling, general and administrative expenses.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Stock-Based Compensation</w:t>
      </w:r>
    </w:p>
    <w:p>
      <w:pPr>
        <w:spacing w:after="0" w:line="200"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1E1E1E"/>
        </w:rPr>
        <w:t>In connection with the IPO, the Company adopted the 2015 Equity Incentive Plan of Duluth Holdings Inc. There are awards outstanding under the 2015 plan, but we do not grant new awards under the plan. We have adopted the 2024 Equity Incentive Plan of Duluth Holdings Inc. (“2024 Plan”), which provides compensation alternatives such as stock options, shares, restricted stock, restricted stock units, deferred stock and performance share units, using or based on the Company’s Class B common stock.</w:t>
      </w:r>
    </w:p>
    <w:p>
      <w:pPr>
        <w:spacing w:after="0" w:line="156" w:lineRule="exact"/>
        <w:rPr>
          <w:sz w:val="20"/>
          <w:szCs w:val="20"/>
          <w:color w:val="auto"/>
        </w:rPr>
      </w:pPr>
    </w:p>
    <w:p>
      <w:pPr>
        <w:ind w:right="140" w:firstLine="490"/>
        <w:spacing w:after="0" w:line="248" w:lineRule="auto"/>
        <w:rPr>
          <w:sz w:val="20"/>
          <w:szCs w:val="20"/>
          <w:color w:val="auto"/>
        </w:rPr>
      </w:pPr>
      <w:r>
        <w:rPr>
          <w:rFonts w:ascii="Times New Roman" w:cs="Times New Roman" w:eastAsia="Times New Roman" w:hAnsi="Times New Roman"/>
          <w:sz w:val="20"/>
          <w:szCs w:val="20"/>
          <w:color w:val="1E1E1E"/>
        </w:rPr>
        <w:t xml:space="preserve">The Company accounts for its stock-based compensation plan in accordance with ASC Topic 718, </w:t>
      </w:r>
      <w:r>
        <w:rPr>
          <w:rFonts w:ascii="Times New Roman" w:cs="Times New Roman" w:eastAsia="Times New Roman" w:hAnsi="Times New Roman"/>
          <w:sz w:val="20"/>
          <w:szCs w:val="20"/>
          <w:i w:val="1"/>
          <w:iCs w:val="1"/>
          <w:color w:val="1E1E1E"/>
        </w:rPr>
        <w:t>Stock Compensation</w:t>
      </w:r>
      <w:r>
        <w:rPr>
          <w:rFonts w:ascii="Times New Roman" w:cs="Times New Roman" w:eastAsia="Times New Roman" w:hAnsi="Times New Roman"/>
          <w:sz w:val="20"/>
          <w:szCs w:val="20"/>
          <w:color w:val="1E1E1E"/>
        </w:rPr>
        <w:t>, which requires the Company to measure all share-based payments at grant date fair value and recognize the cost over the requisite service period of the award. Restricted stock issued to board members generally vests over a period of one year. Restricted stock issued to key employees and executives typically vests over a period of three years to four years based on the terms for each individual award. The fair value of the restricted stock is determined based on the market value of the Company’s Class B common stock on the grant date. Restricted stock forfeitures are recognized as incurred.</w:t>
      </w:r>
    </w:p>
    <w:p>
      <w:pPr>
        <w:spacing w:after="0" w:line="153" w:lineRule="exact"/>
        <w:rPr>
          <w:sz w:val="20"/>
          <w:szCs w:val="20"/>
          <w:color w:val="auto"/>
        </w:rPr>
      </w:pPr>
    </w:p>
    <w:p>
      <w:pPr>
        <w:ind w:right="40" w:firstLine="490"/>
        <w:spacing w:after="0" w:line="261" w:lineRule="auto"/>
        <w:rPr>
          <w:sz w:val="20"/>
          <w:szCs w:val="20"/>
          <w:color w:val="auto"/>
        </w:rPr>
      </w:pPr>
      <w:r>
        <w:rPr>
          <w:rFonts w:ascii="Times New Roman" w:cs="Times New Roman" w:eastAsia="Times New Roman" w:hAnsi="Times New Roman"/>
          <w:sz w:val="20"/>
          <w:szCs w:val="20"/>
          <w:color w:val="1E1E1E"/>
        </w:rPr>
        <w:t>Total stock compensation expense associated with restricted stock recognized by the Company was $4.0 million and $4.2 million for fiscal 2024 and fiscal 2023, respectively, and is included in Selling, general and administrative expenses on the Consolidated Statements of Operations.</w:t>
      </w:r>
    </w:p>
    <w:p>
      <w:pPr>
        <w:sectPr>
          <w:pgSz w:w="11880" w:h="15480" w:orient="portrait"/>
          <w:cols w:equalWidth="0" w:num="1">
            <w:col w:w="10240"/>
          </w:cols>
          <w:pgMar w:left="820" w:top="22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50</w:t>
      </w:r>
    </w:p>
    <w:p>
      <w:pPr>
        <w:sectPr>
          <w:pgSz w:w="11880" w:h="15480" w:orient="portrait"/>
          <w:cols w:equalWidth="0" w:num="1">
            <w:col w:w="10240"/>
          </w:cols>
          <w:pgMar w:left="820" w:top="226" w:right="820" w:bottom="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color w:val="1E1E1E"/>
        </w:rPr>
        <w:t>DULUTH HOLDINGS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w:t>
      </w:r>
    </w:p>
    <w:p>
      <w:pPr>
        <w:spacing w:after="0" w:line="234" w:lineRule="exact"/>
        <w:rPr>
          <w:sz w:val="20"/>
          <w:szCs w:val="20"/>
          <w:color w:val="auto"/>
        </w:rPr>
      </w:pPr>
    </w:p>
    <w:p>
      <w:pPr>
        <w:ind w:firstLine="490"/>
        <w:spacing w:after="0" w:line="281" w:lineRule="auto"/>
        <w:rPr>
          <w:sz w:val="20"/>
          <w:szCs w:val="20"/>
          <w:color w:val="auto"/>
        </w:rPr>
      </w:pPr>
      <w:r>
        <w:rPr>
          <w:rFonts w:ascii="Times New Roman" w:cs="Times New Roman" w:eastAsia="Times New Roman" w:hAnsi="Times New Roman"/>
          <w:sz w:val="20"/>
          <w:szCs w:val="20"/>
          <w:color w:val="1E1E1E"/>
        </w:rPr>
        <w:t>The following is a summary of the activity in the Company’s unvested restricted stock during the years ended February 2, 2025 and January 28, 2024:</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86"/>
              <w:spacing w:after="0"/>
              <w:rPr>
                <w:sz w:val="20"/>
                <w:szCs w:val="20"/>
                <w:color w:val="auto"/>
              </w:rPr>
            </w:pPr>
            <w:r>
              <w:rPr>
                <w:rFonts w:ascii="Times New Roman" w:cs="Times New Roman" w:eastAsia="Times New Roman" w:hAnsi="Times New Roman"/>
                <w:sz w:val="16"/>
                <w:szCs w:val="16"/>
                <w:b w:val="1"/>
                <w:bCs w:val="1"/>
                <w:color w:val="1E1E1E"/>
                <w:w w:val="99"/>
              </w:rPr>
              <w:t>Weighted average</w:t>
            </w:r>
          </w:p>
        </w:tc>
      </w:tr>
      <w:tr>
        <w:trPr>
          <w:trHeight w:val="226"/>
        </w:trPr>
        <w:tc>
          <w:tcPr>
            <w:tcW w:w="6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center"/>
              <w:ind w:right="86"/>
              <w:spacing w:after="0"/>
              <w:rPr>
                <w:sz w:val="20"/>
                <w:szCs w:val="20"/>
                <w:color w:val="auto"/>
              </w:rPr>
            </w:pPr>
            <w:r>
              <w:rPr>
                <w:rFonts w:ascii="Times New Roman" w:cs="Times New Roman" w:eastAsia="Times New Roman" w:hAnsi="Times New Roman"/>
                <w:sz w:val="16"/>
                <w:szCs w:val="16"/>
                <w:b w:val="1"/>
                <w:bCs w:val="1"/>
                <w:color w:val="1E1E1E"/>
                <w:w w:val="99"/>
              </w:rPr>
              <w:t>grant date</w:t>
            </w:r>
          </w:p>
        </w:tc>
      </w:tr>
      <w:tr>
        <w:trPr>
          <w:trHeight w:val="226"/>
        </w:trPr>
        <w:tc>
          <w:tcPr>
            <w:tcW w:w="6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center"/>
              <w:ind w:right="86"/>
              <w:spacing w:after="0"/>
              <w:rPr>
                <w:sz w:val="20"/>
                <w:szCs w:val="20"/>
                <w:color w:val="auto"/>
              </w:rPr>
            </w:pPr>
            <w:r>
              <w:rPr>
                <w:rFonts w:ascii="Times New Roman" w:cs="Times New Roman" w:eastAsia="Times New Roman" w:hAnsi="Times New Roman"/>
                <w:sz w:val="16"/>
                <w:szCs w:val="16"/>
                <w:b w:val="1"/>
                <w:bCs w:val="1"/>
                <w:color w:val="1E1E1E"/>
              </w:rPr>
              <w:t>fair value</w:t>
            </w:r>
          </w:p>
        </w:tc>
      </w:tr>
      <w:tr>
        <w:trPr>
          <w:trHeight w:val="209"/>
        </w:trPr>
        <w:tc>
          <w:tcPr>
            <w:tcW w:w="6880" w:type="dxa"/>
            <w:vAlign w:val="bottom"/>
            <w:tcBorders>
              <w:bottom w:val="single" w:sz="8" w:color="E2E2E2"/>
            </w:tcBorders>
          </w:tcPr>
          <w:p>
            <w:pPr>
              <w:spacing w:after="0"/>
              <w:rPr>
                <w:sz w:val="18"/>
                <w:szCs w:val="18"/>
                <w:color w:val="auto"/>
              </w:rPr>
            </w:pPr>
          </w:p>
        </w:tc>
        <w:tc>
          <w:tcPr>
            <w:tcW w:w="180" w:type="dxa"/>
            <w:vAlign w:val="bottom"/>
            <w:tcBorders>
              <w:bottom w:val="single" w:sz="8" w:color="E2E2E2"/>
            </w:tcBorders>
          </w:tcPr>
          <w:p>
            <w:pPr>
              <w:spacing w:after="0"/>
              <w:rPr>
                <w:sz w:val="18"/>
                <w:szCs w:val="18"/>
                <w:color w:val="auto"/>
              </w:rPr>
            </w:pPr>
          </w:p>
        </w:tc>
        <w:tc>
          <w:tcPr>
            <w:tcW w:w="20" w:type="dxa"/>
            <w:vAlign w:val="bottom"/>
            <w:tcBorders>
              <w:bottom w:val="single" w:sz="8" w:color="E2E2E2"/>
            </w:tcBorders>
          </w:tcPr>
          <w:p>
            <w:pPr>
              <w:spacing w:after="0"/>
              <w:rPr>
                <w:sz w:val="18"/>
                <w:szCs w:val="18"/>
                <w:color w:val="auto"/>
              </w:rPr>
            </w:pPr>
          </w:p>
        </w:tc>
        <w:tc>
          <w:tcPr>
            <w:tcW w:w="1340" w:type="dxa"/>
            <w:vAlign w:val="bottom"/>
            <w:tcBorders>
              <w:bottom w:val="single" w:sz="8" w:color="1E1E1E"/>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1E1E1E"/>
              </w:rPr>
              <w:t>Shares</w:t>
            </w:r>
          </w:p>
        </w:tc>
        <w:tc>
          <w:tcPr>
            <w:tcW w:w="180" w:type="dxa"/>
            <w:vAlign w:val="bottom"/>
            <w:tcBorders>
              <w:bottom w:val="single" w:sz="8" w:color="E2E2E2"/>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440" w:type="dxa"/>
            <w:vAlign w:val="bottom"/>
            <w:tcBorders>
              <w:bottom w:val="single" w:sz="8" w:color="1E1E1E"/>
            </w:tcBorders>
          </w:tcPr>
          <w:p>
            <w:pPr>
              <w:jc w:val="center"/>
              <w:ind w:right="86"/>
              <w:spacing w:after="0"/>
              <w:rPr>
                <w:sz w:val="20"/>
                <w:szCs w:val="20"/>
                <w:color w:val="auto"/>
              </w:rPr>
            </w:pPr>
            <w:r>
              <w:rPr>
                <w:rFonts w:ascii="Times New Roman" w:cs="Times New Roman" w:eastAsia="Times New Roman" w:hAnsi="Times New Roman"/>
                <w:sz w:val="16"/>
                <w:szCs w:val="16"/>
                <w:b w:val="1"/>
                <w:bCs w:val="1"/>
                <w:color w:val="1E1E1E"/>
              </w:rPr>
              <w:t>per share</w:t>
            </w:r>
          </w:p>
        </w:tc>
      </w:tr>
      <w:tr>
        <w:trPr>
          <w:trHeight w:val="206"/>
        </w:trPr>
        <w:tc>
          <w:tcPr>
            <w:tcW w:w="6880" w:type="dxa"/>
            <w:vAlign w:val="bottom"/>
            <w:shd w:val="clear" w:color="auto" w:fill="E2E2E2"/>
          </w:tcPr>
          <w:p>
            <w:pPr>
              <w:spacing w:after="0" w:line="206" w:lineRule="exact"/>
              <w:rPr>
                <w:sz w:val="20"/>
                <w:szCs w:val="20"/>
                <w:color w:val="auto"/>
              </w:rPr>
            </w:pPr>
            <w:r>
              <w:rPr>
                <w:rFonts w:ascii="Times New Roman" w:cs="Times New Roman" w:eastAsia="Times New Roman" w:hAnsi="Times New Roman"/>
                <w:sz w:val="20"/>
                <w:szCs w:val="20"/>
                <w:color w:val="1E1E1E"/>
              </w:rPr>
              <w:t>Outstanding at January 29, 2023</w:t>
            </w:r>
          </w:p>
        </w:tc>
        <w:tc>
          <w:tcPr>
            <w:tcW w:w="18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134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618,772</w:t>
            </w:r>
          </w:p>
        </w:tc>
        <w:tc>
          <w:tcPr>
            <w:tcW w:w="180" w:type="dxa"/>
            <w:vAlign w:val="bottom"/>
            <w:shd w:val="clear" w:color="auto" w:fill="E2E2E2"/>
          </w:tcPr>
          <w:p>
            <w:pPr>
              <w:spacing w:after="0"/>
              <w:rPr>
                <w:sz w:val="17"/>
                <w:szCs w:val="17"/>
                <w:color w:val="auto"/>
              </w:rPr>
            </w:pPr>
          </w:p>
        </w:tc>
        <w:tc>
          <w:tcPr>
            <w:tcW w:w="20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w w:val="99"/>
              </w:rPr>
              <w:t>$</w:t>
            </w:r>
          </w:p>
        </w:tc>
        <w:tc>
          <w:tcPr>
            <w:tcW w:w="144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12.05</w:t>
            </w:r>
          </w:p>
        </w:tc>
      </w:tr>
      <w:tr>
        <w:trPr>
          <w:trHeight w:val="226"/>
        </w:trPr>
        <w:tc>
          <w:tcPr>
            <w:tcW w:w="6880" w:type="dxa"/>
            <w:vAlign w:val="bottom"/>
          </w:tcPr>
          <w:p>
            <w:pPr>
              <w:ind w:left="160"/>
              <w:spacing w:after="0" w:line="226" w:lineRule="exact"/>
              <w:rPr>
                <w:sz w:val="20"/>
                <w:szCs w:val="20"/>
                <w:color w:val="auto"/>
              </w:rPr>
            </w:pPr>
            <w:r>
              <w:rPr>
                <w:rFonts w:ascii="Times New Roman" w:cs="Times New Roman" w:eastAsia="Times New Roman" w:hAnsi="Times New Roman"/>
                <w:sz w:val="20"/>
                <w:szCs w:val="20"/>
                <w:color w:val="1E1E1E"/>
              </w:rPr>
              <w:t>Granted</w:t>
            </w:r>
          </w:p>
        </w:tc>
        <w:tc>
          <w:tcPr>
            <w:tcW w:w="1540" w:type="dxa"/>
            <w:vAlign w:val="bottom"/>
            <w:gridSpan w:val="3"/>
          </w:tcPr>
          <w:p>
            <w:pPr>
              <w:jc w:val="right"/>
              <w:spacing w:after="0" w:line="226" w:lineRule="exact"/>
              <w:rPr>
                <w:sz w:val="20"/>
                <w:szCs w:val="20"/>
                <w:color w:val="auto"/>
              </w:rPr>
            </w:pPr>
            <w:r>
              <w:rPr>
                <w:rFonts w:ascii="Times New Roman" w:cs="Times New Roman" w:eastAsia="Times New Roman" w:hAnsi="Times New Roman"/>
                <w:sz w:val="20"/>
                <w:szCs w:val="20"/>
                <w:color w:val="1E1E1E"/>
              </w:rPr>
              <w:t>1,168,316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6.51</w:t>
            </w:r>
          </w:p>
        </w:tc>
      </w:tr>
      <w:tr>
        <w:trPr>
          <w:trHeight w:val="226"/>
        </w:trPr>
        <w:tc>
          <w:tcPr>
            <w:tcW w:w="6880" w:type="dxa"/>
            <w:vAlign w:val="bottom"/>
            <w:shd w:val="clear" w:color="auto" w:fill="E2E2E2"/>
          </w:tcPr>
          <w:p>
            <w:pPr>
              <w:ind w:left="160"/>
              <w:spacing w:after="0" w:line="226" w:lineRule="exact"/>
              <w:rPr>
                <w:sz w:val="20"/>
                <w:szCs w:val="20"/>
                <w:color w:val="auto"/>
              </w:rPr>
            </w:pPr>
            <w:r>
              <w:rPr>
                <w:rFonts w:ascii="Times New Roman" w:cs="Times New Roman" w:eastAsia="Times New Roman" w:hAnsi="Times New Roman"/>
                <w:sz w:val="20"/>
                <w:szCs w:val="20"/>
                <w:color w:val="1E1E1E"/>
              </w:rPr>
              <w:t>Vested</w:t>
            </w:r>
          </w:p>
        </w:tc>
        <w:tc>
          <w:tcPr>
            <w:tcW w:w="18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34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(164,116)</w:t>
            </w:r>
          </w:p>
        </w:tc>
        <w:tc>
          <w:tcPr>
            <w:tcW w:w="18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144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12.22</w:t>
            </w:r>
          </w:p>
        </w:tc>
      </w:tr>
      <w:tr>
        <w:trPr>
          <w:trHeight w:val="226"/>
        </w:trPr>
        <w:tc>
          <w:tcPr>
            <w:tcW w:w="6880" w:type="dxa"/>
            <w:vAlign w:val="bottom"/>
            <w:tcBorders>
              <w:bottom w:val="single" w:sz="8" w:color="E2E2E2"/>
            </w:tcBorders>
          </w:tcPr>
          <w:p>
            <w:pPr>
              <w:ind w:left="160"/>
              <w:spacing w:after="0" w:line="226" w:lineRule="exact"/>
              <w:rPr>
                <w:sz w:val="20"/>
                <w:szCs w:val="20"/>
                <w:color w:val="auto"/>
              </w:rPr>
            </w:pPr>
            <w:r>
              <w:rPr>
                <w:rFonts w:ascii="Times New Roman" w:cs="Times New Roman" w:eastAsia="Times New Roman" w:hAnsi="Times New Roman"/>
                <w:sz w:val="20"/>
                <w:szCs w:val="20"/>
                <w:color w:val="1E1E1E"/>
              </w:rPr>
              <w:t>Forfeited</w:t>
            </w:r>
          </w:p>
        </w:tc>
        <w:tc>
          <w:tcPr>
            <w:tcW w:w="18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134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(255,702)</w:t>
            </w:r>
          </w:p>
        </w:tc>
        <w:tc>
          <w:tcPr>
            <w:tcW w:w="180" w:type="dxa"/>
            <w:vAlign w:val="bottom"/>
            <w:tcBorders>
              <w:bottom w:val="single" w:sz="8" w:color="E2E2E2"/>
            </w:tcBorders>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144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5.73</w:t>
            </w:r>
          </w:p>
        </w:tc>
      </w:tr>
      <w:tr>
        <w:trPr>
          <w:trHeight w:val="206"/>
        </w:trPr>
        <w:tc>
          <w:tcPr>
            <w:tcW w:w="6880" w:type="dxa"/>
            <w:vAlign w:val="bottom"/>
            <w:shd w:val="clear" w:color="auto" w:fill="E2E2E2"/>
          </w:tcPr>
          <w:p>
            <w:pPr>
              <w:spacing w:after="0" w:line="206" w:lineRule="exact"/>
              <w:rPr>
                <w:sz w:val="20"/>
                <w:szCs w:val="20"/>
                <w:color w:val="auto"/>
              </w:rPr>
            </w:pPr>
            <w:r>
              <w:rPr>
                <w:rFonts w:ascii="Times New Roman" w:cs="Times New Roman" w:eastAsia="Times New Roman" w:hAnsi="Times New Roman"/>
                <w:sz w:val="20"/>
                <w:szCs w:val="20"/>
                <w:color w:val="1E1E1E"/>
              </w:rPr>
              <w:t>Outstanding at January 28, 2024</w:t>
            </w:r>
          </w:p>
        </w:tc>
        <w:tc>
          <w:tcPr>
            <w:tcW w:w="18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134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1,367,270</w:t>
            </w:r>
          </w:p>
        </w:tc>
        <w:tc>
          <w:tcPr>
            <w:tcW w:w="180" w:type="dxa"/>
            <w:vAlign w:val="bottom"/>
            <w:shd w:val="clear" w:color="auto" w:fill="E2E2E2"/>
          </w:tcPr>
          <w:p>
            <w:pPr>
              <w:spacing w:after="0"/>
              <w:rPr>
                <w:sz w:val="17"/>
                <w:szCs w:val="17"/>
                <w:color w:val="auto"/>
              </w:rPr>
            </w:pPr>
          </w:p>
        </w:tc>
        <w:tc>
          <w:tcPr>
            <w:tcW w:w="20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w w:val="99"/>
              </w:rPr>
              <w:t>$</w:t>
            </w:r>
          </w:p>
        </w:tc>
        <w:tc>
          <w:tcPr>
            <w:tcW w:w="144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8.77</w:t>
            </w:r>
          </w:p>
        </w:tc>
      </w:tr>
      <w:tr>
        <w:trPr>
          <w:trHeight w:val="221"/>
        </w:trPr>
        <w:tc>
          <w:tcPr>
            <w:tcW w:w="6880" w:type="dxa"/>
            <w:vAlign w:val="bottom"/>
          </w:tcPr>
          <w:p>
            <w:pPr>
              <w:ind w:left="160"/>
              <w:spacing w:after="0" w:line="221" w:lineRule="exact"/>
              <w:rPr>
                <w:sz w:val="20"/>
                <w:szCs w:val="20"/>
                <w:color w:val="auto"/>
              </w:rPr>
            </w:pPr>
            <w:r>
              <w:rPr>
                <w:rFonts w:ascii="Times New Roman" w:cs="Times New Roman" w:eastAsia="Times New Roman" w:hAnsi="Times New Roman"/>
                <w:sz w:val="20"/>
                <w:szCs w:val="20"/>
                <w:color w:val="1E1E1E"/>
              </w:rPr>
              <w:t>Granted</w:t>
            </w:r>
          </w:p>
        </w:tc>
        <w:tc>
          <w:tcPr>
            <w:tcW w:w="1540" w:type="dxa"/>
            <w:vAlign w:val="bottom"/>
            <w:gridSpan w:val="3"/>
          </w:tcPr>
          <w:p>
            <w:pPr>
              <w:jc w:val="right"/>
              <w:spacing w:after="0" w:line="221" w:lineRule="exact"/>
              <w:rPr>
                <w:sz w:val="20"/>
                <w:szCs w:val="20"/>
                <w:color w:val="auto"/>
              </w:rPr>
            </w:pPr>
            <w:r>
              <w:rPr>
                <w:rFonts w:ascii="Times New Roman" w:cs="Times New Roman" w:eastAsia="Times New Roman" w:hAnsi="Times New Roman"/>
                <w:sz w:val="20"/>
                <w:szCs w:val="20"/>
                <w:color w:val="1E1E1E"/>
              </w:rPr>
              <w:t>1,099,121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1E1E1E"/>
              </w:rPr>
              <w:t>4.62</w:t>
            </w:r>
          </w:p>
        </w:tc>
      </w:tr>
      <w:tr>
        <w:trPr>
          <w:trHeight w:val="226"/>
        </w:trPr>
        <w:tc>
          <w:tcPr>
            <w:tcW w:w="6880" w:type="dxa"/>
            <w:vAlign w:val="bottom"/>
            <w:shd w:val="clear" w:color="auto" w:fill="E2E2E2"/>
          </w:tcPr>
          <w:p>
            <w:pPr>
              <w:ind w:left="160"/>
              <w:spacing w:after="0" w:line="226" w:lineRule="exact"/>
              <w:rPr>
                <w:sz w:val="20"/>
                <w:szCs w:val="20"/>
                <w:color w:val="auto"/>
              </w:rPr>
            </w:pPr>
            <w:r>
              <w:rPr>
                <w:rFonts w:ascii="Times New Roman" w:cs="Times New Roman" w:eastAsia="Times New Roman" w:hAnsi="Times New Roman"/>
                <w:sz w:val="20"/>
                <w:szCs w:val="20"/>
                <w:color w:val="1E1E1E"/>
              </w:rPr>
              <w:t>Vested</w:t>
            </w:r>
          </w:p>
        </w:tc>
        <w:tc>
          <w:tcPr>
            <w:tcW w:w="1540" w:type="dxa"/>
            <w:vAlign w:val="bottom"/>
            <w:gridSpan w:val="3"/>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(540,722)</w:t>
            </w:r>
          </w:p>
        </w:tc>
        <w:tc>
          <w:tcPr>
            <w:tcW w:w="18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144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8.98</w:t>
            </w:r>
          </w:p>
        </w:tc>
      </w:tr>
      <w:tr>
        <w:trPr>
          <w:trHeight w:val="226"/>
        </w:trPr>
        <w:tc>
          <w:tcPr>
            <w:tcW w:w="6880" w:type="dxa"/>
            <w:vAlign w:val="bottom"/>
          </w:tcPr>
          <w:p>
            <w:pPr>
              <w:ind w:left="160"/>
              <w:spacing w:after="0" w:line="226" w:lineRule="exact"/>
              <w:rPr>
                <w:sz w:val="20"/>
                <w:szCs w:val="20"/>
                <w:color w:val="auto"/>
              </w:rPr>
            </w:pPr>
            <w:r>
              <w:rPr>
                <w:rFonts w:ascii="Times New Roman" w:cs="Times New Roman" w:eastAsia="Times New Roman" w:hAnsi="Times New Roman"/>
                <w:sz w:val="20"/>
                <w:szCs w:val="20"/>
                <w:color w:val="1E1E1E"/>
              </w:rPr>
              <w:t>Forfeited</w:t>
            </w:r>
          </w:p>
        </w:tc>
        <w:tc>
          <w:tcPr>
            <w:tcW w:w="1540" w:type="dxa"/>
            <w:vAlign w:val="bottom"/>
            <w:gridSpan w:val="3"/>
          </w:tcPr>
          <w:p>
            <w:pPr>
              <w:jc w:val="right"/>
              <w:spacing w:after="0" w:line="226" w:lineRule="exact"/>
              <w:rPr>
                <w:sz w:val="20"/>
                <w:szCs w:val="20"/>
                <w:color w:val="auto"/>
              </w:rPr>
            </w:pPr>
            <w:r>
              <w:rPr>
                <w:rFonts w:ascii="Times New Roman" w:cs="Times New Roman" w:eastAsia="Times New Roman" w:hAnsi="Times New Roman"/>
                <w:sz w:val="20"/>
                <w:szCs w:val="20"/>
                <w:color w:val="1E1E1E"/>
              </w:rPr>
              <w:t>(239,402)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6.67</w:t>
            </w:r>
          </w:p>
        </w:tc>
      </w:tr>
      <w:tr>
        <w:trPr>
          <w:trHeight w:val="214"/>
        </w:trPr>
        <w:tc>
          <w:tcPr>
            <w:tcW w:w="6880" w:type="dxa"/>
            <w:vAlign w:val="bottom"/>
            <w:tcBorders>
              <w:top w:val="single" w:sz="8" w:color="E2E2E2"/>
            </w:tcBorders>
            <w:shd w:val="clear" w:color="auto" w:fill="E2E2E2"/>
          </w:tcPr>
          <w:p>
            <w:pPr>
              <w:spacing w:after="0" w:line="206" w:lineRule="exact"/>
              <w:rPr>
                <w:sz w:val="20"/>
                <w:szCs w:val="20"/>
                <w:color w:val="auto"/>
              </w:rPr>
            </w:pPr>
            <w:r>
              <w:rPr>
                <w:rFonts w:ascii="Times New Roman" w:cs="Times New Roman" w:eastAsia="Times New Roman" w:hAnsi="Times New Roman"/>
                <w:sz w:val="20"/>
                <w:szCs w:val="20"/>
                <w:color w:val="1E1E1E"/>
              </w:rPr>
              <w:t>Outstanding at February 2, 2025</w:t>
            </w:r>
          </w:p>
        </w:tc>
        <w:tc>
          <w:tcPr>
            <w:tcW w:w="180" w:type="dxa"/>
            <w:vAlign w:val="bottom"/>
            <w:tcBorders>
              <w:top w:val="single" w:sz="8" w:color="E2E2E2"/>
            </w:tcBorders>
            <w:shd w:val="clear" w:color="auto" w:fill="E2E2E2"/>
          </w:tcPr>
          <w:p>
            <w:pPr>
              <w:spacing w:after="0"/>
              <w:rPr>
                <w:sz w:val="18"/>
                <w:szCs w:val="18"/>
                <w:color w:val="auto"/>
              </w:rPr>
            </w:pPr>
          </w:p>
        </w:tc>
        <w:tc>
          <w:tcPr>
            <w:tcW w:w="20" w:type="dxa"/>
            <w:vAlign w:val="bottom"/>
            <w:tcBorders>
              <w:top w:val="single" w:sz="8" w:color="E2E2E2"/>
              <w:bottom w:val="single" w:sz="8" w:color="1E1E1E"/>
            </w:tcBorders>
            <w:shd w:val="clear" w:color="auto" w:fill="E2E2E2"/>
          </w:tcPr>
          <w:p>
            <w:pPr>
              <w:spacing w:after="0"/>
              <w:rPr>
                <w:sz w:val="18"/>
                <w:szCs w:val="18"/>
                <w:color w:val="auto"/>
              </w:rPr>
            </w:pPr>
          </w:p>
        </w:tc>
        <w:tc>
          <w:tcPr>
            <w:tcW w:w="1340" w:type="dxa"/>
            <w:vAlign w:val="bottom"/>
            <w:tcBorders>
              <w:top w:val="single" w:sz="8" w:color="1E1E1E"/>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1,686,267</w:t>
            </w:r>
          </w:p>
        </w:tc>
        <w:tc>
          <w:tcPr>
            <w:tcW w:w="180" w:type="dxa"/>
            <w:vAlign w:val="bottom"/>
            <w:tcBorders>
              <w:top w:val="single" w:sz="8" w:color="E2E2E2"/>
            </w:tcBorders>
            <w:shd w:val="clear" w:color="auto" w:fill="E2E2E2"/>
          </w:tcPr>
          <w:p>
            <w:pPr>
              <w:spacing w:after="0"/>
              <w:rPr>
                <w:sz w:val="18"/>
                <w:szCs w:val="18"/>
                <w:color w:val="auto"/>
              </w:rPr>
            </w:pPr>
          </w:p>
        </w:tc>
        <w:tc>
          <w:tcPr>
            <w:tcW w:w="200" w:type="dxa"/>
            <w:vAlign w:val="bottom"/>
            <w:tcBorders>
              <w:top w:val="single" w:sz="8" w:color="1E1E1E"/>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w w:val="99"/>
              </w:rPr>
              <w:t>$</w:t>
            </w:r>
          </w:p>
        </w:tc>
        <w:tc>
          <w:tcPr>
            <w:tcW w:w="1440" w:type="dxa"/>
            <w:vAlign w:val="bottom"/>
            <w:tcBorders>
              <w:top w:val="single" w:sz="8" w:color="1E1E1E"/>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6.02</w:t>
            </w:r>
          </w:p>
        </w:tc>
      </w:tr>
    </w:tbl>
    <w:p>
      <w:pPr>
        <w:spacing w:after="0" w:line="208" w:lineRule="exact"/>
        <w:rPr>
          <w:sz w:val="20"/>
          <w:szCs w:val="20"/>
          <w:color w:val="auto"/>
        </w:rPr>
      </w:pPr>
    </w:p>
    <w:p>
      <w:pPr>
        <w:ind w:right="40" w:firstLine="490"/>
        <w:spacing w:after="0" w:line="281" w:lineRule="auto"/>
        <w:rPr>
          <w:sz w:val="20"/>
          <w:szCs w:val="20"/>
          <w:color w:val="auto"/>
        </w:rPr>
      </w:pPr>
      <w:r>
        <w:rPr>
          <w:rFonts w:ascii="Times New Roman" w:cs="Times New Roman" w:eastAsia="Times New Roman" w:hAnsi="Times New Roman"/>
          <w:sz w:val="20"/>
          <w:szCs w:val="20"/>
          <w:color w:val="1E1E1E"/>
        </w:rPr>
        <w:t>At February 2, 2025, the Company had unrecognized compensation expense of $5.8 million related to the restricted stock awards, which is expected to be recognized over a weighted average period of 2.5 years.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Treasury Stock</w:t>
      </w:r>
    </w:p>
    <w:p>
      <w:pPr>
        <w:spacing w:after="0" w:line="196" w:lineRule="exact"/>
        <w:rPr>
          <w:sz w:val="20"/>
          <w:szCs w:val="20"/>
          <w:color w:val="auto"/>
        </w:rPr>
      </w:pPr>
    </w:p>
    <w:p>
      <w:pPr>
        <w:ind w:right="440" w:firstLine="490"/>
        <w:spacing w:after="0" w:line="281" w:lineRule="auto"/>
        <w:rPr>
          <w:sz w:val="20"/>
          <w:szCs w:val="20"/>
          <w:color w:val="auto"/>
        </w:rPr>
      </w:pPr>
      <w:r>
        <w:rPr>
          <w:rFonts w:ascii="Times New Roman" w:cs="Times New Roman" w:eastAsia="Times New Roman" w:hAnsi="Times New Roman"/>
          <w:sz w:val="20"/>
          <w:szCs w:val="20"/>
          <w:color w:val="1E1E1E"/>
        </w:rPr>
        <w:t>Treasury stock consists of shares withheld in lieu of tax payments when restricted stock vests using the treasury cost method and is classified in the Consolidated Balance Sheets as a reduction to shareholders’ equity.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Taxes Collected from Customers</w:t>
      </w:r>
    </w:p>
    <w:p>
      <w:pPr>
        <w:spacing w:after="0" w:line="196" w:lineRule="exact"/>
        <w:rPr>
          <w:sz w:val="20"/>
          <w:szCs w:val="20"/>
          <w:color w:val="auto"/>
        </w:rPr>
      </w:pPr>
    </w:p>
    <w:p>
      <w:pPr>
        <w:ind w:right="240" w:firstLine="490"/>
        <w:spacing w:after="0" w:line="261" w:lineRule="auto"/>
        <w:rPr>
          <w:sz w:val="20"/>
          <w:szCs w:val="20"/>
          <w:color w:val="auto"/>
        </w:rPr>
      </w:pPr>
      <w:r>
        <w:rPr>
          <w:rFonts w:ascii="Times New Roman" w:cs="Times New Roman" w:eastAsia="Times New Roman" w:hAnsi="Times New Roman"/>
          <w:sz w:val="20"/>
          <w:szCs w:val="20"/>
          <w:color w:val="1E1E1E"/>
        </w:rPr>
        <w:t>The Company presents all non-income government-assessed taxes (sales, use and value-added taxes) collected from its customers and remitted to governmental agencies on a net basis (excluded from revenue) in its consolidated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Other Comprehensive Income</w:t>
      </w:r>
    </w:p>
    <w:p>
      <w:pPr>
        <w:spacing w:after="0" w:line="196" w:lineRule="exact"/>
        <w:rPr>
          <w:sz w:val="20"/>
          <w:szCs w:val="20"/>
          <w:color w:val="auto"/>
        </w:rPr>
      </w:pPr>
    </w:p>
    <w:p>
      <w:pPr>
        <w:ind w:right="160" w:firstLine="490"/>
        <w:spacing w:after="0" w:line="254" w:lineRule="auto"/>
        <w:rPr>
          <w:sz w:val="20"/>
          <w:szCs w:val="20"/>
          <w:color w:val="auto"/>
        </w:rPr>
      </w:pPr>
      <w:r>
        <w:rPr>
          <w:rFonts w:ascii="Times New Roman" w:cs="Times New Roman" w:eastAsia="Times New Roman" w:hAnsi="Times New Roman"/>
          <w:sz w:val="20"/>
          <w:szCs w:val="20"/>
          <w:color w:val="1E1E1E"/>
        </w:rPr>
        <w:t>Other comprehensive income or loss represents the change in equity from non-shareholder or non-member transactions, which is not included in the statements of earnings but is reported as a separate component of shareholders’ equity. For fiscal 2024 and fiscal 2023, other comprehensive income consists of changes in unrealized gains and losses on the Company’s available-for-sale security, net of taxes.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Fair Value Measurements</w:t>
      </w:r>
    </w:p>
    <w:p>
      <w:pPr>
        <w:spacing w:after="0" w:line="196" w:lineRule="exact"/>
        <w:rPr>
          <w:sz w:val="20"/>
          <w:szCs w:val="20"/>
          <w:color w:val="auto"/>
        </w:rPr>
      </w:pPr>
    </w:p>
    <w:p>
      <w:pPr>
        <w:ind w:right="60" w:firstLine="490"/>
        <w:spacing w:after="0" w:line="248" w:lineRule="auto"/>
        <w:rPr>
          <w:sz w:val="20"/>
          <w:szCs w:val="20"/>
          <w:color w:val="auto"/>
        </w:rPr>
      </w:pPr>
      <w:r>
        <w:rPr>
          <w:rFonts w:ascii="Times New Roman" w:cs="Times New Roman" w:eastAsia="Times New Roman" w:hAnsi="Times New Roman"/>
          <w:sz w:val="20"/>
          <w:szCs w:val="20"/>
          <w:color w:val="1E1E1E"/>
        </w:rPr>
        <w:t>ASC Topic 820, Fair Value Measurements and Disclosures (“ASC 820”)</w:t>
      </w:r>
      <w:r>
        <w:rPr>
          <w:rFonts w:ascii="Times New Roman" w:cs="Times New Roman" w:eastAsia="Times New Roman" w:hAnsi="Times New Roman"/>
          <w:sz w:val="20"/>
          <w:szCs w:val="20"/>
          <w:i w:val="1"/>
          <w:iCs w:val="1"/>
          <w:color w:val="1E1E1E"/>
        </w:rPr>
        <w:t>,</w:t>
      </w:r>
      <w:r>
        <w:rPr>
          <w:rFonts w:ascii="Times New Roman" w:cs="Times New Roman" w:eastAsia="Times New Roman" w:hAnsi="Times New Roman"/>
          <w:sz w:val="20"/>
          <w:szCs w:val="20"/>
          <w:color w:val="1E1E1E"/>
        </w:rPr>
        <w:t xml:space="preserve">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E1E1E"/>
        </w:rPr>
        <w:t>Level 1 – Quoted prices in active markets for identical assets or liabilities.</w:t>
      </w:r>
    </w:p>
    <w:p>
      <w:pPr>
        <w:spacing w:after="0" w:line="202" w:lineRule="exact"/>
        <w:rPr>
          <w:sz w:val="20"/>
          <w:szCs w:val="20"/>
          <w:color w:val="auto"/>
        </w:rPr>
      </w:pPr>
    </w:p>
    <w:p>
      <w:pPr>
        <w:ind w:right="280" w:firstLine="490"/>
        <w:spacing w:after="0" w:line="261" w:lineRule="auto"/>
        <w:rPr>
          <w:sz w:val="20"/>
          <w:szCs w:val="20"/>
          <w:color w:val="auto"/>
        </w:rPr>
      </w:pPr>
      <w:r>
        <w:rPr>
          <w:rFonts w:ascii="Times New Roman" w:cs="Times New Roman" w:eastAsia="Times New Roman" w:hAnsi="Times New Roman"/>
          <w:sz w:val="20"/>
          <w:szCs w:val="20"/>
          <w:color w:val="1E1E1E"/>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8" w:lineRule="exact"/>
        <w:rPr>
          <w:sz w:val="20"/>
          <w:szCs w:val="20"/>
          <w:color w:val="auto"/>
        </w:rPr>
      </w:pPr>
    </w:p>
    <w:p>
      <w:pPr>
        <w:ind w:right="20" w:firstLine="490"/>
        <w:spacing w:after="0" w:line="281" w:lineRule="auto"/>
        <w:rPr>
          <w:sz w:val="20"/>
          <w:szCs w:val="20"/>
          <w:color w:val="auto"/>
        </w:rPr>
      </w:pPr>
      <w:r>
        <w:rPr>
          <w:rFonts w:ascii="Times New Roman" w:cs="Times New Roman" w:eastAsia="Times New Roman" w:hAnsi="Times New Roman"/>
          <w:sz w:val="20"/>
          <w:szCs w:val="20"/>
          <w:color w:val="1E1E1E"/>
        </w:rPr>
        <w:t>Level 3 – Unobservable inputs that are supported by little or no market activity and that are significant to the fair value of the assets or liabilities.</w:t>
      </w:r>
    </w:p>
    <w:p>
      <w:pPr>
        <w:sectPr>
          <w:pgSz w:w="11880" w:h="15480" w:orient="portrait"/>
          <w:cols w:equalWidth="0" w:num="1">
            <w:col w:w="10240"/>
          </w:cols>
          <w:pgMar w:left="820" w:top="22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51</w:t>
      </w:r>
    </w:p>
    <w:p>
      <w:pPr>
        <w:sectPr>
          <w:pgSz w:w="11880" w:h="15480" w:orient="portrait"/>
          <w:cols w:equalWidth="0" w:num="1">
            <w:col w:w="10240"/>
          </w:cols>
          <w:pgMar w:left="820" w:top="226" w:right="820" w:bottom="0"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b w:val="1"/>
          <w:bCs w:val="1"/>
          <w:color w:val="1E1E1E"/>
        </w:rPr>
        <w:t>DULUTH HOLDINGS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w:t>
      </w:r>
    </w:p>
    <w:p>
      <w:pPr>
        <w:spacing w:after="0" w:line="234" w:lineRule="exact"/>
        <w:rPr>
          <w:sz w:val="20"/>
          <w:szCs w:val="20"/>
          <w:color w:val="auto"/>
        </w:rPr>
      </w:pPr>
    </w:p>
    <w:p>
      <w:pPr>
        <w:ind w:right="20" w:firstLine="490"/>
        <w:spacing w:after="0" w:line="261" w:lineRule="auto"/>
        <w:rPr>
          <w:sz w:val="20"/>
          <w:szCs w:val="20"/>
          <w:color w:val="auto"/>
        </w:rPr>
      </w:pPr>
      <w:r>
        <w:rPr>
          <w:rFonts w:ascii="Times New Roman" w:cs="Times New Roman" w:eastAsia="Times New Roman" w:hAnsi="Times New Roman"/>
          <w:sz w:val="19"/>
          <w:szCs w:val="19"/>
          <w:color w:val="1E1E1E"/>
        </w:rPr>
        <w:t>The Company’s assets and liabilities measured at fair value are categorized as Level 1 or Level 3 instruments. The fair value of the Company’s money market account is obtained from real-time quotes for transactions in active exchange markets involving identical assets (Level 1). The fair value of the Company’s available-for-sale security was valued based on a discounted cash flow method (Level 3), which incorporates the U.S. Treasury yield curve, credit information and an estimate of future cash flows. During fiscal 2024, certain changes in the inputs did impact the fair value of the available-for-sale security. The calculated fair value is based on estimates that are subjective in nature and involve uncertainties and matters of significant judgement and, therefore, cannot be determined with precision. Changes in assumptions could significantly affect the estimates.</w:t>
      </w:r>
    </w:p>
    <w:p>
      <w:pPr>
        <w:spacing w:after="0" w:line="147" w:lineRule="exact"/>
        <w:rPr>
          <w:sz w:val="20"/>
          <w:szCs w:val="20"/>
          <w:color w:val="auto"/>
        </w:rPr>
      </w:pPr>
    </w:p>
    <w:p>
      <w:pPr>
        <w:ind w:right="60" w:firstLine="490"/>
        <w:spacing w:after="0" w:line="261" w:lineRule="auto"/>
        <w:rPr>
          <w:sz w:val="20"/>
          <w:szCs w:val="20"/>
          <w:color w:val="auto"/>
        </w:rPr>
      </w:pPr>
      <w:r>
        <w:rPr>
          <w:rFonts w:ascii="Times New Roman" w:cs="Times New Roman" w:eastAsia="Times New Roman" w:hAnsi="Times New Roman"/>
          <w:sz w:val="20"/>
          <w:szCs w:val="20"/>
          <w:color w:val="1E1E1E"/>
        </w:rPr>
        <w:t>The amortized cost and fair value of the Company’s money market account and available-for-sale security along with the corresponding amount of gross unrealized gains and losses recognized in accumulated other comprehensive income are as follows.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60" w:type="dxa"/>
            <w:vAlign w:val="bottom"/>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080" w:type="dxa"/>
            <w:vAlign w:val="bottom"/>
            <w:tcBorders>
              <w:bottom w:val="single" w:sz="8" w:color="1E1E1E"/>
            </w:tcBorders>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2460" w:type="dxa"/>
            <w:vAlign w:val="bottom"/>
            <w:tcBorders>
              <w:bottom w:val="single" w:sz="8" w:color="1E1E1E"/>
            </w:tcBorders>
            <w:gridSpan w:val="4"/>
          </w:tcPr>
          <w:p>
            <w:pPr>
              <w:ind w:left="560"/>
              <w:spacing w:after="0"/>
              <w:rPr>
                <w:sz w:val="20"/>
                <w:szCs w:val="20"/>
                <w:color w:val="auto"/>
              </w:rPr>
            </w:pPr>
            <w:r>
              <w:rPr>
                <w:rFonts w:ascii="Times New Roman" w:cs="Times New Roman" w:eastAsia="Times New Roman" w:hAnsi="Times New Roman"/>
                <w:sz w:val="16"/>
                <w:szCs w:val="16"/>
                <w:b w:val="1"/>
                <w:bCs w:val="1"/>
                <w:color w:val="1E1E1E"/>
              </w:rPr>
              <w:t>February 2, 2025</w:t>
            </w:r>
          </w:p>
        </w:tc>
        <w:tc>
          <w:tcPr>
            <w:tcW w:w="220" w:type="dxa"/>
            <w:vAlign w:val="bottom"/>
            <w:tcBorders>
              <w:bottom w:val="single" w:sz="8" w:color="1E1E1E"/>
            </w:tcBorders>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1000" w:type="dxa"/>
            <w:vAlign w:val="bottom"/>
            <w:tcBorders>
              <w:bottom w:val="single" w:sz="8" w:color="1E1E1E"/>
            </w:tcBorders>
          </w:tcPr>
          <w:p>
            <w:pPr>
              <w:spacing w:after="0"/>
              <w:rPr>
                <w:sz w:val="17"/>
                <w:szCs w:val="17"/>
                <w:color w:val="auto"/>
              </w:rPr>
            </w:pPr>
          </w:p>
        </w:tc>
      </w:tr>
      <w:tr>
        <w:trPr>
          <w:trHeight w:val="232"/>
        </w:trPr>
        <w:tc>
          <w:tcPr>
            <w:tcW w:w="4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1E1E1E"/>
                <w:w w:val="99"/>
              </w:rPr>
              <w:t>Cost or</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1E1E1E"/>
                <w:w w:val="99"/>
              </w:rPr>
              <w:t>Gross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1E1E1E"/>
                <w:w w:val="99"/>
              </w:rPr>
              <w:t>Gross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0"/>
        </w:trPr>
        <w:tc>
          <w:tcPr>
            <w:tcW w:w="4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1E1E1E"/>
                <w:w w:val="98"/>
              </w:rPr>
              <w:t>Amortized</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1E1E1E"/>
                <w:w w:val="99"/>
              </w:rPr>
              <w:t>Unrealized</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1E1E1E"/>
              </w:rPr>
              <w:t>Unrealized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1E1E1E"/>
              </w:rPr>
              <w:t>Estimated</w:t>
            </w:r>
          </w:p>
        </w:tc>
      </w:tr>
      <w:tr>
        <w:trPr>
          <w:trHeight w:val="228"/>
        </w:trPr>
        <w:tc>
          <w:tcPr>
            <w:tcW w:w="4760" w:type="dxa"/>
            <w:vAlign w:val="bottom"/>
          </w:tcPr>
          <w:p>
            <w:pPr>
              <w:spacing w:after="0"/>
              <w:rPr>
                <w:sz w:val="19"/>
                <w:szCs w:val="19"/>
                <w:color w:val="auto"/>
              </w:rPr>
            </w:pPr>
          </w:p>
        </w:tc>
        <w:tc>
          <w:tcPr>
            <w:tcW w:w="180" w:type="dxa"/>
            <w:vAlign w:val="bottom"/>
            <w:tcBorders>
              <w:bottom w:val="single" w:sz="8" w:color="1E1E1E"/>
            </w:tcBorders>
          </w:tcPr>
          <w:p>
            <w:pPr>
              <w:spacing w:after="0"/>
              <w:rPr>
                <w:sz w:val="19"/>
                <w:szCs w:val="19"/>
                <w:color w:val="auto"/>
              </w:rPr>
            </w:pPr>
          </w:p>
        </w:tc>
        <w:tc>
          <w:tcPr>
            <w:tcW w:w="1080" w:type="dxa"/>
            <w:vAlign w:val="bottom"/>
            <w:tcBorders>
              <w:bottom w:val="single" w:sz="8" w:color="1E1E1E"/>
            </w:tcBorders>
          </w:tcPr>
          <w:p>
            <w:pPr>
              <w:jc w:val="center"/>
              <w:ind w:right="112"/>
              <w:spacing w:after="0"/>
              <w:rPr>
                <w:sz w:val="20"/>
                <w:szCs w:val="20"/>
                <w:color w:val="auto"/>
              </w:rPr>
            </w:pPr>
            <w:r>
              <w:rPr>
                <w:rFonts w:ascii="Times New Roman" w:cs="Times New Roman" w:eastAsia="Times New Roman" w:hAnsi="Times New Roman"/>
                <w:sz w:val="16"/>
                <w:szCs w:val="16"/>
                <w:b w:val="1"/>
                <w:bCs w:val="1"/>
                <w:color w:val="1E1E1E"/>
              </w:rPr>
              <w:t>Cost</w:t>
            </w:r>
          </w:p>
        </w:tc>
        <w:tc>
          <w:tcPr>
            <w:tcW w:w="160" w:type="dxa"/>
            <w:vAlign w:val="bottom"/>
          </w:tcPr>
          <w:p>
            <w:pPr>
              <w:spacing w:after="0"/>
              <w:rPr>
                <w:sz w:val="19"/>
                <w:szCs w:val="19"/>
                <w:color w:val="auto"/>
              </w:rPr>
            </w:pPr>
          </w:p>
        </w:tc>
        <w:tc>
          <w:tcPr>
            <w:tcW w:w="180" w:type="dxa"/>
            <w:vAlign w:val="bottom"/>
            <w:tcBorders>
              <w:bottom w:val="single" w:sz="8" w:color="1E1E1E"/>
            </w:tcBorders>
          </w:tcPr>
          <w:p>
            <w:pPr>
              <w:spacing w:after="0"/>
              <w:rPr>
                <w:sz w:val="19"/>
                <w:szCs w:val="19"/>
                <w:color w:val="auto"/>
              </w:rPr>
            </w:pPr>
          </w:p>
        </w:tc>
        <w:tc>
          <w:tcPr>
            <w:tcW w:w="1040" w:type="dxa"/>
            <w:vAlign w:val="bottom"/>
            <w:tcBorders>
              <w:bottom w:val="single" w:sz="8" w:color="1E1E1E"/>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1E1E1E"/>
                <w:w w:val="99"/>
              </w:rPr>
              <w:t>Gains</w:t>
            </w:r>
          </w:p>
        </w:tc>
        <w:tc>
          <w:tcPr>
            <w:tcW w:w="200" w:type="dxa"/>
            <w:vAlign w:val="bottom"/>
          </w:tcPr>
          <w:p>
            <w:pPr>
              <w:spacing w:after="0"/>
              <w:rPr>
                <w:sz w:val="19"/>
                <w:szCs w:val="19"/>
                <w:color w:val="auto"/>
              </w:rPr>
            </w:pPr>
          </w:p>
        </w:tc>
        <w:tc>
          <w:tcPr>
            <w:tcW w:w="180" w:type="dxa"/>
            <w:vAlign w:val="bottom"/>
            <w:tcBorders>
              <w:bottom w:val="single" w:sz="8" w:color="1E1E1E"/>
            </w:tcBorders>
          </w:tcPr>
          <w:p>
            <w:pPr>
              <w:spacing w:after="0"/>
              <w:rPr>
                <w:sz w:val="19"/>
                <w:szCs w:val="19"/>
                <w:color w:val="auto"/>
              </w:rPr>
            </w:pPr>
          </w:p>
        </w:tc>
        <w:tc>
          <w:tcPr>
            <w:tcW w:w="1040" w:type="dxa"/>
            <w:vAlign w:val="bottom"/>
            <w:tcBorders>
              <w:bottom w:val="single" w:sz="8" w:color="1E1E1E"/>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1E1E1E"/>
                <w:w w:val="98"/>
              </w:rPr>
              <w:t>Losses</w:t>
            </w:r>
          </w:p>
        </w:tc>
        <w:tc>
          <w:tcPr>
            <w:tcW w:w="220" w:type="dxa"/>
            <w:vAlign w:val="bottom"/>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1000" w:type="dxa"/>
            <w:vAlign w:val="bottom"/>
            <w:tcBorders>
              <w:bottom w:val="single" w:sz="8" w:color="1E1E1E"/>
            </w:tcBorders>
          </w:tcPr>
          <w:p>
            <w:pPr>
              <w:ind w:left="40"/>
              <w:spacing w:after="0"/>
              <w:rPr>
                <w:sz w:val="20"/>
                <w:szCs w:val="20"/>
                <w:color w:val="auto"/>
              </w:rPr>
            </w:pPr>
            <w:r>
              <w:rPr>
                <w:rFonts w:ascii="Times New Roman" w:cs="Times New Roman" w:eastAsia="Times New Roman" w:hAnsi="Times New Roman"/>
                <w:sz w:val="16"/>
                <w:szCs w:val="16"/>
                <w:b w:val="1"/>
                <w:bCs w:val="1"/>
                <w:color w:val="1E1E1E"/>
              </w:rPr>
              <w:t>Fair Value</w:t>
            </w:r>
          </w:p>
        </w:tc>
      </w:tr>
      <w:tr>
        <w:trPr>
          <w:trHeight w:val="207"/>
        </w:trPr>
        <w:tc>
          <w:tcPr>
            <w:tcW w:w="4760" w:type="dxa"/>
            <w:vAlign w:val="bottom"/>
          </w:tcPr>
          <w:p>
            <w:pPr>
              <w:spacing w:after="0"/>
              <w:rPr>
                <w:sz w:val="20"/>
                <w:szCs w:val="20"/>
                <w:color w:val="auto"/>
              </w:rPr>
            </w:pPr>
            <w:r>
              <w:rPr>
                <w:rFonts w:ascii="Times New Roman" w:cs="Times New Roman" w:eastAsia="Times New Roman" w:hAnsi="Times New Roman"/>
                <w:sz w:val="16"/>
                <w:szCs w:val="16"/>
                <w:i w:val="1"/>
                <w:iCs w:val="1"/>
                <w:color w:val="1E1E1E"/>
              </w:rPr>
              <w:t>(in thousands)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1E1E1E"/>
              </w:rPr>
              <w:t>Level 1 security:</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476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20"/>
                <w:szCs w:val="20"/>
                <w:color w:val="1E1E1E"/>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463"/>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1E1E1E"/>
              </w:rPr>
              <w:t>Level 3 security:</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0"/>
        </w:trPr>
        <w:tc>
          <w:tcPr>
            <w:tcW w:w="476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20"/>
                <w:szCs w:val="20"/>
                <w:color w:val="1E1E1E"/>
              </w:rPr>
              <w:t>Corporate trust</w:t>
            </w: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5,356</w:t>
            </w:r>
          </w:p>
        </w:tc>
        <w:tc>
          <w:tcPr>
            <w:tcW w:w="34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2E2E2"/>
          </w:tcPr>
          <w:p>
            <w:pPr>
              <w:ind w:left="780"/>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shd w:val="clear" w:color="auto" w:fill="E2E2E2"/>
          </w:tcPr>
          <w:p>
            <w:pPr>
              <w:spacing w:after="0"/>
              <w:rPr>
                <w:sz w:val="20"/>
                <w:szCs w:val="20"/>
                <w:color w:val="auto"/>
              </w:rPr>
            </w:pP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9"/>
              </w:rPr>
              <w:t>$</w:t>
            </w: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(865)</w:t>
            </w:r>
          </w:p>
        </w:tc>
        <w:tc>
          <w:tcPr>
            <w:tcW w:w="42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4,491</w:t>
            </w:r>
          </w:p>
        </w:tc>
      </w:tr>
      <w:tr>
        <w:trPr>
          <w:trHeight w:val="514"/>
        </w:trPr>
        <w:tc>
          <w:tcPr>
            <w:tcW w:w="4760" w:type="dxa"/>
            <w:vAlign w:val="bottom"/>
          </w:tcPr>
          <w:p>
            <w:pPr>
              <w:spacing w:after="0"/>
              <w:rPr>
                <w:sz w:val="24"/>
                <w:szCs w:val="24"/>
                <w:color w:val="auto"/>
              </w:rPr>
            </w:pPr>
          </w:p>
        </w:tc>
        <w:tc>
          <w:tcPr>
            <w:tcW w:w="180" w:type="dxa"/>
            <w:vAlign w:val="bottom"/>
            <w:tcBorders>
              <w:bottom w:val="single" w:sz="8" w:color="1E1E1E"/>
            </w:tcBorders>
          </w:tcPr>
          <w:p>
            <w:pPr>
              <w:spacing w:after="0"/>
              <w:rPr>
                <w:sz w:val="24"/>
                <w:szCs w:val="24"/>
                <w:color w:val="auto"/>
              </w:rPr>
            </w:pPr>
          </w:p>
        </w:tc>
        <w:tc>
          <w:tcPr>
            <w:tcW w:w="1080" w:type="dxa"/>
            <w:vAlign w:val="bottom"/>
            <w:tcBorders>
              <w:bottom w:val="single" w:sz="8" w:color="1E1E1E"/>
            </w:tcBorders>
          </w:tcPr>
          <w:p>
            <w:pPr>
              <w:spacing w:after="0"/>
              <w:rPr>
                <w:sz w:val="24"/>
                <w:szCs w:val="24"/>
                <w:color w:val="auto"/>
              </w:rPr>
            </w:pPr>
          </w:p>
        </w:tc>
        <w:tc>
          <w:tcPr>
            <w:tcW w:w="160" w:type="dxa"/>
            <w:vAlign w:val="bottom"/>
            <w:tcBorders>
              <w:bottom w:val="single" w:sz="8" w:color="1E1E1E"/>
            </w:tcBorders>
          </w:tcPr>
          <w:p>
            <w:pPr>
              <w:spacing w:after="0"/>
              <w:rPr>
                <w:sz w:val="24"/>
                <w:szCs w:val="24"/>
                <w:color w:val="auto"/>
              </w:rPr>
            </w:pPr>
          </w:p>
        </w:tc>
        <w:tc>
          <w:tcPr>
            <w:tcW w:w="180" w:type="dxa"/>
            <w:vAlign w:val="bottom"/>
            <w:tcBorders>
              <w:bottom w:val="single" w:sz="8" w:color="1E1E1E"/>
            </w:tcBorders>
          </w:tcPr>
          <w:p>
            <w:pPr>
              <w:spacing w:after="0"/>
              <w:rPr>
                <w:sz w:val="24"/>
                <w:szCs w:val="24"/>
                <w:color w:val="auto"/>
              </w:rPr>
            </w:pPr>
          </w:p>
        </w:tc>
        <w:tc>
          <w:tcPr>
            <w:tcW w:w="2460" w:type="dxa"/>
            <w:vAlign w:val="bottom"/>
            <w:tcBorders>
              <w:bottom w:val="single" w:sz="8" w:color="1E1E1E"/>
            </w:tcBorders>
            <w:gridSpan w:val="4"/>
          </w:tcPr>
          <w:p>
            <w:pPr>
              <w:ind w:left="560"/>
              <w:spacing w:after="0"/>
              <w:rPr>
                <w:sz w:val="20"/>
                <w:szCs w:val="20"/>
                <w:color w:val="auto"/>
              </w:rPr>
            </w:pPr>
            <w:r>
              <w:rPr>
                <w:rFonts w:ascii="Times New Roman" w:cs="Times New Roman" w:eastAsia="Times New Roman" w:hAnsi="Times New Roman"/>
                <w:sz w:val="16"/>
                <w:szCs w:val="16"/>
                <w:b w:val="1"/>
                <w:bCs w:val="1"/>
                <w:color w:val="1E1E1E"/>
              </w:rPr>
              <w:t>January 28, 2024</w:t>
            </w:r>
          </w:p>
        </w:tc>
        <w:tc>
          <w:tcPr>
            <w:tcW w:w="220" w:type="dxa"/>
            <w:vAlign w:val="bottom"/>
            <w:tcBorders>
              <w:bottom w:val="single" w:sz="8" w:color="1E1E1E"/>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1000" w:type="dxa"/>
            <w:vAlign w:val="bottom"/>
            <w:tcBorders>
              <w:bottom w:val="single" w:sz="8" w:color="1E1E1E"/>
            </w:tcBorders>
          </w:tcPr>
          <w:p>
            <w:pPr>
              <w:spacing w:after="0"/>
              <w:rPr>
                <w:sz w:val="24"/>
                <w:szCs w:val="24"/>
                <w:color w:val="auto"/>
              </w:rPr>
            </w:pPr>
          </w:p>
        </w:tc>
      </w:tr>
      <w:tr>
        <w:trPr>
          <w:trHeight w:val="236"/>
        </w:trPr>
        <w:tc>
          <w:tcPr>
            <w:tcW w:w="4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1E1E1E"/>
                <w:w w:val="99"/>
              </w:rPr>
              <w:t>Cost or</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1E1E1E"/>
                <w:w w:val="99"/>
              </w:rPr>
              <w:t>Gross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1E1E1E"/>
                <w:w w:val="99"/>
              </w:rPr>
              <w:t>Gross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0"/>
        </w:trPr>
        <w:tc>
          <w:tcPr>
            <w:tcW w:w="4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1E1E1E"/>
                <w:w w:val="98"/>
              </w:rPr>
              <w:t>Amortized</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1E1E1E"/>
                <w:w w:val="99"/>
              </w:rPr>
              <w:t>Unrealized</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1E1E1E"/>
              </w:rPr>
              <w:t>Unrealized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1E1E1E"/>
              </w:rPr>
              <w:t>Estimated</w:t>
            </w:r>
          </w:p>
        </w:tc>
      </w:tr>
      <w:tr>
        <w:trPr>
          <w:trHeight w:val="224"/>
        </w:trPr>
        <w:tc>
          <w:tcPr>
            <w:tcW w:w="4760" w:type="dxa"/>
            <w:vAlign w:val="bottom"/>
          </w:tcPr>
          <w:p>
            <w:pPr>
              <w:spacing w:after="0"/>
              <w:rPr>
                <w:sz w:val="19"/>
                <w:szCs w:val="19"/>
                <w:color w:val="auto"/>
              </w:rPr>
            </w:pPr>
          </w:p>
        </w:tc>
        <w:tc>
          <w:tcPr>
            <w:tcW w:w="180" w:type="dxa"/>
            <w:vAlign w:val="bottom"/>
            <w:tcBorders>
              <w:bottom w:val="single" w:sz="8" w:color="1E1E1E"/>
            </w:tcBorders>
          </w:tcPr>
          <w:p>
            <w:pPr>
              <w:spacing w:after="0"/>
              <w:rPr>
                <w:sz w:val="19"/>
                <w:szCs w:val="19"/>
                <w:color w:val="auto"/>
              </w:rPr>
            </w:pPr>
          </w:p>
        </w:tc>
        <w:tc>
          <w:tcPr>
            <w:tcW w:w="1080" w:type="dxa"/>
            <w:vAlign w:val="bottom"/>
            <w:tcBorders>
              <w:bottom w:val="single" w:sz="8" w:color="1E1E1E"/>
            </w:tcBorders>
          </w:tcPr>
          <w:p>
            <w:pPr>
              <w:jc w:val="center"/>
              <w:ind w:right="112"/>
              <w:spacing w:after="0"/>
              <w:rPr>
                <w:sz w:val="20"/>
                <w:szCs w:val="20"/>
                <w:color w:val="auto"/>
              </w:rPr>
            </w:pPr>
            <w:r>
              <w:rPr>
                <w:rFonts w:ascii="Times New Roman" w:cs="Times New Roman" w:eastAsia="Times New Roman" w:hAnsi="Times New Roman"/>
                <w:sz w:val="16"/>
                <w:szCs w:val="16"/>
                <w:b w:val="1"/>
                <w:bCs w:val="1"/>
                <w:color w:val="1E1E1E"/>
              </w:rPr>
              <w:t>Cost</w:t>
            </w:r>
          </w:p>
        </w:tc>
        <w:tc>
          <w:tcPr>
            <w:tcW w:w="160" w:type="dxa"/>
            <w:vAlign w:val="bottom"/>
          </w:tcPr>
          <w:p>
            <w:pPr>
              <w:spacing w:after="0"/>
              <w:rPr>
                <w:sz w:val="19"/>
                <w:szCs w:val="19"/>
                <w:color w:val="auto"/>
              </w:rPr>
            </w:pPr>
          </w:p>
        </w:tc>
        <w:tc>
          <w:tcPr>
            <w:tcW w:w="180" w:type="dxa"/>
            <w:vAlign w:val="bottom"/>
            <w:tcBorders>
              <w:bottom w:val="single" w:sz="8" w:color="1E1E1E"/>
            </w:tcBorders>
          </w:tcPr>
          <w:p>
            <w:pPr>
              <w:spacing w:after="0"/>
              <w:rPr>
                <w:sz w:val="19"/>
                <w:szCs w:val="19"/>
                <w:color w:val="auto"/>
              </w:rPr>
            </w:pPr>
          </w:p>
        </w:tc>
        <w:tc>
          <w:tcPr>
            <w:tcW w:w="1040" w:type="dxa"/>
            <w:vAlign w:val="bottom"/>
            <w:tcBorders>
              <w:bottom w:val="single" w:sz="8" w:color="1E1E1E"/>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1E1E1E"/>
                <w:w w:val="99"/>
              </w:rPr>
              <w:t>Gains</w:t>
            </w:r>
          </w:p>
        </w:tc>
        <w:tc>
          <w:tcPr>
            <w:tcW w:w="200" w:type="dxa"/>
            <w:vAlign w:val="bottom"/>
          </w:tcPr>
          <w:p>
            <w:pPr>
              <w:spacing w:after="0"/>
              <w:rPr>
                <w:sz w:val="19"/>
                <w:szCs w:val="19"/>
                <w:color w:val="auto"/>
              </w:rPr>
            </w:pPr>
          </w:p>
        </w:tc>
        <w:tc>
          <w:tcPr>
            <w:tcW w:w="180" w:type="dxa"/>
            <w:vAlign w:val="bottom"/>
            <w:tcBorders>
              <w:bottom w:val="single" w:sz="8" w:color="1E1E1E"/>
            </w:tcBorders>
          </w:tcPr>
          <w:p>
            <w:pPr>
              <w:spacing w:after="0"/>
              <w:rPr>
                <w:sz w:val="19"/>
                <w:szCs w:val="19"/>
                <w:color w:val="auto"/>
              </w:rPr>
            </w:pPr>
          </w:p>
        </w:tc>
        <w:tc>
          <w:tcPr>
            <w:tcW w:w="1040" w:type="dxa"/>
            <w:vAlign w:val="bottom"/>
            <w:tcBorders>
              <w:bottom w:val="single" w:sz="8" w:color="1E1E1E"/>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1E1E1E"/>
                <w:w w:val="98"/>
              </w:rPr>
              <w:t>Losses</w:t>
            </w:r>
          </w:p>
        </w:tc>
        <w:tc>
          <w:tcPr>
            <w:tcW w:w="220" w:type="dxa"/>
            <w:vAlign w:val="bottom"/>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1000" w:type="dxa"/>
            <w:vAlign w:val="bottom"/>
            <w:tcBorders>
              <w:bottom w:val="single" w:sz="8" w:color="1E1E1E"/>
            </w:tcBorders>
          </w:tcPr>
          <w:p>
            <w:pPr>
              <w:ind w:left="40"/>
              <w:spacing w:after="0"/>
              <w:rPr>
                <w:sz w:val="20"/>
                <w:szCs w:val="20"/>
                <w:color w:val="auto"/>
              </w:rPr>
            </w:pPr>
            <w:r>
              <w:rPr>
                <w:rFonts w:ascii="Times New Roman" w:cs="Times New Roman" w:eastAsia="Times New Roman" w:hAnsi="Times New Roman"/>
                <w:sz w:val="16"/>
                <w:szCs w:val="16"/>
                <w:b w:val="1"/>
                <w:bCs w:val="1"/>
                <w:color w:val="1E1E1E"/>
              </w:rPr>
              <w:t>Fair Value</w:t>
            </w:r>
          </w:p>
        </w:tc>
      </w:tr>
      <w:tr>
        <w:trPr>
          <w:trHeight w:val="207"/>
        </w:trPr>
        <w:tc>
          <w:tcPr>
            <w:tcW w:w="4760" w:type="dxa"/>
            <w:vAlign w:val="bottom"/>
          </w:tcPr>
          <w:p>
            <w:pPr>
              <w:spacing w:after="0"/>
              <w:rPr>
                <w:sz w:val="20"/>
                <w:szCs w:val="20"/>
                <w:color w:val="auto"/>
              </w:rPr>
            </w:pPr>
            <w:r>
              <w:rPr>
                <w:rFonts w:ascii="Times New Roman" w:cs="Times New Roman" w:eastAsia="Times New Roman" w:hAnsi="Times New Roman"/>
                <w:sz w:val="16"/>
                <w:szCs w:val="16"/>
                <w:i w:val="1"/>
                <w:iCs w:val="1"/>
                <w:color w:val="1E1E1E"/>
              </w:rPr>
              <w:t>(in thousands)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1E1E1E"/>
              </w:rPr>
              <w:t>Level 1 security:</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476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28,396</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20"/>
                <w:szCs w:val="20"/>
                <w:color w:val="1E1E1E"/>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28,396</w:t>
            </w:r>
          </w:p>
        </w:tc>
      </w:tr>
      <w:tr>
        <w:trPr>
          <w:trHeight w:val="463"/>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1E1E1E"/>
              </w:rPr>
              <w:t>Level 3 security:</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0"/>
        </w:trPr>
        <w:tc>
          <w:tcPr>
            <w:tcW w:w="476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20"/>
                <w:szCs w:val="20"/>
                <w:color w:val="1E1E1E"/>
              </w:rPr>
              <w:t>Corporate trust</w:t>
            </w: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5,556</w:t>
            </w:r>
          </w:p>
        </w:tc>
        <w:tc>
          <w:tcPr>
            <w:tcW w:w="34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2E2E2"/>
          </w:tcPr>
          <w:p>
            <w:pPr>
              <w:ind w:left="780"/>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shd w:val="clear" w:color="auto" w:fill="E2E2E2"/>
          </w:tcPr>
          <w:p>
            <w:pPr>
              <w:spacing w:after="0"/>
              <w:rPr>
                <w:sz w:val="20"/>
                <w:szCs w:val="20"/>
                <w:color w:val="auto"/>
              </w:rPr>
            </w:pP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9"/>
              </w:rPr>
              <w:t>$</w:t>
            </w: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(570)</w:t>
            </w:r>
          </w:p>
        </w:tc>
        <w:tc>
          <w:tcPr>
            <w:tcW w:w="42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4,986</w:t>
            </w:r>
          </w:p>
        </w:tc>
      </w:tr>
    </w:tbl>
    <w:p>
      <w:pPr>
        <w:spacing w:after="0" w:line="179" w:lineRule="exact"/>
        <w:rPr>
          <w:sz w:val="20"/>
          <w:szCs w:val="20"/>
          <w:color w:val="auto"/>
        </w:rPr>
      </w:pPr>
    </w:p>
    <w:p>
      <w:pPr>
        <w:ind w:right="200" w:firstLine="540"/>
        <w:spacing w:after="0" w:line="261" w:lineRule="auto"/>
        <w:rPr>
          <w:sz w:val="20"/>
          <w:szCs w:val="20"/>
          <w:color w:val="auto"/>
        </w:rPr>
      </w:pPr>
      <w:r>
        <w:rPr>
          <w:rFonts w:ascii="Times New Roman" w:cs="Times New Roman" w:eastAsia="Times New Roman" w:hAnsi="Times New Roman"/>
          <w:sz w:val="20"/>
          <w:szCs w:val="20"/>
          <w:color w:val="1E1E1E"/>
        </w:rPr>
        <w:t>The Company does not intend to sell the available-for-sale-security in the near term and does not believe that it will be required to sell the security. The Company reviews its security on a quarterly basis to monitor its exposure to other-than-temporary impairment.</w:t>
      </w:r>
    </w:p>
    <w:p>
      <w:pPr>
        <w:spacing w:after="0" w:line="13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1E1E1E"/>
        </w:rPr>
        <w:t>No other-than-temporary impairment was recorded in the Consolidated Statements of Operations in fiscal 2024 or fiscal</w:t>
      </w:r>
    </w:p>
    <w:p>
      <w:pPr>
        <w:spacing w:after="0"/>
        <w:rPr>
          <w:sz w:val="20"/>
          <w:szCs w:val="20"/>
          <w:color w:val="auto"/>
        </w:rPr>
      </w:pPr>
      <w:r>
        <w:rPr>
          <w:rFonts w:ascii="Times New Roman" w:cs="Times New Roman" w:eastAsia="Times New Roman" w:hAnsi="Times New Roman"/>
          <w:sz w:val="20"/>
          <w:szCs w:val="20"/>
          <w:color w:val="1E1E1E"/>
        </w:rPr>
        <w:t>2023.</w:t>
      </w:r>
    </w:p>
    <w:p>
      <w:pPr>
        <w:spacing w:after="0" w:line="202" w:lineRule="exact"/>
        <w:rPr>
          <w:sz w:val="20"/>
          <w:szCs w:val="20"/>
          <w:color w:val="auto"/>
        </w:rPr>
      </w:pPr>
    </w:p>
    <w:p>
      <w:pPr>
        <w:ind w:right="640" w:firstLine="446"/>
        <w:spacing w:after="0" w:line="281" w:lineRule="auto"/>
        <w:rPr>
          <w:sz w:val="20"/>
          <w:szCs w:val="20"/>
          <w:color w:val="auto"/>
        </w:rPr>
      </w:pPr>
      <w:r>
        <w:rPr>
          <w:rFonts w:ascii="Times New Roman" w:cs="Times New Roman" w:eastAsia="Times New Roman" w:hAnsi="Times New Roman"/>
          <w:sz w:val="20"/>
          <w:szCs w:val="20"/>
          <w:color w:val="1E1E1E"/>
        </w:rPr>
        <w:t>The following table presents the future receipts related to the Company’s available-for-sale security by contractual maturity as of February 2, 2025.</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center"/>
              <w:ind w:left="161"/>
              <w:spacing w:after="0"/>
              <w:rPr>
                <w:sz w:val="20"/>
                <w:szCs w:val="20"/>
                <w:color w:val="auto"/>
              </w:rPr>
            </w:pPr>
            <w:r>
              <w:rPr>
                <w:rFonts w:ascii="Times New Roman" w:cs="Times New Roman" w:eastAsia="Times New Roman" w:hAnsi="Times New Roman"/>
                <w:sz w:val="16"/>
                <w:szCs w:val="16"/>
                <w:b w:val="1"/>
                <w:bCs w:val="1"/>
                <w:color w:val="1E1E1E"/>
                <w:w w:val="98"/>
              </w:rPr>
              <w:t>Amortized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jc w:val="right"/>
              <w:ind w:right="645"/>
              <w:spacing w:after="0"/>
              <w:rPr>
                <w:sz w:val="20"/>
                <w:szCs w:val="20"/>
                <w:color w:val="auto"/>
              </w:rPr>
            </w:pPr>
            <w:r>
              <w:rPr>
                <w:rFonts w:ascii="Times New Roman" w:cs="Times New Roman" w:eastAsia="Times New Roman" w:hAnsi="Times New Roman"/>
                <w:sz w:val="16"/>
                <w:szCs w:val="16"/>
                <w:b w:val="1"/>
                <w:bCs w:val="1"/>
                <w:color w:val="1E1E1E"/>
              </w:rPr>
              <w:t>Estimated</w:t>
            </w:r>
          </w:p>
        </w:tc>
      </w:tr>
      <w:tr>
        <w:trPr>
          <w:trHeight w:val="209"/>
        </w:trPr>
        <w:tc>
          <w:tcPr>
            <w:tcW w:w="5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1E1E1E"/>
            </w:tcBorders>
          </w:tcPr>
          <w:p>
            <w:pPr>
              <w:spacing w:after="0"/>
              <w:rPr>
                <w:sz w:val="18"/>
                <w:szCs w:val="18"/>
                <w:color w:val="auto"/>
              </w:rPr>
            </w:pPr>
          </w:p>
        </w:tc>
        <w:tc>
          <w:tcPr>
            <w:tcW w:w="1040" w:type="dxa"/>
            <w:vAlign w:val="bottom"/>
            <w:tcBorders>
              <w:bottom w:val="single" w:sz="8" w:color="1E1E1E"/>
            </w:tcBorders>
          </w:tcPr>
          <w:p>
            <w:pPr>
              <w:jc w:val="center"/>
              <w:ind w:left="161"/>
              <w:spacing w:after="0"/>
              <w:rPr>
                <w:sz w:val="20"/>
                <w:szCs w:val="20"/>
                <w:color w:val="auto"/>
              </w:rPr>
            </w:pPr>
            <w:r>
              <w:rPr>
                <w:rFonts w:ascii="Times New Roman" w:cs="Times New Roman" w:eastAsia="Times New Roman" w:hAnsi="Times New Roman"/>
                <w:sz w:val="16"/>
                <w:szCs w:val="16"/>
                <w:b w:val="1"/>
                <w:bCs w:val="1"/>
                <w:color w:val="1E1E1E"/>
              </w:rPr>
              <w:t>Cost</w:t>
            </w:r>
          </w:p>
        </w:tc>
        <w:tc>
          <w:tcPr>
            <w:tcW w:w="560" w:type="dxa"/>
            <w:vAlign w:val="bottom"/>
            <w:tcBorders>
              <w:bottom w:val="single" w:sz="8" w:color="1E1E1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bottom w:val="single" w:sz="8" w:color="1E1E1E"/>
            </w:tcBorders>
          </w:tcPr>
          <w:p>
            <w:pPr>
              <w:spacing w:after="0"/>
              <w:rPr>
                <w:sz w:val="18"/>
                <w:szCs w:val="18"/>
                <w:color w:val="auto"/>
              </w:rPr>
            </w:pPr>
          </w:p>
        </w:tc>
        <w:tc>
          <w:tcPr>
            <w:tcW w:w="1780" w:type="dxa"/>
            <w:vAlign w:val="bottom"/>
            <w:tcBorders>
              <w:bottom w:val="single" w:sz="8" w:color="1E1E1E"/>
            </w:tcBorders>
          </w:tcPr>
          <w:p>
            <w:pPr>
              <w:jc w:val="right"/>
              <w:ind w:right="625"/>
              <w:spacing w:after="0"/>
              <w:rPr>
                <w:sz w:val="20"/>
                <w:szCs w:val="20"/>
                <w:color w:val="auto"/>
              </w:rPr>
            </w:pPr>
            <w:r>
              <w:rPr>
                <w:rFonts w:ascii="Times New Roman" w:cs="Times New Roman" w:eastAsia="Times New Roman" w:hAnsi="Times New Roman"/>
                <w:sz w:val="16"/>
                <w:szCs w:val="16"/>
                <w:b w:val="1"/>
                <w:bCs w:val="1"/>
                <w:color w:val="1E1E1E"/>
              </w:rPr>
              <w:t>Fair Value</w:t>
            </w:r>
          </w:p>
        </w:tc>
      </w:tr>
      <w:tr>
        <w:trPr>
          <w:trHeight w:val="220"/>
        </w:trPr>
        <w:tc>
          <w:tcPr>
            <w:tcW w:w="582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1E1E1E"/>
              </w:rPr>
              <w:t>(in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40"/>
        </w:trPr>
        <w:tc>
          <w:tcPr>
            <w:tcW w:w="55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Within one year</w:t>
            </w:r>
          </w:p>
        </w:tc>
        <w:tc>
          <w:tcPr>
            <w:tcW w:w="28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320" w:type="dxa"/>
            <w:vAlign w:val="bottom"/>
            <w:shd w:val="clear" w:color="auto" w:fill="E2E2E2"/>
          </w:tcPr>
          <w:p>
            <w:pPr>
              <w:jc w:val="right"/>
              <w:ind w:right="119"/>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shd w:val="clear" w:color="auto" w:fill="E2E2E2"/>
          </w:tcPr>
          <w:p>
            <w:pPr>
              <w:spacing w:after="0"/>
              <w:rPr>
                <w:sz w:val="20"/>
                <w:szCs w:val="20"/>
                <w:color w:val="auto"/>
              </w:rPr>
            </w:pPr>
          </w:p>
        </w:tc>
        <w:tc>
          <w:tcPr>
            <w:tcW w:w="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219</w:t>
            </w:r>
          </w:p>
        </w:tc>
        <w:tc>
          <w:tcPr>
            <w:tcW w:w="720" w:type="dxa"/>
            <w:vAlign w:val="bottom"/>
            <w:gridSpan w:val="2"/>
            <w:shd w:val="clear" w:color="auto" w:fill="E2E2E2"/>
          </w:tcPr>
          <w:p>
            <w:pPr>
              <w:jc w:val="right"/>
              <w:ind w:right="219"/>
              <w:spacing w:after="0"/>
              <w:rPr>
                <w:sz w:val="20"/>
                <w:szCs w:val="20"/>
                <w:color w:val="auto"/>
              </w:rPr>
            </w:pPr>
            <w:r>
              <w:rPr>
                <w:rFonts w:ascii="Times New Roman" w:cs="Times New Roman" w:eastAsia="Times New Roman" w:hAnsi="Times New Roman"/>
                <w:sz w:val="20"/>
                <w:szCs w:val="20"/>
                <w:color w:val="1E1E1E"/>
              </w:rPr>
              <w:t>$</w:t>
            </w: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157</w:t>
            </w:r>
          </w:p>
        </w:tc>
      </w:tr>
      <w:tr>
        <w:trPr>
          <w:trHeight w:val="240"/>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1E1E1E"/>
              </w:rPr>
              <w:t>After one year through five years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1,438</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1,123</w:t>
            </w:r>
          </w:p>
        </w:tc>
      </w:tr>
      <w:tr>
        <w:trPr>
          <w:trHeight w:val="240"/>
        </w:trPr>
        <w:tc>
          <w:tcPr>
            <w:tcW w:w="55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After five years through ten years</w:t>
            </w:r>
          </w:p>
        </w:tc>
        <w:tc>
          <w:tcPr>
            <w:tcW w:w="28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320" w:type="dxa"/>
            <w:vAlign w:val="bottom"/>
            <w:shd w:val="clear" w:color="auto" w:fill="E2E2E2"/>
          </w:tcPr>
          <w:p>
            <w:pPr>
              <w:spacing w:after="0"/>
              <w:rPr>
                <w:sz w:val="20"/>
                <w:szCs w:val="20"/>
                <w:color w:val="auto"/>
              </w:rPr>
            </w:pPr>
          </w:p>
        </w:tc>
        <w:tc>
          <w:tcPr>
            <w:tcW w:w="1040" w:type="dxa"/>
            <w:vAlign w:val="bottom"/>
            <w:shd w:val="clear" w:color="auto" w:fill="E2E2E2"/>
          </w:tcPr>
          <w:p>
            <w:pPr>
              <w:spacing w:after="0"/>
              <w:rPr>
                <w:sz w:val="20"/>
                <w:szCs w:val="20"/>
                <w:color w:val="auto"/>
              </w:rPr>
            </w:pPr>
          </w:p>
        </w:tc>
        <w:tc>
          <w:tcPr>
            <w:tcW w:w="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2,142</w:t>
            </w:r>
          </w:p>
        </w:tc>
        <w:tc>
          <w:tcPr>
            <w:tcW w:w="300" w:type="dxa"/>
            <w:vAlign w:val="bottom"/>
            <w:shd w:val="clear" w:color="auto" w:fill="E2E2E2"/>
          </w:tcPr>
          <w:p>
            <w:pPr>
              <w:spacing w:after="0"/>
              <w:rPr>
                <w:sz w:val="20"/>
                <w:szCs w:val="20"/>
                <w:color w:val="auto"/>
              </w:rPr>
            </w:pPr>
          </w:p>
        </w:tc>
        <w:tc>
          <w:tcPr>
            <w:tcW w:w="420" w:type="dxa"/>
            <w:vAlign w:val="bottom"/>
            <w:shd w:val="clear" w:color="auto" w:fill="E2E2E2"/>
          </w:tcPr>
          <w:p>
            <w:pPr>
              <w:spacing w:after="0"/>
              <w:rPr>
                <w:sz w:val="20"/>
                <w:szCs w:val="20"/>
                <w:color w:val="auto"/>
              </w:rPr>
            </w:pP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1,827</w:t>
            </w:r>
          </w:p>
        </w:tc>
      </w:tr>
      <w:tr>
        <w:trPr>
          <w:trHeight w:val="240"/>
        </w:trPr>
        <w:tc>
          <w:tcPr>
            <w:tcW w:w="5820" w:type="dxa"/>
            <w:vAlign w:val="bottom"/>
            <w:tcBorders>
              <w:bottom w:val="single" w:sz="8" w:color="E2E2E2"/>
            </w:tcBorders>
            <w:gridSpan w:val="3"/>
          </w:tcPr>
          <w:p>
            <w:pPr>
              <w:spacing w:after="0"/>
              <w:rPr>
                <w:sz w:val="20"/>
                <w:szCs w:val="20"/>
                <w:color w:val="auto"/>
              </w:rPr>
            </w:pPr>
            <w:r>
              <w:rPr>
                <w:rFonts w:ascii="Times New Roman" w:cs="Times New Roman" w:eastAsia="Times New Roman" w:hAnsi="Times New Roman"/>
                <w:sz w:val="20"/>
                <w:szCs w:val="20"/>
                <w:color w:val="1E1E1E"/>
              </w:rPr>
              <w:t>After ten years</w:t>
            </w:r>
          </w:p>
        </w:tc>
        <w:tc>
          <w:tcPr>
            <w:tcW w:w="320" w:type="dxa"/>
            <w:vAlign w:val="bottom"/>
            <w:tcBorders>
              <w:bottom w:val="single" w:sz="8" w:color="1E1E1E"/>
            </w:tcBorders>
          </w:tcPr>
          <w:p>
            <w:pPr>
              <w:spacing w:after="0"/>
              <w:rPr>
                <w:sz w:val="20"/>
                <w:szCs w:val="20"/>
                <w:color w:val="auto"/>
              </w:rPr>
            </w:pPr>
          </w:p>
        </w:tc>
        <w:tc>
          <w:tcPr>
            <w:tcW w:w="1040" w:type="dxa"/>
            <w:vAlign w:val="bottom"/>
            <w:tcBorders>
              <w:bottom w:val="single" w:sz="8" w:color="1E1E1E"/>
            </w:tcBorders>
          </w:tcPr>
          <w:p>
            <w:pPr>
              <w:spacing w:after="0"/>
              <w:rPr>
                <w:sz w:val="20"/>
                <w:szCs w:val="20"/>
                <w:color w:val="auto"/>
              </w:rPr>
            </w:pPr>
          </w:p>
        </w:tc>
        <w:tc>
          <w:tcPr>
            <w:tcW w:w="5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1,557</w:t>
            </w:r>
          </w:p>
        </w:tc>
        <w:tc>
          <w:tcPr>
            <w:tcW w:w="300" w:type="dxa"/>
            <w:vAlign w:val="bottom"/>
            <w:tcBorders>
              <w:bottom w:val="single" w:sz="8" w:color="E2E2E2"/>
            </w:tcBorders>
          </w:tcPr>
          <w:p>
            <w:pPr>
              <w:spacing w:after="0"/>
              <w:rPr>
                <w:sz w:val="20"/>
                <w:szCs w:val="20"/>
                <w:color w:val="auto"/>
              </w:rPr>
            </w:pPr>
          </w:p>
        </w:tc>
        <w:tc>
          <w:tcPr>
            <w:tcW w:w="420" w:type="dxa"/>
            <w:vAlign w:val="bottom"/>
            <w:tcBorders>
              <w:bottom w:val="single" w:sz="8" w:color="1E1E1E"/>
            </w:tcBorders>
          </w:tcPr>
          <w:p>
            <w:pPr>
              <w:spacing w:after="0"/>
              <w:rPr>
                <w:sz w:val="20"/>
                <w:szCs w:val="20"/>
                <w:color w:val="auto"/>
              </w:rPr>
            </w:pPr>
          </w:p>
        </w:tc>
        <w:tc>
          <w:tcPr>
            <w:tcW w:w="17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1,384</w:t>
            </w:r>
          </w:p>
        </w:tc>
      </w:tr>
      <w:tr>
        <w:trPr>
          <w:trHeight w:val="248"/>
        </w:trPr>
        <w:tc>
          <w:tcPr>
            <w:tcW w:w="55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Total</w:t>
            </w:r>
          </w:p>
        </w:tc>
        <w:tc>
          <w:tcPr>
            <w:tcW w:w="280" w:type="dxa"/>
            <w:vAlign w:val="bottom"/>
            <w:shd w:val="clear" w:color="auto" w:fill="E2E2E2"/>
          </w:tcPr>
          <w:p>
            <w:pPr>
              <w:spacing w:after="0"/>
              <w:rPr>
                <w:sz w:val="21"/>
                <w:szCs w:val="21"/>
                <w:color w:val="auto"/>
              </w:rPr>
            </w:pPr>
          </w:p>
        </w:tc>
        <w:tc>
          <w:tcPr>
            <w:tcW w:w="20" w:type="dxa"/>
            <w:vAlign w:val="bottom"/>
            <w:tcBorders>
              <w:bottom w:val="single" w:sz="8" w:color="1E1E1E"/>
            </w:tcBorders>
            <w:shd w:val="clear" w:color="auto" w:fill="E2E2E2"/>
          </w:tcPr>
          <w:p>
            <w:pPr>
              <w:spacing w:after="0"/>
              <w:rPr>
                <w:sz w:val="21"/>
                <w:szCs w:val="21"/>
                <w:color w:val="auto"/>
              </w:rPr>
            </w:pPr>
          </w:p>
        </w:tc>
        <w:tc>
          <w:tcPr>
            <w:tcW w:w="320" w:type="dxa"/>
            <w:vAlign w:val="bottom"/>
            <w:tcBorders>
              <w:bottom w:val="single" w:sz="8" w:color="1E1E1E"/>
            </w:tcBorders>
            <w:shd w:val="clear" w:color="auto" w:fill="E2E2E2"/>
          </w:tcPr>
          <w:p>
            <w:pPr>
              <w:jc w:val="right"/>
              <w:ind w:right="119"/>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Borders>
              <w:bottom w:val="single" w:sz="8" w:color="1E1E1E"/>
            </w:tcBorders>
            <w:shd w:val="clear" w:color="auto" w:fill="E2E2E2"/>
          </w:tcPr>
          <w:p>
            <w:pPr>
              <w:spacing w:after="0"/>
              <w:rPr>
                <w:sz w:val="21"/>
                <w:szCs w:val="21"/>
                <w:color w:val="auto"/>
              </w:rPr>
            </w:pPr>
          </w:p>
        </w:tc>
        <w:tc>
          <w:tcPr>
            <w:tcW w:w="5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5,356</w:t>
            </w:r>
          </w:p>
        </w:tc>
        <w:tc>
          <w:tcPr>
            <w:tcW w:w="300" w:type="dxa"/>
            <w:vAlign w:val="bottom"/>
            <w:shd w:val="clear" w:color="auto" w:fill="E2E2E2"/>
          </w:tcPr>
          <w:p>
            <w:pPr>
              <w:spacing w:after="0"/>
              <w:rPr>
                <w:sz w:val="21"/>
                <w:szCs w:val="21"/>
                <w:color w:val="auto"/>
              </w:rPr>
            </w:pPr>
          </w:p>
        </w:tc>
        <w:tc>
          <w:tcPr>
            <w:tcW w:w="420" w:type="dxa"/>
            <w:vAlign w:val="bottom"/>
            <w:tcBorders>
              <w:bottom w:val="single" w:sz="8" w:color="1E1E1E"/>
            </w:tcBorders>
            <w:shd w:val="clear" w:color="auto" w:fill="E2E2E2"/>
          </w:tcPr>
          <w:p>
            <w:pPr>
              <w:jc w:val="right"/>
              <w:ind w:right="219"/>
              <w:spacing w:after="0"/>
              <w:rPr>
                <w:sz w:val="20"/>
                <w:szCs w:val="20"/>
                <w:color w:val="auto"/>
              </w:rPr>
            </w:pPr>
            <w:r>
              <w:rPr>
                <w:rFonts w:ascii="Times New Roman" w:cs="Times New Roman" w:eastAsia="Times New Roman" w:hAnsi="Times New Roman"/>
                <w:sz w:val="20"/>
                <w:szCs w:val="20"/>
                <w:color w:val="1E1E1E"/>
                <w:w w:val="79"/>
              </w:rPr>
              <w:t>$</w:t>
            </w:r>
          </w:p>
        </w:tc>
        <w:tc>
          <w:tcPr>
            <w:tcW w:w="17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4,491</w:t>
            </w:r>
          </w:p>
        </w:tc>
      </w:tr>
    </w:tbl>
    <w:p>
      <w:pPr>
        <w:spacing w:after="0" w:line="1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1E1E1E"/>
        </w:rPr>
        <w:t>The carrying values and fair values of other financial instruments in the Consolidated Balance Sheets are as follows:</w:t>
      </w:r>
    </w:p>
    <w:p>
      <w:pPr>
        <w:spacing w:after="0" w:line="336" w:lineRule="exact"/>
        <w:rPr>
          <w:sz w:val="20"/>
          <w:szCs w:val="20"/>
          <w:color w:val="auto"/>
        </w:rPr>
      </w:pPr>
    </w:p>
    <w:p>
      <w:pPr>
        <w:ind w:left="5500"/>
        <w:spacing w:after="0"/>
        <w:tabs>
          <w:tab w:leader="none" w:pos="8320" w:val="left"/>
        </w:tabs>
        <w:rPr>
          <w:sz w:val="20"/>
          <w:szCs w:val="20"/>
          <w:color w:val="auto"/>
        </w:rPr>
      </w:pPr>
      <w:r>
        <w:rPr>
          <w:rFonts w:ascii="Times New Roman" w:cs="Times New Roman" w:eastAsia="Times New Roman" w:hAnsi="Times New Roman"/>
          <w:sz w:val="16"/>
          <w:szCs w:val="16"/>
          <w:b w:val="1"/>
          <w:bCs w:val="1"/>
          <w:color w:val="1E1E1E"/>
        </w:rPr>
        <w:t>February 2, 2025</w:t>
      </w:r>
      <w:r>
        <w:rPr>
          <w:sz w:val="20"/>
          <w:szCs w:val="20"/>
          <w:color w:val="auto"/>
        </w:rPr>
        <w:tab/>
      </w:r>
      <w:r>
        <w:rPr>
          <w:rFonts w:ascii="Times New Roman" w:cs="Times New Roman" w:eastAsia="Times New Roman" w:hAnsi="Times New Roman"/>
          <w:sz w:val="16"/>
          <w:szCs w:val="16"/>
          <w:b w:val="1"/>
          <w:bCs w:val="1"/>
          <w:color w:val="1E1E1E"/>
        </w:rPr>
        <w:t>January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10795</wp:posOffset>
            </wp:positionV>
            <wp:extent cx="3498850" cy="4763"/>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98850" cy="4763"/>
                    </a:xfrm>
                    <a:prstGeom prst="rect">
                      <a:avLst/>
                    </a:prstGeom>
                    <a:noFill/>
                  </pic:spPr>
                </pic:pic>
              </a:graphicData>
            </a:graphic>
          </wp:anchor>
        </w:drawing>
      </w:r>
    </w:p>
    <w:p>
      <w:pPr>
        <w:sectPr>
          <w:pgSz w:w="11880" w:h="15480" w:orient="portrait"/>
          <w:cols w:equalWidth="0" w:num="1">
            <w:col w:w="10240"/>
          </w:cols>
          <w:pgMar w:left="820" w:top="226" w:right="820" w:bottom="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52</w:t>
      </w:r>
    </w:p>
    <w:p>
      <w:pPr>
        <w:sectPr>
          <w:pgSz w:w="11880" w:h="15480" w:orient="portrait"/>
          <w:cols w:equalWidth="0" w:num="1">
            <w:col w:w="10240"/>
          </w:cols>
          <w:pgMar w:left="820" w:top="226" w:right="820" w:bottom="0"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1E1E1E"/>
        </w:rPr>
        <w:t>DULUTH HOLDINGS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162560</wp:posOffset>
            </wp:positionV>
            <wp:extent cx="3489960" cy="4763"/>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89960" cy="4763"/>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Carrying</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1E1E1E"/>
              </w:rPr>
              <w:t>Carrying</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1"/>
        </w:trPr>
        <w:tc>
          <w:tcPr>
            <w:tcW w:w="474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16"/>
                <w:szCs w:val="16"/>
                <w:i w:val="1"/>
                <w:iCs w:val="1"/>
                <w:color w:val="1E1E1E"/>
              </w:rPr>
              <w:t>(in thousands)</w:t>
            </w:r>
          </w:p>
        </w:tc>
        <w:tc>
          <w:tcPr>
            <w:tcW w:w="20" w:type="dxa"/>
            <w:vAlign w:val="bottom"/>
            <w:tcBorders>
              <w:bottom w:val="single" w:sz="8" w:color="E2E2E2"/>
            </w:tcBorders>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10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Amount</w:t>
            </w:r>
          </w:p>
        </w:tc>
        <w:tc>
          <w:tcPr>
            <w:tcW w:w="160" w:type="dxa"/>
            <w:vAlign w:val="bottom"/>
            <w:tcBorders>
              <w:bottom w:val="single" w:sz="8" w:color="E2E2E2"/>
            </w:tcBorders>
          </w:tcPr>
          <w:p>
            <w:pPr>
              <w:spacing w:after="0"/>
              <w:rPr>
                <w:sz w:val="17"/>
                <w:szCs w:val="17"/>
                <w:color w:val="auto"/>
              </w:rPr>
            </w:pPr>
          </w:p>
        </w:tc>
        <w:tc>
          <w:tcPr>
            <w:tcW w:w="220" w:type="dxa"/>
            <w:vAlign w:val="bottom"/>
            <w:tcBorders>
              <w:bottom w:val="single" w:sz="8" w:color="1E1E1E"/>
            </w:tcBorders>
          </w:tcPr>
          <w:p>
            <w:pPr>
              <w:spacing w:after="0"/>
              <w:rPr>
                <w:sz w:val="17"/>
                <w:szCs w:val="17"/>
                <w:color w:val="auto"/>
              </w:rPr>
            </w:pPr>
          </w:p>
        </w:tc>
        <w:tc>
          <w:tcPr>
            <w:tcW w:w="1000" w:type="dxa"/>
            <w:vAlign w:val="bottom"/>
            <w:tcBorders>
              <w:bottom w:val="single" w:sz="8" w:color="1E1E1E"/>
            </w:tcBorders>
          </w:tcPr>
          <w:p>
            <w:pPr>
              <w:jc w:val="right"/>
              <w:ind w:right="50"/>
              <w:spacing w:after="0"/>
              <w:rPr>
                <w:sz w:val="20"/>
                <w:szCs w:val="20"/>
                <w:color w:val="auto"/>
              </w:rPr>
            </w:pPr>
            <w:r>
              <w:rPr>
                <w:rFonts w:ascii="Times New Roman" w:cs="Times New Roman" w:eastAsia="Times New Roman" w:hAnsi="Times New Roman"/>
                <w:sz w:val="16"/>
                <w:szCs w:val="16"/>
                <w:b w:val="1"/>
                <w:bCs w:val="1"/>
                <w:color w:val="1E1E1E"/>
              </w:rPr>
              <w:t>Fair Value</w:t>
            </w:r>
          </w:p>
        </w:tc>
        <w:tc>
          <w:tcPr>
            <w:tcW w:w="200" w:type="dxa"/>
            <w:vAlign w:val="bottom"/>
            <w:tcBorders>
              <w:bottom w:val="single" w:sz="8" w:color="E2E2E2"/>
            </w:tcBorders>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96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Amount</w:t>
            </w:r>
          </w:p>
        </w:tc>
        <w:tc>
          <w:tcPr>
            <w:tcW w:w="220" w:type="dxa"/>
            <w:vAlign w:val="bottom"/>
            <w:tcBorders>
              <w:bottom w:val="single" w:sz="8" w:color="E2E2E2"/>
            </w:tcBorders>
            <w:gridSpan w:val="2"/>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1000" w:type="dxa"/>
            <w:vAlign w:val="bottom"/>
            <w:tcBorders>
              <w:bottom w:val="single" w:sz="8" w:color="1E1E1E"/>
            </w:tcBorders>
          </w:tcPr>
          <w:p>
            <w:pPr>
              <w:jc w:val="right"/>
              <w:ind w:right="50"/>
              <w:spacing w:after="0"/>
              <w:rPr>
                <w:sz w:val="20"/>
                <w:szCs w:val="20"/>
                <w:color w:val="auto"/>
              </w:rPr>
            </w:pPr>
            <w:r>
              <w:rPr>
                <w:rFonts w:ascii="Times New Roman" w:cs="Times New Roman" w:eastAsia="Times New Roman" w:hAnsi="Times New Roman"/>
                <w:sz w:val="16"/>
                <w:szCs w:val="16"/>
                <w:b w:val="1"/>
                <w:bCs w:val="1"/>
                <w:color w:val="1E1E1E"/>
              </w:rPr>
              <w:t>Fair Value</w:t>
            </w:r>
          </w:p>
        </w:tc>
      </w:tr>
      <w:tr>
        <w:trPr>
          <w:trHeight w:val="215"/>
        </w:trPr>
        <w:tc>
          <w:tcPr>
            <w:tcW w:w="4740" w:type="dxa"/>
            <w:vAlign w:val="bottom"/>
            <w:tcBorders>
              <w:bottom w:val="single" w:sz="8" w:color="E2E2E2"/>
            </w:tcBorders>
            <w:shd w:val="clear" w:color="auto" w:fill="E2E2E2"/>
          </w:tcPr>
          <w:p>
            <w:pPr>
              <w:spacing w:after="0" w:line="215" w:lineRule="exact"/>
              <w:rPr>
                <w:sz w:val="20"/>
                <w:szCs w:val="20"/>
                <w:color w:val="auto"/>
              </w:rPr>
            </w:pPr>
            <w:r>
              <w:rPr>
                <w:rFonts w:ascii="Times New Roman" w:cs="Times New Roman" w:eastAsia="Times New Roman" w:hAnsi="Times New Roman"/>
                <w:sz w:val="20"/>
                <w:szCs w:val="20"/>
                <w:color w:val="1E1E1E"/>
              </w:rPr>
              <w:t>TRI Long-term debt, including short-term portion</w:t>
            </w:r>
          </w:p>
        </w:tc>
        <w:tc>
          <w:tcPr>
            <w:tcW w:w="20" w:type="dxa"/>
            <w:vAlign w:val="bottom"/>
            <w:tcBorders>
              <w:bottom w:val="single" w:sz="8" w:color="1E1E1E"/>
            </w:tcBorders>
            <w:shd w:val="clear" w:color="auto" w:fill="E2E2E2"/>
          </w:tcPr>
          <w:p>
            <w:pPr>
              <w:spacing w:after="0"/>
              <w:rPr>
                <w:sz w:val="18"/>
                <w:szCs w:val="18"/>
                <w:color w:val="auto"/>
              </w:rPr>
            </w:pPr>
          </w:p>
        </w:tc>
        <w:tc>
          <w:tcPr>
            <w:tcW w:w="260" w:type="dxa"/>
            <w:vAlign w:val="bottom"/>
            <w:tcBorders>
              <w:bottom w:val="single" w:sz="8" w:color="1E1E1E"/>
            </w:tcBorders>
            <w:shd w:val="clear" w:color="auto" w:fill="E2E2E2"/>
          </w:tcPr>
          <w:p>
            <w:pPr>
              <w:jc w:val="right"/>
              <w:ind w:right="59"/>
              <w:spacing w:after="0" w:line="215" w:lineRule="exact"/>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tcBorders>
              <w:bottom w:val="single" w:sz="8" w:color="1E1E1E"/>
            </w:tcBorders>
            <w:shd w:val="clear" w:color="auto" w:fill="E2E2E2"/>
          </w:tcPr>
          <w:p>
            <w:pPr>
              <w:jc w:val="right"/>
              <w:spacing w:after="0" w:line="215" w:lineRule="exact"/>
              <w:rPr>
                <w:sz w:val="20"/>
                <w:szCs w:val="20"/>
                <w:color w:val="auto"/>
              </w:rPr>
            </w:pPr>
            <w:r>
              <w:rPr>
                <w:rFonts w:ascii="Times New Roman" w:cs="Times New Roman" w:eastAsia="Times New Roman" w:hAnsi="Times New Roman"/>
                <w:sz w:val="20"/>
                <w:szCs w:val="20"/>
                <w:color w:val="1E1E1E"/>
              </w:rPr>
              <w:t>25,214</w:t>
            </w:r>
          </w:p>
        </w:tc>
        <w:tc>
          <w:tcPr>
            <w:tcW w:w="160" w:type="dxa"/>
            <w:vAlign w:val="bottom"/>
            <w:tcBorders>
              <w:bottom w:val="single" w:sz="8" w:color="E2E2E2"/>
            </w:tcBorders>
            <w:shd w:val="clear" w:color="auto" w:fill="E2E2E2"/>
          </w:tcPr>
          <w:p>
            <w:pPr>
              <w:spacing w:after="0"/>
              <w:rPr>
                <w:sz w:val="18"/>
                <w:szCs w:val="18"/>
                <w:color w:val="auto"/>
              </w:rPr>
            </w:pPr>
          </w:p>
        </w:tc>
        <w:tc>
          <w:tcPr>
            <w:tcW w:w="220" w:type="dxa"/>
            <w:vAlign w:val="bottom"/>
            <w:tcBorders>
              <w:bottom w:val="single" w:sz="8" w:color="1E1E1E"/>
            </w:tcBorders>
            <w:shd w:val="clear" w:color="auto" w:fill="E2E2E2"/>
          </w:tcPr>
          <w:p>
            <w:pPr>
              <w:jc w:val="right"/>
              <w:ind w:right="19"/>
              <w:spacing w:after="0" w:line="215" w:lineRule="exact"/>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tcBorders>
              <w:bottom w:val="single" w:sz="8" w:color="1E1E1E"/>
            </w:tcBorders>
            <w:shd w:val="clear" w:color="auto" w:fill="E2E2E2"/>
          </w:tcPr>
          <w:p>
            <w:pPr>
              <w:jc w:val="right"/>
              <w:spacing w:after="0" w:line="215" w:lineRule="exact"/>
              <w:rPr>
                <w:sz w:val="20"/>
                <w:szCs w:val="20"/>
                <w:color w:val="auto"/>
              </w:rPr>
            </w:pPr>
            <w:r>
              <w:rPr>
                <w:rFonts w:ascii="Times New Roman" w:cs="Times New Roman" w:eastAsia="Times New Roman" w:hAnsi="Times New Roman"/>
                <w:sz w:val="20"/>
                <w:szCs w:val="20"/>
                <w:color w:val="1E1E1E"/>
              </w:rPr>
              <w:t>21,225</w:t>
            </w:r>
          </w:p>
        </w:tc>
        <w:tc>
          <w:tcPr>
            <w:tcW w:w="200" w:type="dxa"/>
            <w:vAlign w:val="bottom"/>
            <w:tcBorders>
              <w:bottom w:val="single" w:sz="8" w:color="E2E2E2"/>
            </w:tcBorders>
            <w:shd w:val="clear" w:color="auto" w:fill="E2E2E2"/>
          </w:tcPr>
          <w:p>
            <w:pPr>
              <w:spacing w:after="0"/>
              <w:rPr>
                <w:sz w:val="18"/>
                <w:szCs w:val="18"/>
                <w:color w:val="auto"/>
              </w:rPr>
            </w:pPr>
          </w:p>
        </w:tc>
        <w:tc>
          <w:tcPr>
            <w:tcW w:w="260" w:type="dxa"/>
            <w:vAlign w:val="bottom"/>
            <w:tcBorders>
              <w:bottom w:val="single" w:sz="8" w:color="1E1E1E"/>
            </w:tcBorders>
            <w:shd w:val="clear" w:color="auto" w:fill="E2E2E2"/>
          </w:tcPr>
          <w:p>
            <w:pPr>
              <w:jc w:val="right"/>
              <w:ind w:right="39"/>
              <w:spacing w:after="0" w:line="215" w:lineRule="exact"/>
              <w:rPr>
                <w:sz w:val="20"/>
                <w:szCs w:val="20"/>
                <w:color w:val="auto"/>
              </w:rPr>
            </w:pPr>
            <w:r>
              <w:rPr>
                <w:rFonts w:ascii="Times New Roman" w:cs="Times New Roman" w:eastAsia="Times New Roman" w:hAnsi="Times New Roman"/>
                <w:sz w:val="20"/>
                <w:szCs w:val="20"/>
                <w:color w:val="1E1E1E"/>
                <w:w w:val="99"/>
              </w:rPr>
              <w:t>$</w:t>
            </w:r>
          </w:p>
        </w:tc>
        <w:tc>
          <w:tcPr>
            <w:tcW w:w="960" w:type="dxa"/>
            <w:vAlign w:val="bottom"/>
            <w:tcBorders>
              <w:bottom w:val="single" w:sz="8" w:color="1E1E1E"/>
            </w:tcBorders>
            <w:shd w:val="clear" w:color="auto" w:fill="E2E2E2"/>
          </w:tcPr>
          <w:p>
            <w:pPr>
              <w:jc w:val="right"/>
              <w:spacing w:after="0" w:line="215" w:lineRule="exact"/>
              <w:rPr>
                <w:sz w:val="20"/>
                <w:szCs w:val="20"/>
                <w:color w:val="auto"/>
              </w:rPr>
            </w:pPr>
            <w:r>
              <w:rPr>
                <w:rFonts w:ascii="Times New Roman" w:cs="Times New Roman" w:eastAsia="Times New Roman" w:hAnsi="Times New Roman"/>
                <w:sz w:val="20"/>
                <w:szCs w:val="20"/>
                <w:color w:val="1E1E1E"/>
              </w:rPr>
              <w:t>25,988</w:t>
            </w:r>
          </w:p>
        </w:tc>
        <w:tc>
          <w:tcPr>
            <w:tcW w:w="200" w:type="dxa"/>
            <w:vAlign w:val="bottom"/>
            <w:tcBorders>
              <w:bottom w:val="single" w:sz="8" w:color="E2E2E2"/>
            </w:tcBorders>
            <w:shd w:val="clear" w:color="auto" w:fill="E2E2E2"/>
          </w:tcPr>
          <w:p>
            <w:pPr>
              <w:spacing w:after="0"/>
              <w:rPr>
                <w:sz w:val="18"/>
                <w:szCs w:val="18"/>
                <w:color w:val="auto"/>
              </w:rPr>
            </w:pPr>
          </w:p>
        </w:tc>
        <w:tc>
          <w:tcPr>
            <w:tcW w:w="20" w:type="dxa"/>
            <w:vAlign w:val="bottom"/>
            <w:tcBorders>
              <w:bottom w:val="single" w:sz="8" w:color="1E1E1E"/>
            </w:tcBorders>
            <w:shd w:val="clear" w:color="auto" w:fill="E2E2E2"/>
          </w:tcPr>
          <w:p>
            <w:pPr>
              <w:spacing w:after="0"/>
              <w:rPr>
                <w:sz w:val="18"/>
                <w:szCs w:val="18"/>
                <w:color w:val="auto"/>
              </w:rPr>
            </w:pPr>
          </w:p>
        </w:tc>
        <w:tc>
          <w:tcPr>
            <w:tcW w:w="200" w:type="dxa"/>
            <w:vAlign w:val="bottom"/>
            <w:tcBorders>
              <w:bottom w:val="single" w:sz="8" w:color="1E1E1E"/>
            </w:tcBorders>
            <w:shd w:val="clear" w:color="auto" w:fill="E2E2E2"/>
          </w:tcPr>
          <w:p>
            <w:pPr>
              <w:jc w:val="right"/>
              <w:spacing w:after="0" w:line="215" w:lineRule="exact"/>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tcBorders>
              <w:bottom w:val="single" w:sz="8" w:color="1E1E1E"/>
            </w:tcBorders>
            <w:shd w:val="clear" w:color="auto" w:fill="E2E2E2"/>
          </w:tcPr>
          <w:p>
            <w:pPr>
              <w:jc w:val="right"/>
              <w:spacing w:after="0" w:line="215" w:lineRule="exact"/>
              <w:rPr>
                <w:sz w:val="20"/>
                <w:szCs w:val="20"/>
                <w:color w:val="auto"/>
              </w:rPr>
            </w:pPr>
            <w:r>
              <w:rPr>
                <w:rFonts w:ascii="Times New Roman" w:cs="Times New Roman" w:eastAsia="Times New Roman" w:hAnsi="Times New Roman"/>
                <w:sz w:val="20"/>
                <w:szCs w:val="20"/>
                <w:color w:val="1E1E1E"/>
              </w:rPr>
              <w:t>23,554</w:t>
            </w:r>
          </w:p>
        </w:tc>
      </w:tr>
    </w:tbl>
    <w:p>
      <w:pPr>
        <w:spacing w:after="0" w:line="179" w:lineRule="exact"/>
        <w:rPr>
          <w:sz w:val="20"/>
          <w:szCs w:val="20"/>
          <w:color w:val="auto"/>
        </w:rPr>
      </w:pPr>
    </w:p>
    <w:p>
      <w:pPr>
        <w:ind w:right="140" w:firstLine="450"/>
        <w:spacing w:after="0" w:line="261" w:lineRule="auto"/>
        <w:rPr>
          <w:sz w:val="20"/>
          <w:szCs w:val="20"/>
          <w:color w:val="auto"/>
        </w:rPr>
      </w:pPr>
      <w:r>
        <w:rPr>
          <w:rFonts w:ascii="Times New Roman" w:cs="Times New Roman" w:eastAsia="Times New Roman" w:hAnsi="Times New Roman"/>
          <w:sz w:val="20"/>
          <w:szCs w:val="20"/>
          <w:color w:val="1E1E1E"/>
        </w:rPr>
        <w:t xml:space="preserve">The above long-term debt, including the short-term portion is attributable to the consolidation of TRI in accordance with ASC Topic 810, </w:t>
      </w:r>
      <w:r>
        <w:rPr>
          <w:rFonts w:ascii="Times New Roman" w:cs="Times New Roman" w:eastAsia="Times New Roman" w:hAnsi="Times New Roman"/>
          <w:sz w:val="20"/>
          <w:szCs w:val="20"/>
          <w:i w:val="1"/>
          <w:iCs w:val="1"/>
          <w:color w:val="1E1E1E"/>
        </w:rPr>
        <w:t>Consolidation</w:t>
      </w:r>
      <w:r>
        <w:rPr>
          <w:rFonts w:ascii="Times New Roman" w:cs="Times New Roman" w:eastAsia="Times New Roman" w:hAnsi="Times New Roman"/>
          <w:sz w:val="20"/>
          <w:szCs w:val="20"/>
          <w:color w:val="1E1E1E"/>
        </w:rPr>
        <w:t>. The fair value was also based on a discounted cash flow method (Level 3) based on credit information and an estimate of future cash flows.</w:t>
      </w:r>
    </w:p>
    <w:p>
      <w:pPr>
        <w:spacing w:after="0" w:line="2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20"/>
          <w:szCs w:val="20"/>
          <w:b w:val="1"/>
          <w:bCs w:val="1"/>
          <w:color w:val="1E1E1E"/>
        </w:rPr>
        <w:t>3.</w:t>
      </w:r>
      <w:r>
        <w:rPr>
          <w:sz w:val="20"/>
          <w:szCs w:val="20"/>
          <w:color w:val="auto"/>
        </w:rPr>
        <w:tab/>
      </w:r>
      <w:r>
        <w:rPr>
          <w:rFonts w:ascii="Times New Roman" w:cs="Times New Roman" w:eastAsia="Times New Roman" w:hAnsi="Times New Roman"/>
          <w:sz w:val="19"/>
          <w:szCs w:val="19"/>
          <w:b w:val="1"/>
          <w:bCs w:val="1"/>
          <w:color w:val="1E1E1E"/>
        </w:rPr>
        <w:t>LEASES</w:t>
      </w:r>
    </w:p>
    <w:p>
      <w:pPr>
        <w:spacing w:after="0" w:line="205" w:lineRule="exact"/>
        <w:rPr>
          <w:sz w:val="20"/>
          <w:szCs w:val="20"/>
          <w:color w:val="auto"/>
        </w:rPr>
      </w:pPr>
    </w:p>
    <w:p>
      <w:pPr>
        <w:ind w:firstLine="547"/>
        <w:spacing w:after="0" w:line="246" w:lineRule="auto"/>
        <w:rPr>
          <w:sz w:val="20"/>
          <w:szCs w:val="20"/>
          <w:color w:val="auto"/>
        </w:rPr>
      </w:pPr>
      <w:r>
        <w:rPr>
          <w:rFonts w:ascii="Times New Roman" w:cs="Times New Roman" w:eastAsia="Times New Roman" w:hAnsi="Times New Roman"/>
          <w:sz w:val="20"/>
          <w:szCs w:val="20"/>
          <w:color w:val="1E1E1E"/>
        </w:rPr>
        <w:t xml:space="preserve">Based on the criteria set forth in ASC Topic 842, </w:t>
      </w:r>
      <w:r>
        <w:rPr>
          <w:rFonts w:ascii="Times New Roman" w:cs="Times New Roman" w:eastAsia="Times New Roman" w:hAnsi="Times New Roman"/>
          <w:sz w:val="20"/>
          <w:szCs w:val="20"/>
          <w:i w:val="1"/>
          <w:iCs w:val="1"/>
          <w:color w:val="1E1E1E"/>
        </w:rPr>
        <w:t>Leases</w:t>
      </w:r>
      <w:r>
        <w:rPr>
          <w:rFonts w:ascii="Times New Roman" w:cs="Times New Roman" w:eastAsia="Times New Roman" w:hAnsi="Times New Roman"/>
          <w:sz w:val="20"/>
          <w:szCs w:val="20"/>
          <w:color w:val="1E1E1E"/>
        </w:rPr>
        <w:t xml:space="preserve"> (“ASC 842”), the Company recognizes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w:t>
      </w:r>
    </w:p>
    <w:p>
      <w:pPr>
        <w:spacing w:after="0" w:line="160" w:lineRule="exact"/>
        <w:rPr>
          <w:sz w:val="20"/>
          <w:szCs w:val="20"/>
          <w:color w:val="auto"/>
        </w:rPr>
      </w:pPr>
    </w:p>
    <w:p>
      <w:pPr>
        <w:ind w:right="20" w:firstLine="547"/>
        <w:spacing w:after="0" w:line="250" w:lineRule="auto"/>
        <w:rPr>
          <w:sz w:val="20"/>
          <w:szCs w:val="20"/>
          <w:color w:val="auto"/>
        </w:rPr>
      </w:pPr>
      <w:r>
        <w:rPr>
          <w:rFonts w:ascii="Times New Roman" w:cs="Times New Roman" w:eastAsia="Times New Roman" w:hAnsi="Times New Roman"/>
          <w:sz w:val="20"/>
          <w:szCs w:val="20"/>
          <w:color w:val="1E1E1E"/>
        </w:rPr>
        <w:t>The Company leases retail space under non-cancelable lease agreements, which expire on various dates through 2041. Substantially all of these arrangements are store leases. Store leases generally have initial lease terms ranging from five years to fifteen years with renewal options and rent escalation provisions. At the commencement of a lease, the Company includes only the initial lease term as the option to extend is not reasonably certain. The Company does not record leases with a lease term of 12 months or less on the Company’s Consolidated Balance Sheets.</w:t>
      </w:r>
    </w:p>
    <w:p>
      <w:pPr>
        <w:spacing w:after="0" w:line="151" w:lineRule="exact"/>
        <w:rPr>
          <w:sz w:val="20"/>
          <w:szCs w:val="20"/>
          <w:color w:val="auto"/>
        </w:rPr>
      </w:pPr>
    </w:p>
    <w:p>
      <w:pPr>
        <w:ind w:right="100" w:firstLine="547"/>
        <w:spacing w:after="0" w:line="261" w:lineRule="auto"/>
        <w:rPr>
          <w:sz w:val="20"/>
          <w:szCs w:val="20"/>
          <w:color w:val="auto"/>
        </w:rPr>
      </w:pPr>
      <w:r>
        <w:rPr>
          <w:rFonts w:ascii="Times New Roman" w:cs="Times New Roman" w:eastAsia="Times New Roman" w:hAnsi="Times New Roman"/>
          <w:sz w:val="20"/>
          <w:szCs w:val="20"/>
          <w:color w:val="1E1E1E"/>
        </w:rPr>
        <w:t>When calculating the lease liability on a discounted basis, the Company applies its estimated discount rate. The Company bases this discount rate on a collateralized interest rate as well as publicly available data for instruments with similar characteristics.</w:t>
      </w:r>
    </w:p>
    <w:p>
      <w:pPr>
        <w:spacing w:after="0" w:line="143" w:lineRule="exact"/>
        <w:rPr>
          <w:sz w:val="20"/>
          <w:szCs w:val="20"/>
          <w:color w:val="auto"/>
        </w:rPr>
      </w:pPr>
    </w:p>
    <w:p>
      <w:pPr>
        <w:ind w:right="80" w:firstLine="547"/>
        <w:spacing w:after="0" w:line="258" w:lineRule="auto"/>
        <w:rPr>
          <w:sz w:val="20"/>
          <w:szCs w:val="20"/>
          <w:color w:val="auto"/>
        </w:rPr>
      </w:pPr>
      <w:r>
        <w:rPr>
          <w:rFonts w:ascii="Times New Roman" w:cs="Times New Roman" w:eastAsia="Times New Roman" w:hAnsi="Times New Roman"/>
          <w:sz w:val="20"/>
          <w:szCs w:val="20"/>
          <w:color w:val="1E1E1E"/>
        </w:rPr>
        <w:t>In addition to rent payments, leases for retail space contain payments for real estate taxes, insurance costs, common area maintenance, and utilities that are not fixed. The Company accounts for these costs as variable lease expenses and does not include such costs as a lease component.</w:t>
      </w:r>
    </w:p>
    <w:p>
      <w:pPr>
        <w:spacing w:after="0" w:line="146" w:lineRule="exact"/>
        <w:rPr>
          <w:sz w:val="20"/>
          <w:szCs w:val="20"/>
          <w:color w:val="auto"/>
        </w:rPr>
      </w:pPr>
    </w:p>
    <w:p>
      <w:pPr>
        <w:ind w:right="360" w:firstLine="490"/>
        <w:spacing w:after="0" w:line="281" w:lineRule="auto"/>
        <w:rPr>
          <w:sz w:val="20"/>
          <w:szCs w:val="20"/>
          <w:color w:val="auto"/>
        </w:rPr>
      </w:pPr>
      <w:r>
        <w:rPr>
          <w:rFonts w:ascii="Times New Roman" w:cs="Times New Roman" w:eastAsia="Times New Roman" w:hAnsi="Times New Roman"/>
          <w:sz w:val="20"/>
          <w:szCs w:val="20"/>
          <w:color w:val="1E1E1E"/>
        </w:rPr>
        <w:t>The expense components of the Company’s leases reflected on the Company’s Consolidated Statement of Operations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180" w:type="dxa"/>
            <w:vAlign w:val="bottom"/>
          </w:tcPr>
          <w:p>
            <w:pPr>
              <w:spacing w:after="0"/>
              <w:rPr>
                <w:sz w:val="22"/>
                <w:szCs w:val="22"/>
                <w:color w:val="auto"/>
              </w:rPr>
            </w:pPr>
          </w:p>
        </w:tc>
        <w:tc>
          <w:tcPr>
            <w:tcW w:w="3760" w:type="dxa"/>
            <w:vAlign w:val="bottom"/>
            <w:tcBorders>
              <w:bottom w:val="single" w:sz="8" w:color="1E1E1E"/>
            </w:tcBorders>
          </w:tcPr>
          <w:p>
            <w:pPr>
              <w:ind w:left="260"/>
              <w:spacing w:after="0"/>
              <w:rPr>
                <w:sz w:val="20"/>
                <w:szCs w:val="20"/>
                <w:color w:val="auto"/>
              </w:rPr>
            </w:pPr>
            <w:r>
              <w:rPr>
                <w:rFonts w:ascii="Times New Roman" w:cs="Times New Roman" w:eastAsia="Times New Roman" w:hAnsi="Times New Roman"/>
                <w:sz w:val="20"/>
                <w:szCs w:val="20"/>
                <w:b w:val="1"/>
                <w:bCs w:val="1"/>
                <w:color w:val="1E1E1E"/>
              </w:rPr>
              <w:t>Consolidated Statement of Operations</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1E1E1E"/>
            </w:tcBorders>
          </w:tcPr>
          <w:p>
            <w:pPr>
              <w:spacing w:after="0"/>
              <w:rPr>
                <w:sz w:val="22"/>
                <w:szCs w:val="22"/>
                <w:color w:val="auto"/>
              </w:rPr>
            </w:pPr>
          </w:p>
        </w:tc>
        <w:tc>
          <w:tcPr>
            <w:tcW w:w="1360" w:type="dxa"/>
            <w:vAlign w:val="bottom"/>
            <w:tcBorders>
              <w:bottom w:val="single" w:sz="8" w:color="1E1E1E"/>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1E1E1E"/>
              </w:rPr>
              <w:t>February 2, 2025</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1E1E1E"/>
            </w:tcBorders>
          </w:tcPr>
          <w:p>
            <w:pPr>
              <w:spacing w:after="0"/>
              <w:rPr>
                <w:sz w:val="22"/>
                <w:szCs w:val="22"/>
                <w:color w:val="auto"/>
              </w:rPr>
            </w:pPr>
          </w:p>
        </w:tc>
        <w:tc>
          <w:tcPr>
            <w:tcW w:w="1340" w:type="dxa"/>
            <w:vAlign w:val="bottom"/>
            <w:tcBorders>
              <w:bottom w:val="single" w:sz="8" w:color="1E1E1E"/>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1E1E1E"/>
                <w:w w:val="99"/>
              </w:rPr>
              <w:t>January 28, 2024</w:t>
            </w: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6"/>
                <w:szCs w:val="16"/>
                <w:i w:val="1"/>
                <w:iCs w:val="1"/>
                <w:color w:val="1E1E1E"/>
              </w:rPr>
              <w:t>(in thousands)</w:t>
            </w:r>
          </w:p>
        </w:tc>
        <w:tc>
          <w:tcPr>
            <w:tcW w:w="3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4"/>
        </w:trPr>
        <w:tc>
          <w:tcPr>
            <w:tcW w:w="31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Finance lease expense</w:t>
            </w:r>
          </w:p>
        </w:tc>
        <w:tc>
          <w:tcPr>
            <w:tcW w:w="3760" w:type="dxa"/>
            <w:vAlign w:val="bottom"/>
            <w:shd w:val="clear" w:color="auto" w:fill="E2E2E2"/>
          </w:tcPr>
          <w:p>
            <w:pPr>
              <w:spacing w:after="0"/>
              <w:rPr>
                <w:sz w:val="22"/>
                <w:szCs w:val="22"/>
                <w:color w:val="auto"/>
              </w:rPr>
            </w:pPr>
          </w:p>
        </w:tc>
        <w:tc>
          <w:tcPr>
            <w:tcW w:w="1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120" w:type="dxa"/>
            <w:vAlign w:val="bottom"/>
            <w:shd w:val="clear" w:color="auto" w:fill="E2E2E2"/>
          </w:tcPr>
          <w:p>
            <w:pPr>
              <w:spacing w:after="0"/>
              <w:rPr>
                <w:sz w:val="22"/>
                <w:szCs w:val="22"/>
                <w:color w:val="auto"/>
              </w:rPr>
            </w:pPr>
          </w:p>
        </w:tc>
        <w:tc>
          <w:tcPr>
            <w:tcW w:w="1360" w:type="dxa"/>
            <w:vAlign w:val="bottom"/>
            <w:shd w:val="clear" w:color="auto" w:fill="E2E2E2"/>
          </w:tcPr>
          <w:p>
            <w:pPr>
              <w:spacing w:after="0"/>
              <w:rPr>
                <w:sz w:val="22"/>
                <w:szCs w:val="22"/>
                <w:color w:val="auto"/>
              </w:rPr>
            </w:pPr>
          </w:p>
        </w:tc>
        <w:tc>
          <w:tcPr>
            <w:tcW w:w="1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120" w:type="dxa"/>
            <w:vAlign w:val="bottom"/>
            <w:shd w:val="clear" w:color="auto" w:fill="E2E2E2"/>
          </w:tcPr>
          <w:p>
            <w:pPr>
              <w:spacing w:after="0"/>
              <w:rPr>
                <w:sz w:val="22"/>
                <w:szCs w:val="22"/>
                <w:color w:val="auto"/>
              </w:rPr>
            </w:pPr>
          </w:p>
        </w:tc>
        <w:tc>
          <w:tcPr>
            <w:tcW w:w="1340" w:type="dxa"/>
            <w:vAlign w:val="bottom"/>
            <w:shd w:val="clear" w:color="auto" w:fill="E2E2E2"/>
          </w:tcPr>
          <w:p>
            <w:pPr>
              <w:spacing w:after="0"/>
              <w:rPr>
                <w:sz w:val="22"/>
                <w:szCs w:val="22"/>
                <w:color w:val="auto"/>
              </w:rPr>
            </w:pPr>
          </w:p>
        </w:tc>
      </w:tr>
      <w:tr>
        <w:trPr>
          <w:trHeight w:val="208"/>
        </w:trPr>
        <w:tc>
          <w:tcPr>
            <w:tcW w:w="3180" w:type="dxa"/>
            <w:vAlign w:val="bottom"/>
          </w:tcPr>
          <w:p>
            <w:pPr>
              <w:ind w:left="240"/>
              <w:spacing w:after="0" w:line="207" w:lineRule="exact"/>
              <w:rPr>
                <w:sz w:val="20"/>
                <w:szCs w:val="20"/>
                <w:color w:val="auto"/>
              </w:rPr>
            </w:pPr>
            <w:r>
              <w:rPr>
                <w:rFonts w:ascii="Times New Roman" w:cs="Times New Roman" w:eastAsia="Times New Roman" w:hAnsi="Times New Roman"/>
                <w:sz w:val="20"/>
                <w:szCs w:val="20"/>
                <w:color w:val="1E1E1E"/>
              </w:rPr>
              <w:t>Amortization of right-of-use</w:t>
            </w:r>
          </w:p>
        </w:tc>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01"/>
        </w:trPr>
        <w:tc>
          <w:tcPr>
            <w:tcW w:w="3180" w:type="dxa"/>
            <w:vAlign w:val="bottom"/>
          </w:tcPr>
          <w:p>
            <w:pPr>
              <w:ind w:left="480"/>
              <w:spacing w:after="0"/>
              <w:rPr>
                <w:sz w:val="20"/>
                <w:szCs w:val="20"/>
                <w:color w:val="auto"/>
              </w:rPr>
            </w:pPr>
            <w:r>
              <w:rPr>
                <w:rFonts w:ascii="Times New Roman" w:cs="Times New Roman" w:eastAsia="Times New Roman" w:hAnsi="Times New Roman"/>
                <w:sz w:val="20"/>
                <w:szCs w:val="20"/>
                <w:color w:val="1E1E1E"/>
              </w:rPr>
              <w:t>assets</w:t>
            </w:r>
          </w:p>
        </w:tc>
        <w:tc>
          <w:tcPr>
            <w:tcW w:w="3760" w:type="dxa"/>
            <w:vAlign w:val="bottom"/>
          </w:tcPr>
          <w:p>
            <w:pPr>
              <w:spacing w:after="0"/>
              <w:rPr>
                <w:sz w:val="20"/>
                <w:szCs w:val="20"/>
                <w:color w:val="auto"/>
              </w:rPr>
            </w:pPr>
            <w:r>
              <w:rPr>
                <w:rFonts w:ascii="Times New Roman" w:cs="Times New Roman" w:eastAsia="Times New Roman" w:hAnsi="Times New Roman"/>
                <w:sz w:val="20"/>
                <w:szCs w:val="20"/>
                <w:color w:val="1E1E1E"/>
              </w:rPr>
              <w:t>Selling, general and administrative expenses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3,097</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3,361</w:t>
            </w:r>
          </w:p>
        </w:tc>
      </w:tr>
      <w:tr>
        <w:trPr>
          <w:trHeight w:val="259"/>
        </w:trPr>
        <w:tc>
          <w:tcPr>
            <w:tcW w:w="3180" w:type="dxa"/>
            <w:vAlign w:val="bottom"/>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Interest on lease liabilities</w:t>
            </w:r>
          </w:p>
        </w:tc>
        <w:tc>
          <w:tcPr>
            <w:tcW w:w="3760" w:type="dxa"/>
            <w:vAlign w:val="bottom"/>
            <w:shd w:val="clear" w:color="auto" w:fill="E2E2E2"/>
          </w:tcPr>
          <w:p>
            <w:pPr>
              <w:ind w:left="20"/>
              <w:spacing w:after="0"/>
              <w:rPr>
                <w:sz w:val="20"/>
                <w:szCs w:val="20"/>
                <w:color w:val="auto"/>
              </w:rPr>
            </w:pPr>
            <w:r>
              <w:rPr>
                <w:rFonts w:ascii="Times New Roman" w:cs="Times New Roman" w:eastAsia="Times New Roman" w:hAnsi="Times New Roman"/>
                <w:sz w:val="20"/>
                <w:szCs w:val="20"/>
                <w:color w:val="1E1E1E"/>
              </w:rPr>
              <w:t>Interest expense</w:t>
            </w:r>
          </w:p>
        </w:tc>
        <w:tc>
          <w:tcPr>
            <w:tcW w:w="1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120" w:type="dxa"/>
            <w:vAlign w:val="bottom"/>
            <w:tcBorders>
              <w:bottom w:val="single" w:sz="8" w:color="1E1E1E"/>
            </w:tcBorders>
            <w:shd w:val="clear" w:color="auto" w:fill="E2E2E2"/>
          </w:tcPr>
          <w:p>
            <w:pPr>
              <w:spacing w:after="0"/>
              <w:rPr>
                <w:sz w:val="22"/>
                <w:szCs w:val="22"/>
                <w:color w:val="auto"/>
              </w:rPr>
            </w:pPr>
          </w:p>
        </w:tc>
        <w:tc>
          <w:tcPr>
            <w:tcW w:w="13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1,564</w:t>
            </w:r>
          </w:p>
        </w:tc>
        <w:tc>
          <w:tcPr>
            <w:tcW w:w="1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120" w:type="dxa"/>
            <w:vAlign w:val="bottom"/>
            <w:tcBorders>
              <w:bottom w:val="single" w:sz="8" w:color="1E1E1E"/>
            </w:tcBorders>
            <w:shd w:val="clear" w:color="auto" w:fill="E2E2E2"/>
          </w:tcPr>
          <w:p>
            <w:pPr>
              <w:spacing w:after="0"/>
              <w:rPr>
                <w:sz w:val="22"/>
                <w:szCs w:val="22"/>
                <w:color w:val="auto"/>
              </w:rPr>
            </w:pPr>
          </w:p>
        </w:tc>
        <w:tc>
          <w:tcPr>
            <w:tcW w:w="13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1,709</w:t>
            </w: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20"/>
                <w:szCs w:val="20"/>
                <w:color w:val="1E1E1E"/>
              </w:rPr>
              <w:t>Total finance lease expense</w:t>
            </w:r>
          </w:p>
        </w:tc>
        <w:tc>
          <w:tcPr>
            <w:tcW w:w="3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4,661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1E1E1E"/>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5,070</w:t>
            </w:r>
          </w:p>
        </w:tc>
      </w:tr>
      <w:tr>
        <w:trPr>
          <w:trHeight w:val="254"/>
        </w:trPr>
        <w:tc>
          <w:tcPr>
            <w:tcW w:w="31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Operating lease expense</w:t>
            </w:r>
          </w:p>
        </w:tc>
        <w:tc>
          <w:tcPr>
            <w:tcW w:w="3760" w:type="dxa"/>
            <w:vAlign w:val="bottom"/>
            <w:shd w:val="clear" w:color="auto" w:fill="E2E2E2"/>
          </w:tcPr>
          <w:p>
            <w:pPr>
              <w:ind w:left="20"/>
              <w:spacing w:after="0"/>
              <w:rPr>
                <w:sz w:val="20"/>
                <w:szCs w:val="20"/>
                <w:color w:val="auto"/>
              </w:rPr>
            </w:pPr>
            <w:r>
              <w:rPr>
                <w:rFonts w:ascii="Times New Roman" w:cs="Times New Roman" w:eastAsia="Times New Roman" w:hAnsi="Times New Roman"/>
                <w:sz w:val="20"/>
                <w:szCs w:val="20"/>
                <w:color w:val="1E1E1E"/>
              </w:rPr>
              <w:t>Selling, general and administrative expenses</w:t>
            </w:r>
          </w:p>
        </w:tc>
        <w:tc>
          <w:tcPr>
            <w:tcW w:w="30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22,255</w:t>
            </w:r>
          </w:p>
        </w:tc>
        <w:tc>
          <w:tcPr>
            <w:tcW w:w="1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w w:val="70"/>
                <w:shd w:val="clear" w:color="auto" w:fill="E2E2E2"/>
              </w:rPr>
              <w:t>$</w:t>
            </w: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20,267</w:t>
            </w:r>
          </w:p>
        </w:tc>
      </w:tr>
      <w:tr>
        <w:trPr>
          <w:trHeight w:val="208"/>
        </w:trPr>
        <w:tc>
          <w:tcPr>
            <w:tcW w:w="3180" w:type="dxa"/>
            <w:vAlign w:val="bottom"/>
          </w:tcPr>
          <w:p>
            <w:pPr>
              <w:spacing w:after="0" w:line="207" w:lineRule="exact"/>
              <w:rPr>
                <w:sz w:val="20"/>
                <w:szCs w:val="20"/>
                <w:color w:val="auto"/>
              </w:rPr>
            </w:pPr>
            <w:r>
              <w:rPr>
                <w:rFonts w:ascii="Times New Roman" w:cs="Times New Roman" w:eastAsia="Times New Roman" w:hAnsi="Times New Roman"/>
                <w:sz w:val="20"/>
                <w:szCs w:val="20"/>
                <w:color w:val="1E1E1E"/>
              </w:rPr>
              <w:t>Amortization of build-to-suit leases</w:t>
            </w:r>
          </w:p>
        </w:tc>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01"/>
        </w:trPr>
        <w:tc>
          <w:tcPr>
            <w:tcW w:w="318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capital contribution</w:t>
            </w:r>
          </w:p>
        </w:tc>
        <w:tc>
          <w:tcPr>
            <w:tcW w:w="3760" w:type="dxa"/>
            <w:vAlign w:val="bottom"/>
          </w:tcPr>
          <w:p>
            <w:pPr>
              <w:spacing w:after="0"/>
              <w:rPr>
                <w:sz w:val="20"/>
                <w:szCs w:val="20"/>
                <w:color w:val="auto"/>
              </w:rPr>
            </w:pPr>
            <w:r>
              <w:rPr>
                <w:rFonts w:ascii="Times New Roman" w:cs="Times New Roman" w:eastAsia="Times New Roman" w:hAnsi="Times New Roman"/>
                <w:sz w:val="20"/>
                <w:szCs w:val="20"/>
                <w:color w:val="1E1E1E"/>
              </w:rPr>
              <w:t>Selling, general and administrative expenses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1,284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1,284</w:t>
            </w:r>
          </w:p>
        </w:tc>
      </w:tr>
      <w:tr>
        <w:trPr>
          <w:trHeight w:val="254"/>
        </w:trPr>
        <w:tc>
          <w:tcPr>
            <w:tcW w:w="31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Variable lease expense</w:t>
            </w:r>
          </w:p>
        </w:tc>
        <w:tc>
          <w:tcPr>
            <w:tcW w:w="3760" w:type="dxa"/>
            <w:vAlign w:val="bottom"/>
            <w:shd w:val="clear" w:color="auto" w:fill="E2E2E2"/>
          </w:tcPr>
          <w:p>
            <w:pPr>
              <w:ind w:left="20"/>
              <w:spacing w:after="0"/>
              <w:rPr>
                <w:sz w:val="20"/>
                <w:szCs w:val="20"/>
                <w:color w:val="auto"/>
              </w:rPr>
            </w:pPr>
            <w:r>
              <w:rPr>
                <w:rFonts w:ascii="Times New Roman" w:cs="Times New Roman" w:eastAsia="Times New Roman" w:hAnsi="Times New Roman"/>
                <w:sz w:val="20"/>
                <w:szCs w:val="20"/>
                <w:color w:val="1E1E1E"/>
              </w:rPr>
              <w:t>Selling, general and administrative expenses</w:t>
            </w:r>
          </w:p>
        </w:tc>
        <w:tc>
          <w:tcPr>
            <w:tcW w:w="1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120" w:type="dxa"/>
            <w:vAlign w:val="bottom"/>
            <w:tcBorders>
              <w:bottom w:val="single" w:sz="8" w:color="1E1E1E"/>
            </w:tcBorders>
            <w:shd w:val="clear" w:color="auto" w:fill="E2E2E2"/>
          </w:tcPr>
          <w:p>
            <w:pPr>
              <w:spacing w:after="0"/>
              <w:rPr>
                <w:sz w:val="22"/>
                <w:szCs w:val="22"/>
                <w:color w:val="auto"/>
              </w:rPr>
            </w:pPr>
          </w:p>
        </w:tc>
        <w:tc>
          <w:tcPr>
            <w:tcW w:w="13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11,961</w:t>
            </w:r>
          </w:p>
        </w:tc>
        <w:tc>
          <w:tcPr>
            <w:tcW w:w="1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120" w:type="dxa"/>
            <w:vAlign w:val="bottom"/>
            <w:tcBorders>
              <w:bottom w:val="single" w:sz="8" w:color="1E1E1E"/>
            </w:tcBorders>
            <w:shd w:val="clear" w:color="auto" w:fill="E2E2E2"/>
          </w:tcPr>
          <w:p>
            <w:pPr>
              <w:spacing w:after="0"/>
              <w:rPr>
                <w:sz w:val="22"/>
                <w:szCs w:val="22"/>
                <w:color w:val="auto"/>
              </w:rPr>
            </w:pPr>
          </w:p>
        </w:tc>
        <w:tc>
          <w:tcPr>
            <w:tcW w:w="13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10,927</w:t>
            </w:r>
          </w:p>
        </w:tc>
      </w:tr>
      <w:tr>
        <w:trPr>
          <w:trHeight w:val="248"/>
        </w:trPr>
        <w:tc>
          <w:tcPr>
            <w:tcW w:w="3180" w:type="dxa"/>
            <w:vAlign w:val="bottom"/>
          </w:tcPr>
          <w:p>
            <w:pPr>
              <w:spacing w:after="0"/>
              <w:rPr>
                <w:sz w:val="20"/>
                <w:szCs w:val="20"/>
                <w:color w:val="auto"/>
              </w:rPr>
            </w:pPr>
            <w:r>
              <w:rPr>
                <w:rFonts w:ascii="Times New Roman" w:cs="Times New Roman" w:eastAsia="Times New Roman" w:hAnsi="Times New Roman"/>
                <w:sz w:val="20"/>
                <w:szCs w:val="20"/>
                <w:color w:val="1E1E1E"/>
              </w:rPr>
              <w:t>Total lease expense</w:t>
            </w:r>
          </w:p>
        </w:tc>
        <w:tc>
          <w:tcPr>
            <w:tcW w:w="3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1E1E1E"/>
            </w:tcBorders>
          </w:tcPr>
          <w:p>
            <w:pPr>
              <w:spacing w:after="0"/>
              <w:rPr>
                <w:sz w:val="21"/>
                <w:szCs w:val="21"/>
                <w:color w:val="auto"/>
              </w:rPr>
            </w:pPr>
          </w:p>
        </w:tc>
        <w:tc>
          <w:tcPr>
            <w:tcW w:w="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3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40,161</w:t>
            </w:r>
          </w:p>
        </w:tc>
        <w:tc>
          <w:tcPr>
            <w:tcW w:w="160" w:type="dxa"/>
            <w:vAlign w:val="bottom"/>
          </w:tcPr>
          <w:p>
            <w:pPr>
              <w:spacing w:after="0"/>
              <w:rPr>
                <w:sz w:val="21"/>
                <w:szCs w:val="21"/>
                <w:color w:val="auto"/>
              </w:rPr>
            </w:pPr>
          </w:p>
        </w:tc>
        <w:tc>
          <w:tcPr>
            <w:tcW w:w="20" w:type="dxa"/>
            <w:vAlign w:val="bottom"/>
            <w:tcBorders>
              <w:bottom w:val="single" w:sz="8" w:color="1E1E1E"/>
            </w:tcBorders>
          </w:tcPr>
          <w:p>
            <w:pPr>
              <w:spacing w:after="0"/>
              <w:rPr>
                <w:sz w:val="21"/>
                <w:szCs w:val="21"/>
                <w:color w:val="auto"/>
              </w:rPr>
            </w:pPr>
          </w:p>
        </w:tc>
        <w:tc>
          <w:tcPr>
            <w:tcW w:w="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7"/>
                <w:szCs w:val="17"/>
                <w:color w:val="1E1E1E"/>
                <w:w w:val="70"/>
              </w:rPr>
              <w:t>$</w:t>
            </w:r>
          </w:p>
        </w:tc>
        <w:tc>
          <w:tcPr>
            <w:tcW w:w="13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37,548</w:t>
            </w:r>
          </w:p>
        </w:tc>
      </w:tr>
    </w:tbl>
    <w:p>
      <w:pPr>
        <w:spacing w:after="0" w:line="200" w:lineRule="exact"/>
        <w:rPr>
          <w:sz w:val="20"/>
          <w:szCs w:val="20"/>
          <w:color w:val="auto"/>
        </w:rPr>
      </w:pPr>
    </w:p>
    <w:p>
      <w:pPr>
        <w:sectPr>
          <w:pgSz w:w="11880" w:h="15480" w:orient="portrait"/>
          <w:cols w:equalWidth="0" w:num="1">
            <w:col w:w="10240"/>
          </w:cols>
          <w:pgMar w:left="820" w:top="22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53</w:t>
      </w:r>
    </w:p>
    <w:p>
      <w:pPr>
        <w:sectPr>
          <w:pgSz w:w="11880" w:h="15480" w:orient="portrait"/>
          <w:cols w:equalWidth="0" w:num="1">
            <w:col w:w="10240"/>
          </w:cols>
          <w:pgMar w:left="820" w:top="226" w:right="820" w:bottom="0"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b w:val="1"/>
          <w:bCs w:val="1"/>
          <w:color w:val="1E1E1E"/>
        </w:rPr>
        <w:t>DULUTH HOLDINGS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w:t>
      </w:r>
    </w:p>
    <w:p>
      <w:pPr>
        <w:spacing w:after="0" w:line="2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E1E1E"/>
        </w:rPr>
        <w:t>Other information related to leases were as follows:</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60" w:type="dxa"/>
            <w:vAlign w:val="bottom"/>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460" w:type="dxa"/>
            <w:vAlign w:val="bottom"/>
            <w:tcBorders>
              <w:bottom w:val="single" w:sz="8" w:color="1E1E1E"/>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1E1E1E"/>
              </w:rPr>
              <w:t>February 2, 2025</w:t>
            </w:r>
          </w:p>
        </w:tc>
        <w:tc>
          <w:tcPr>
            <w:tcW w:w="200" w:type="dxa"/>
            <w:vAlign w:val="bottom"/>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1440" w:type="dxa"/>
            <w:vAlign w:val="bottom"/>
            <w:tcBorders>
              <w:bottom w:val="single" w:sz="8" w:color="1E1E1E"/>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1E1E1E"/>
              </w:rPr>
              <w:t>January 28, 2024</w:t>
            </w: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6"/>
                <w:szCs w:val="16"/>
                <w:i w:val="1"/>
                <w:iCs w:val="1"/>
                <w:color w:val="1E1E1E"/>
              </w:rPr>
              <w:t>(in thousands)</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4"/>
        </w:trPr>
        <w:tc>
          <w:tcPr>
            <w:tcW w:w="67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1E1E1E"/>
              </w:rPr>
              <w:t>Cash paid for amounts included in the measurement of lease liabilities:</w:t>
            </w:r>
          </w:p>
        </w:tc>
        <w:tc>
          <w:tcPr>
            <w:tcW w:w="180" w:type="dxa"/>
            <w:vAlign w:val="bottom"/>
            <w:shd w:val="clear" w:color="auto" w:fill="E2E2E2"/>
          </w:tcPr>
          <w:p>
            <w:pPr>
              <w:spacing w:after="0"/>
              <w:rPr>
                <w:sz w:val="22"/>
                <w:szCs w:val="22"/>
                <w:color w:val="auto"/>
              </w:rPr>
            </w:pPr>
          </w:p>
        </w:tc>
        <w:tc>
          <w:tcPr>
            <w:tcW w:w="146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1440" w:type="dxa"/>
            <w:vAlign w:val="bottom"/>
            <w:shd w:val="clear" w:color="auto" w:fill="E2E2E2"/>
          </w:tcPr>
          <w:p>
            <w:pPr>
              <w:spacing w:after="0"/>
              <w:rPr>
                <w:sz w:val="22"/>
                <w:szCs w:val="22"/>
                <w:color w:val="auto"/>
              </w:rPr>
            </w:pPr>
          </w:p>
        </w:tc>
      </w:tr>
      <w:tr>
        <w:trPr>
          <w:trHeight w:val="254"/>
        </w:trPr>
        <w:tc>
          <w:tcPr>
            <w:tcW w:w="676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Financing cash flows from finance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2,721</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2,842</w:t>
            </w:r>
          </w:p>
        </w:tc>
      </w:tr>
      <w:tr>
        <w:trPr>
          <w:trHeight w:val="254"/>
        </w:trPr>
        <w:tc>
          <w:tcPr>
            <w:tcW w:w="6760" w:type="dxa"/>
            <w:vAlign w:val="bottom"/>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Operating cash flows from finance leases</w:t>
            </w: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4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1,564</w:t>
            </w:r>
          </w:p>
        </w:tc>
        <w:tc>
          <w:tcPr>
            <w:tcW w:w="40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4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1,709</w:t>
            </w:r>
          </w:p>
        </w:tc>
      </w:tr>
      <w:tr>
        <w:trPr>
          <w:trHeight w:val="254"/>
        </w:trPr>
        <w:tc>
          <w:tcPr>
            <w:tcW w:w="676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Operating cash flows from operating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21,030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20,842</w:t>
            </w:r>
          </w:p>
        </w:tc>
      </w:tr>
      <w:tr>
        <w:trPr>
          <w:trHeight w:val="259"/>
        </w:trPr>
        <w:tc>
          <w:tcPr>
            <w:tcW w:w="6760" w:type="dxa"/>
            <w:vAlign w:val="bottom"/>
            <w:shd w:val="clear" w:color="auto" w:fill="E2E2E2"/>
          </w:tcPr>
          <w:p>
            <w:pPr>
              <w:spacing w:after="0"/>
              <w:rPr>
                <w:sz w:val="22"/>
                <w:szCs w:val="22"/>
                <w:color w:val="auto"/>
              </w:rPr>
            </w:pPr>
          </w:p>
        </w:tc>
        <w:tc>
          <w:tcPr>
            <w:tcW w:w="180" w:type="dxa"/>
            <w:vAlign w:val="bottom"/>
            <w:shd w:val="clear" w:color="auto" w:fill="E2E2E2"/>
          </w:tcPr>
          <w:p>
            <w:pPr>
              <w:spacing w:after="0"/>
              <w:rPr>
                <w:sz w:val="22"/>
                <w:szCs w:val="22"/>
                <w:color w:val="auto"/>
              </w:rPr>
            </w:pPr>
          </w:p>
        </w:tc>
        <w:tc>
          <w:tcPr>
            <w:tcW w:w="146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1440" w:type="dxa"/>
            <w:vAlign w:val="bottom"/>
            <w:shd w:val="clear" w:color="auto" w:fill="E2E2E2"/>
          </w:tcPr>
          <w:p>
            <w:pPr>
              <w:spacing w:after="0"/>
              <w:rPr>
                <w:sz w:val="22"/>
                <w:szCs w:val="22"/>
                <w:color w:val="auto"/>
              </w:rPr>
            </w:pPr>
          </w:p>
        </w:tc>
      </w:tr>
      <w:tr>
        <w:trPr>
          <w:trHeight w:val="254"/>
        </w:trPr>
        <w:tc>
          <w:tcPr>
            <w:tcW w:w="676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Right-of-use assets obtained in exchange for lease liabilities:</w:t>
            </w: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4"/>
        </w:trPr>
        <w:tc>
          <w:tcPr>
            <w:tcW w:w="6760" w:type="dxa"/>
            <w:vAlign w:val="bottom"/>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Operating leases</w:t>
            </w: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4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4,748</w:t>
            </w:r>
          </w:p>
        </w:tc>
        <w:tc>
          <w:tcPr>
            <w:tcW w:w="40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4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5,468</w:t>
            </w:r>
          </w:p>
        </w:tc>
      </w:tr>
      <w:tr>
        <w:trPr>
          <w:trHeight w:val="254"/>
        </w:trPr>
        <w:tc>
          <w:tcPr>
            <w:tcW w:w="6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4"/>
        </w:trPr>
        <w:tc>
          <w:tcPr>
            <w:tcW w:w="67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1E1E1E"/>
              </w:rPr>
              <w:t>Weighted-average remaining lease term (in years):</w:t>
            </w:r>
          </w:p>
        </w:tc>
        <w:tc>
          <w:tcPr>
            <w:tcW w:w="180" w:type="dxa"/>
            <w:vAlign w:val="bottom"/>
            <w:shd w:val="clear" w:color="auto" w:fill="E2E2E2"/>
          </w:tcPr>
          <w:p>
            <w:pPr>
              <w:spacing w:after="0"/>
              <w:rPr>
                <w:sz w:val="22"/>
                <w:szCs w:val="22"/>
                <w:color w:val="auto"/>
              </w:rPr>
            </w:pPr>
          </w:p>
        </w:tc>
        <w:tc>
          <w:tcPr>
            <w:tcW w:w="146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1440" w:type="dxa"/>
            <w:vAlign w:val="bottom"/>
            <w:shd w:val="clear" w:color="auto" w:fill="E2E2E2"/>
          </w:tcPr>
          <w:p>
            <w:pPr>
              <w:spacing w:after="0"/>
              <w:rPr>
                <w:sz w:val="22"/>
                <w:szCs w:val="22"/>
                <w:color w:val="auto"/>
              </w:rPr>
            </w:pPr>
          </w:p>
        </w:tc>
      </w:tr>
      <w:tr>
        <w:trPr>
          <w:trHeight w:val="254"/>
        </w:trPr>
        <w:tc>
          <w:tcPr>
            <w:tcW w:w="676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Finance leases</w:t>
            </w: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w:t>
            </w:r>
          </w:p>
        </w:tc>
      </w:tr>
      <w:tr>
        <w:trPr>
          <w:trHeight w:val="254"/>
        </w:trPr>
        <w:tc>
          <w:tcPr>
            <w:tcW w:w="6760" w:type="dxa"/>
            <w:vAlign w:val="bottom"/>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Operating leases</w:t>
            </w:r>
          </w:p>
        </w:tc>
        <w:tc>
          <w:tcPr>
            <w:tcW w:w="180" w:type="dxa"/>
            <w:vAlign w:val="bottom"/>
            <w:shd w:val="clear" w:color="auto" w:fill="E2E2E2"/>
          </w:tcPr>
          <w:p>
            <w:pPr>
              <w:spacing w:after="0"/>
              <w:rPr>
                <w:sz w:val="22"/>
                <w:szCs w:val="22"/>
                <w:color w:val="auto"/>
              </w:rPr>
            </w:pPr>
          </w:p>
        </w:tc>
        <w:tc>
          <w:tcPr>
            <w:tcW w:w="14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w:t>
            </w:r>
          </w:p>
        </w:tc>
        <w:tc>
          <w:tcPr>
            <w:tcW w:w="20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14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w:t>
            </w:r>
          </w:p>
        </w:tc>
      </w:tr>
      <w:tr>
        <w:trPr>
          <w:trHeight w:val="254"/>
        </w:trPr>
        <w:tc>
          <w:tcPr>
            <w:tcW w:w="6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9"/>
        </w:trPr>
        <w:tc>
          <w:tcPr>
            <w:tcW w:w="67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1E1E1E"/>
              </w:rPr>
              <w:t>Weighted-average discount rate:</w:t>
            </w:r>
          </w:p>
        </w:tc>
        <w:tc>
          <w:tcPr>
            <w:tcW w:w="180" w:type="dxa"/>
            <w:vAlign w:val="bottom"/>
            <w:shd w:val="clear" w:color="auto" w:fill="E2E2E2"/>
          </w:tcPr>
          <w:p>
            <w:pPr>
              <w:spacing w:after="0"/>
              <w:rPr>
                <w:sz w:val="22"/>
                <w:szCs w:val="22"/>
                <w:color w:val="auto"/>
              </w:rPr>
            </w:pPr>
          </w:p>
        </w:tc>
        <w:tc>
          <w:tcPr>
            <w:tcW w:w="146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1440" w:type="dxa"/>
            <w:vAlign w:val="bottom"/>
            <w:shd w:val="clear" w:color="auto" w:fill="E2E2E2"/>
          </w:tcPr>
          <w:p>
            <w:pPr>
              <w:spacing w:after="0"/>
              <w:rPr>
                <w:sz w:val="22"/>
                <w:szCs w:val="22"/>
                <w:color w:val="auto"/>
              </w:rPr>
            </w:pPr>
          </w:p>
        </w:tc>
      </w:tr>
      <w:tr>
        <w:trPr>
          <w:trHeight w:val="254"/>
        </w:trPr>
        <w:tc>
          <w:tcPr>
            <w:tcW w:w="676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Finance leases</w:t>
            </w: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4.5%</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4.5%</w:t>
            </w:r>
          </w:p>
        </w:tc>
      </w:tr>
      <w:tr>
        <w:trPr>
          <w:trHeight w:val="254"/>
        </w:trPr>
        <w:tc>
          <w:tcPr>
            <w:tcW w:w="6760" w:type="dxa"/>
            <w:vAlign w:val="bottom"/>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Operating leases</w:t>
            </w:r>
          </w:p>
        </w:tc>
        <w:tc>
          <w:tcPr>
            <w:tcW w:w="180" w:type="dxa"/>
            <w:vAlign w:val="bottom"/>
            <w:shd w:val="clear" w:color="auto" w:fill="E2E2E2"/>
          </w:tcPr>
          <w:p>
            <w:pPr>
              <w:spacing w:after="0"/>
              <w:rPr>
                <w:sz w:val="22"/>
                <w:szCs w:val="22"/>
                <w:color w:val="auto"/>
              </w:rPr>
            </w:pPr>
          </w:p>
        </w:tc>
        <w:tc>
          <w:tcPr>
            <w:tcW w:w="14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w:t>
            </w:r>
          </w:p>
        </w:tc>
        <w:tc>
          <w:tcPr>
            <w:tcW w:w="20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14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4.2%</w:t>
            </w:r>
          </w:p>
        </w:tc>
      </w:tr>
    </w:tbl>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E1E1E"/>
        </w:rPr>
        <w:t>Future minimum lease payments under the non-cancellable leases are as follows as of February 2, 2025:</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363"/>
              <w:spacing w:after="0"/>
              <w:rPr>
                <w:sz w:val="20"/>
                <w:szCs w:val="20"/>
                <w:color w:val="auto"/>
              </w:rPr>
            </w:pPr>
            <w:r>
              <w:rPr>
                <w:rFonts w:ascii="Times New Roman" w:cs="Times New Roman" w:eastAsia="Times New Roman" w:hAnsi="Times New Roman"/>
                <w:sz w:val="16"/>
                <w:szCs w:val="16"/>
                <w:b w:val="1"/>
                <w:bCs w:val="1"/>
                <w:color w:val="1E1E1E"/>
              </w:rPr>
              <w:t>Finance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63"/>
              <w:spacing w:after="0"/>
              <w:rPr>
                <w:sz w:val="20"/>
                <w:szCs w:val="20"/>
                <w:color w:val="auto"/>
              </w:rPr>
            </w:pPr>
            <w:r>
              <w:rPr>
                <w:rFonts w:ascii="Times New Roman" w:cs="Times New Roman" w:eastAsia="Times New Roman" w:hAnsi="Times New Roman"/>
                <w:sz w:val="16"/>
                <w:szCs w:val="16"/>
                <w:b w:val="1"/>
                <w:bCs w:val="1"/>
                <w:color w:val="1E1E1E"/>
              </w:rPr>
              <w:t>Operating</w:t>
            </w:r>
          </w:p>
        </w:tc>
      </w:tr>
      <w:tr>
        <w:trPr>
          <w:trHeight w:val="209"/>
        </w:trPr>
        <w:tc>
          <w:tcPr>
            <w:tcW w:w="656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6"/>
                <w:szCs w:val="16"/>
                <w:b w:val="1"/>
                <w:bCs w:val="1"/>
                <w:color w:val="1E1E1E"/>
              </w:rPr>
              <w:t>Fiscal year</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1460" w:type="dxa"/>
            <w:vAlign w:val="bottom"/>
            <w:tcBorders>
              <w:bottom w:val="single" w:sz="8" w:color="1E1E1E"/>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1E1E1E"/>
              </w:rPr>
              <w:t>Leases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440" w:type="dxa"/>
            <w:vAlign w:val="bottom"/>
            <w:tcBorders>
              <w:bottom w:val="single" w:sz="8" w:color="1E1E1E"/>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1E1E1E"/>
              </w:rPr>
              <w:t>Leases</w:t>
            </w:r>
          </w:p>
        </w:tc>
      </w:tr>
      <w:tr>
        <w:trPr>
          <w:trHeight w:val="206"/>
        </w:trPr>
        <w:tc>
          <w:tcPr>
            <w:tcW w:w="6560" w:type="dxa"/>
            <w:vAlign w:val="bottom"/>
          </w:tcPr>
          <w:p>
            <w:pPr>
              <w:spacing w:after="0"/>
              <w:rPr>
                <w:sz w:val="20"/>
                <w:szCs w:val="20"/>
                <w:color w:val="auto"/>
              </w:rPr>
            </w:pPr>
            <w:r>
              <w:rPr>
                <w:rFonts w:ascii="Times New Roman" w:cs="Times New Roman" w:eastAsia="Times New Roman" w:hAnsi="Times New Roman"/>
                <w:sz w:val="16"/>
                <w:szCs w:val="16"/>
                <w:i w:val="1"/>
                <w:iCs w:val="1"/>
                <w:color w:val="1E1E1E"/>
              </w:rPr>
              <w:t>(in thousands)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6"/>
        </w:trPr>
        <w:tc>
          <w:tcPr>
            <w:tcW w:w="656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2025</w:t>
            </w:r>
          </w:p>
        </w:tc>
        <w:tc>
          <w:tcPr>
            <w:tcW w:w="380" w:type="dxa"/>
            <w:vAlign w:val="bottom"/>
            <w:gridSpan w:val="3"/>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46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3,971</w:t>
            </w:r>
          </w:p>
        </w:tc>
        <w:tc>
          <w:tcPr>
            <w:tcW w:w="400" w:type="dxa"/>
            <w:vAlign w:val="bottom"/>
            <w:gridSpan w:val="3"/>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44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19,720</w:t>
            </w:r>
          </w:p>
        </w:tc>
      </w:tr>
      <w:tr>
        <w:trPr>
          <w:trHeight w:val="226"/>
        </w:trPr>
        <w:tc>
          <w:tcPr>
            <w:tcW w:w="65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2026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3,993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19,419</w:t>
            </w:r>
          </w:p>
        </w:tc>
      </w:tr>
      <w:tr>
        <w:trPr>
          <w:trHeight w:val="226"/>
        </w:trPr>
        <w:tc>
          <w:tcPr>
            <w:tcW w:w="656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2027</w:t>
            </w:r>
          </w:p>
        </w:tc>
        <w:tc>
          <w:tcPr>
            <w:tcW w:w="18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46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3,993</w:t>
            </w:r>
          </w:p>
        </w:tc>
        <w:tc>
          <w:tcPr>
            <w:tcW w:w="18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144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18,179</w:t>
            </w:r>
          </w:p>
        </w:tc>
      </w:tr>
      <w:tr>
        <w:trPr>
          <w:trHeight w:val="221"/>
        </w:trPr>
        <w:tc>
          <w:tcPr>
            <w:tcW w:w="6560" w:type="dxa"/>
            <w:vAlign w:val="bottom"/>
          </w:tcPr>
          <w:p>
            <w:pPr>
              <w:spacing w:after="0" w:line="221" w:lineRule="exact"/>
              <w:rPr>
                <w:sz w:val="20"/>
                <w:szCs w:val="20"/>
                <w:color w:val="auto"/>
              </w:rPr>
            </w:pPr>
            <w:r>
              <w:rPr>
                <w:rFonts w:ascii="Times New Roman" w:cs="Times New Roman" w:eastAsia="Times New Roman" w:hAnsi="Times New Roman"/>
                <w:sz w:val="20"/>
                <w:szCs w:val="20"/>
                <w:color w:val="1E1E1E"/>
              </w:rPr>
              <w:t>2028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1E1E1E"/>
              </w:rPr>
              <w:t>4,017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1E1E1E"/>
              </w:rPr>
              <w:t>16,384</w:t>
            </w:r>
          </w:p>
        </w:tc>
      </w:tr>
      <w:tr>
        <w:trPr>
          <w:trHeight w:val="226"/>
        </w:trPr>
        <w:tc>
          <w:tcPr>
            <w:tcW w:w="656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2029</w:t>
            </w:r>
          </w:p>
        </w:tc>
        <w:tc>
          <w:tcPr>
            <w:tcW w:w="18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46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4,217</w:t>
            </w:r>
          </w:p>
        </w:tc>
        <w:tc>
          <w:tcPr>
            <w:tcW w:w="18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144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13,898</w:t>
            </w:r>
          </w:p>
        </w:tc>
      </w:tr>
      <w:tr>
        <w:trPr>
          <w:trHeight w:val="226"/>
        </w:trPr>
        <w:tc>
          <w:tcPr>
            <w:tcW w:w="6560" w:type="dxa"/>
            <w:vAlign w:val="bottom"/>
            <w:tcBorders>
              <w:bottom w:val="single" w:sz="8" w:color="E2E2E2"/>
            </w:tcBorders>
          </w:tcPr>
          <w:p>
            <w:pPr>
              <w:spacing w:after="0" w:line="226" w:lineRule="exact"/>
              <w:rPr>
                <w:sz w:val="20"/>
                <w:szCs w:val="20"/>
                <w:color w:val="auto"/>
              </w:rPr>
            </w:pPr>
            <w:r>
              <w:rPr>
                <w:rFonts w:ascii="Times New Roman" w:cs="Times New Roman" w:eastAsia="Times New Roman" w:hAnsi="Times New Roman"/>
                <w:sz w:val="20"/>
                <w:szCs w:val="20"/>
                <w:color w:val="1E1E1E"/>
              </w:rPr>
              <w:t>Thereafter</w:t>
            </w:r>
          </w:p>
        </w:tc>
        <w:tc>
          <w:tcPr>
            <w:tcW w:w="18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180" w:type="dxa"/>
            <w:vAlign w:val="bottom"/>
            <w:tcBorders>
              <w:bottom w:val="single" w:sz="8" w:color="1E1E1E"/>
            </w:tcBorders>
          </w:tcPr>
          <w:p>
            <w:pPr>
              <w:spacing w:after="0"/>
              <w:rPr>
                <w:sz w:val="19"/>
                <w:szCs w:val="19"/>
                <w:color w:val="auto"/>
              </w:rPr>
            </w:pPr>
          </w:p>
        </w:tc>
        <w:tc>
          <w:tcPr>
            <w:tcW w:w="146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20,997</w:t>
            </w:r>
          </w:p>
        </w:tc>
        <w:tc>
          <w:tcPr>
            <w:tcW w:w="18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144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33,297</w:t>
            </w:r>
          </w:p>
        </w:tc>
      </w:tr>
      <w:tr>
        <w:trPr>
          <w:trHeight w:val="206"/>
        </w:trPr>
        <w:tc>
          <w:tcPr>
            <w:tcW w:w="6560" w:type="dxa"/>
            <w:vAlign w:val="bottom"/>
            <w:shd w:val="clear" w:color="auto" w:fill="E2E2E2"/>
          </w:tcPr>
          <w:p>
            <w:pPr>
              <w:spacing w:after="0" w:line="206" w:lineRule="exact"/>
              <w:rPr>
                <w:sz w:val="20"/>
                <w:szCs w:val="20"/>
                <w:color w:val="auto"/>
              </w:rPr>
            </w:pPr>
            <w:r>
              <w:rPr>
                <w:rFonts w:ascii="Times New Roman" w:cs="Times New Roman" w:eastAsia="Times New Roman" w:hAnsi="Times New Roman"/>
                <w:sz w:val="20"/>
                <w:szCs w:val="20"/>
                <w:color w:val="1E1E1E"/>
              </w:rPr>
              <w:t>Total future minimum lease payments</w:t>
            </w:r>
          </w:p>
        </w:tc>
        <w:tc>
          <w:tcPr>
            <w:tcW w:w="18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18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w w:val="79"/>
              </w:rPr>
              <w:t>$</w:t>
            </w:r>
          </w:p>
        </w:tc>
        <w:tc>
          <w:tcPr>
            <w:tcW w:w="146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41,188</w:t>
            </w:r>
          </w:p>
        </w:tc>
        <w:tc>
          <w:tcPr>
            <w:tcW w:w="18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20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w w:val="79"/>
              </w:rPr>
              <w:t>$</w:t>
            </w:r>
          </w:p>
        </w:tc>
        <w:tc>
          <w:tcPr>
            <w:tcW w:w="144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120,897</w:t>
            </w:r>
          </w:p>
        </w:tc>
      </w:tr>
      <w:tr>
        <w:trPr>
          <w:trHeight w:val="226"/>
        </w:trPr>
        <w:tc>
          <w:tcPr>
            <w:tcW w:w="6560" w:type="dxa"/>
            <w:vAlign w:val="bottom"/>
            <w:tcBorders>
              <w:bottom w:val="single" w:sz="8" w:color="E2E2E2"/>
            </w:tcBorders>
          </w:tcPr>
          <w:p>
            <w:pPr>
              <w:spacing w:after="0" w:line="226" w:lineRule="exact"/>
              <w:rPr>
                <w:sz w:val="20"/>
                <w:szCs w:val="20"/>
                <w:color w:val="auto"/>
              </w:rPr>
            </w:pPr>
            <w:r>
              <w:rPr>
                <w:rFonts w:ascii="Times New Roman" w:cs="Times New Roman" w:eastAsia="Times New Roman" w:hAnsi="Times New Roman"/>
                <w:sz w:val="20"/>
                <w:szCs w:val="20"/>
                <w:color w:val="1E1E1E"/>
              </w:rPr>
              <w:t>Less - Discount</w:t>
            </w:r>
          </w:p>
        </w:tc>
        <w:tc>
          <w:tcPr>
            <w:tcW w:w="18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180" w:type="dxa"/>
            <w:vAlign w:val="bottom"/>
            <w:tcBorders>
              <w:bottom w:val="single" w:sz="8" w:color="1E1E1E"/>
            </w:tcBorders>
          </w:tcPr>
          <w:p>
            <w:pPr>
              <w:spacing w:after="0"/>
              <w:rPr>
                <w:sz w:val="19"/>
                <w:szCs w:val="19"/>
                <w:color w:val="auto"/>
              </w:rPr>
            </w:pPr>
          </w:p>
        </w:tc>
        <w:tc>
          <w:tcPr>
            <w:tcW w:w="146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8,026</w:t>
            </w:r>
          </w:p>
        </w:tc>
        <w:tc>
          <w:tcPr>
            <w:tcW w:w="18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144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16,141</w:t>
            </w:r>
          </w:p>
        </w:tc>
      </w:tr>
      <w:tr>
        <w:trPr>
          <w:trHeight w:val="214"/>
        </w:trPr>
        <w:tc>
          <w:tcPr>
            <w:tcW w:w="6560" w:type="dxa"/>
            <w:vAlign w:val="bottom"/>
            <w:shd w:val="clear" w:color="auto" w:fill="E2E2E2"/>
          </w:tcPr>
          <w:p>
            <w:pPr>
              <w:spacing w:after="0" w:line="206" w:lineRule="exact"/>
              <w:rPr>
                <w:sz w:val="20"/>
                <w:szCs w:val="20"/>
                <w:color w:val="auto"/>
              </w:rPr>
            </w:pPr>
            <w:r>
              <w:rPr>
                <w:rFonts w:ascii="Times New Roman" w:cs="Times New Roman" w:eastAsia="Times New Roman" w:hAnsi="Times New Roman"/>
                <w:sz w:val="20"/>
                <w:szCs w:val="20"/>
                <w:color w:val="1E1E1E"/>
              </w:rPr>
              <w:t>Lease liability</w:t>
            </w:r>
          </w:p>
        </w:tc>
        <w:tc>
          <w:tcPr>
            <w:tcW w:w="180" w:type="dxa"/>
            <w:vAlign w:val="bottom"/>
            <w:shd w:val="clear" w:color="auto" w:fill="E2E2E2"/>
          </w:tcPr>
          <w:p>
            <w:pPr>
              <w:spacing w:after="0"/>
              <w:rPr>
                <w:sz w:val="18"/>
                <w:szCs w:val="18"/>
                <w:color w:val="auto"/>
              </w:rPr>
            </w:pPr>
          </w:p>
        </w:tc>
        <w:tc>
          <w:tcPr>
            <w:tcW w:w="20" w:type="dxa"/>
            <w:vAlign w:val="bottom"/>
            <w:tcBorders>
              <w:bottom w:val="single" w:sz="8" w:color="1E1E1E"/>
            </w:tcBorders>
            <w:shd w:val="clear" w:color="auto" w:fill="E2E2E2"/>
          </w:tcPr>
          <w:p>
            <w:pPr>
              <w:spacing w:after="0"/>
              <w:rPr>
                <w:sz w:val="18"/>
                <w:szCs w:val="18"/>
                <w:color w:val="auto"/>
              </w:rPr>
            </w:pPr>
          </w:p>
        </w:tc>
        <w:tc>
          <w:tcPr>
            <w:tcW w:w="18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w w:val="79"/>
              </w:rPr>
              <w:t>$</w:t>
            </w:r>
          </w:p>
        </w:tc>
        <w:tc>
          <w:tcPr>
            <w:tcW w:w="146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33,162</w:t>
            </w:r>
          </w:p>
        </w:tc>
        <w:tc>
          <w:tcPr>
            <w:tcW w:w="180" w:type="dxa"/>
            <w:vAlign w:val="bottom"/>
            <w:shd w:val="clear" w:color="auto" w:fill="E2E2E2"/>
          </w:tcPr>
          <w:p>
            <w:pPr>
              <w:spacing w:after="0"/>
              <w:rPr>
                <w:sz w:val="18"/>
                <w:szCs w:val="18"/>
                <w:color w:val="auto"/>
              </w:rPr>
            </w:pPr>
          </w:p>
        </w:tc>
        <w:tc>
          <w:tcPr>
            <w:tcW w:w="20" w:type="dxa"/>
            <w:vAlign w:val="bottom"/>
            <w:tcBorders>
              <w:bottom w:val="single" w:sz="8" w:color="1E1E1E"/>
            </w:tcBorders>
            <w:shd w:val="clear" w:color="auto" w:fill="E2E2E2"/>
          </w:tcPr>
          <w:p>
            <w:pPr>
              <w:spacing w:after="0"/>
              <w:rPr>
                <w:sz w:val="18"/>
                <w:szCs w:val="18"/>
                <w:color w:val="auto"/>
              </w:rPr>
            </w:pPr>
          </w:p>
        </w:tc>
        <w:tc>
          <w:tcPr>
            <w:tcW w:w="20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w w:val="79"/>
              </w:rPr>
              <w:t>$</w:t>
            </w:r>
          </w:p>
        </w:tc>
        <w:tc>
          <w:tcPr>
            <w:tcW w:w="144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104,756</w:t>
            </w:r>
          </w:p>
        </w:tc>
      </w:tr>
    </w:tbl>
    <w:p>
      <w:pPr>
        <w:spacing w:after="0" w:line="208" w:lineRule="exact"/>
        <w:rPr>
          <w:sz w:val="20"/>
          <w:szCs w:val="20"/>
          <w:color w:val="auto"/>
        </w:rPr>
      </w:pPr>
    </w:p>
    <w:p>
      <w:pPr>
        <w:ind w:right="440" w:firstLine="490"/>
        <w:spacing w:after="0" w:line="281" w:lineRule="auto"/>
        <w:rPr>
          <w:sz w:val="20"/>
          <w:szCs w:val="20"/>
          <w:color w:val="auto"/>
        </w:rPr>
      </w:pPr>
      <w:r>
        <w:rPr>
          <w:rFonts w:ascii="Times New Roman" w:cs="Times New Roman" w:eastAsia="Times New Roman" w:hAnsi="Times New Roman"/>
          <w:sz w:val="20"/>
          <w:szCs w:val="20"/>
          <w:color w:val="1E1E1E"/>
        </w:rPr>
        <w:t>Total rent expense under non-cancellable leases was $21.9 million and $21.8 million for fiscal 2024 and fiscal 2023, respectively.</w:t>
      </w:r>
    </w:p>
    <w:p>
      <w:pPr>
        <w:sectPr>
          <w:pgSz w:w="11880" w:h="15480" w:orient="portrait"/>
          <w:cols w:equalWidth="0" w:num="1">
            <w:col w:w="10240"/>
          </w:cols>
          <w:pgMar w:left="820" w:top="22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54</w:t>
      </w:r>
    </w:p>
    <w:p>
      <w:pPr>
        <w:sectPr>
          <w:pgSz w:w="11880" w:h="15480" w:orient="portrait"/>
          <w:cols w:equalWidth="0" w:num="1">
            <w:col w:w="10240"/>
          </w:cols>
          <w:pgMar w:left="820" w:top="226" w:right="820" w:bottom="0" w:gutter="0" w:footer="0" w:header="0"/>
          <w:type w:val="continuous"/>
        </w:sectPr>
      </w:pPr>
    </w:p>
    <w:bookmarkStart w:id="60" w:name="page61"/>
    <w:bookmarkEnd w:id="60"/>
    <w:p>
      <w:pPr>
        <w:jc w:val="center"/>
        <w:ind w:right="-5"/>
        <w:spacing w:after="0"/>
        <w:rPr>
          <w:sz w:val="20"/>
          <w:szCs w:val="20"/>
          <w:color w:val="auto"/>
        </w:rPr>
      </w:pPr>
      <w:r>
        <w:rPr>
          <w:rFonts w:ascii="Times New Roman" w:cs="Times New Roman" w:eastAsia="Times New Roman" w:hAnsi="Times New Roman"/>
          <w:sz w:val="20"/>
          <w:szCs w:val="20"/>
          <w:b w:val="1"/>
          <w:bCs w:val="1"/>
          <w:color w:val="1E1E1E"/>
        </w:rPr>
        <w:t>DULUTH HOLDINGS INC.</w:t>
      </w:r>
    </w:p>
    <w:p>
      <w:pPr>
        <w:jc w:val="center"/>
        <w:ind w:right="-5"/>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w:t>
      </w:r>
    </w:p>
    <w:p>
      <w:pPr>
        <w:spacing w:after="0" w:line="231" w:lineRule="exact"/>
        <w:rPr>
          <w:sz w:val="20"/>
          <w:szCs w:val="20"/>
          <w:color w:val="auto"/>
        </w:rPr>
      </w:pPr>
    </w:p>
    <w:p>
      <w:pPr>
        <w:ind w:left="486" w:right="6700" w:hanging="486"/>
        <w:spacing w:after="0" w:line="490" w:lineRule="auto"/>
        <w:tabs>
          <w:tab w:leader="none" w:pos="317" w:val="left"/>
        </w:tabs>
        <w:numPr>
          <w:ilvl w:val="0"/>
          <w:numId w:val="25"/>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 xml:space="preserve">DEBT AND CREDIT AGREEMENT </w:t>
      </w:r>
      <w:r>
        <w:rPr>
          <w:rFonts w:ascii="Times New Roman" w:cs="Times New Roman" w:eastAsia="Times New Roman" w:hAnsi="Times New Roman"/>
          <w:sz w:val="20"/>
          <w:szCs w:val="20"/>
          <w:color w:val="1E1E1E"/>
        </w:rPr>
        <w:t>Debt consists of the following:</w:t>
      </w:r>
    </w:p>
    <w:p>
      <w:pPr>
        <w:spacing w:after="0" w:line="57" w:lineRule="exact"/>
        <w:rPr>
          <w:sz w:val="20"/>
          <w:szCs w:val="20"/>
          <w:color w:val="auto"/>
        </w:rPr>
      </w:pPr>
    </w:p>
    <w:tbl>
      <w:tblPr>
        <w:tblLayout w:type="fixed"/>
        <w:tblInd w:w="6" w:type="dxa"/>
        <w:tblCellMar>
          <w:top w:w="0" w:type="dxa"/>
          <w:left w:w="0" w:type="dxa"/>
          <w:bottom w:w="0" w:type="dxa"/>
          <w:right w:w="0" w:type="dxa"/>
        </w:tblCellMar>
      </w:tblPr>
      <w:tr>
        <w:trPr>
          <w:trHeight w:val="201"/>
        </w:trPr>
        <w:tc>
          <w:tcPr>
            <w:tcW w:w="6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1380" w:type="dxa"/>
            <w:vAlign w:val="bottom"/>
            <w:tcBorders>
              <w:bottom w:val="single" w:sz="8" w:color="1E1E1E"/>
            </w:tcBorders>
          </w:tcPr>
          <w:p>
            <w:pPr>
              <w:jc w:val="right"/>
              <w:ind w:right="83"/>
              <w:spacing w:after="0"/>
              <w:rPr>
                <w:sz w:val="20"/>
                <w:szCs w:val="20"/>
                <w:color w:val="auto"/>
              </w:rPr>
            </w:pPr>
            <w:r>
              <w:rPr>
                <w:rFonts w:ascii="Times New Roman" w:cs="Times New Roman" w:eastAsia="Times New Roman" w:hAnsi="Times New Roman"/>
                <w:sz w:val="16"/>
                <w:szCs w:val="16"/>
                <w:b w:val="1"/>
                <w:bCs w:val="1"/>
                <w:color w:val="1E1E1E"/>
              </w:rPr>
              <w:t>February 2, 2025</w:t>
            </w:r>
          </w:p>
        </w:tc>
        <w:tc>
          <w:tcPr>
            <w:tcW w:w="180" w:type="dxa"/>
            <w:vAlign w:val="bottom"/>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1380" w:type="dxa"/>
            <w:vAlign w:val="bottom"/>
            <w:tcBorders>
              <w:bottom w:val="single" w:sz="8" w:color="1E1E1E"/>
            </w:tcBorders>
          </w:tcPr>
          <w:p>
            <w:pPr>
              <w:jc w:val="right"/>
              <w:ind w:right="83"/>
              <w:spacing w:after="0"/>
              <w:rPr>
                <w:sz w:val="20"/>
                <w:szCs w:val="20"/>
                <w:color w:val="auto"/>
              </w:rPr>
            </w:pPr>
            <w:r>
              <w:rPr>
                <w:rFonts w:ascii="Times New Roman" w:cs="Times New Roman" w:eastAsia="Times New Roman" w:hAnsi="Times New Roman"/>
                <w:sz w:val="16"/>
                <w:szCs w:val="16"/>
                <w:b w:val="1"/>
                <w:bCs w:val="1"/>
                <w:color w:val="1E1E1E"/>
              </w:rPr>
              <w:t>January 28, 2024</w:t>
            </w:r>
          </w:p>
        </w:tc>
      </w:tr>
      <w:tr>
        <w:trPr>
          <w:trHeight w:val="220"/>
        </w:trPr>
        <w:tc>
          <w:tcPr>
            <w:tcW w:w="702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1E1E1E"/>
              </w:rPr>
              <w:t>(in thousands)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0"/>
        </w:trPr>
        <w:tc>
          <w:tcPr>
            <w:tcW w:w="68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TRI Senior Secured Note</w:t>
            </w:r>
          </w:p>
        </w:tc>
        <w:tc>
          <w:tcPr>
            <w:tcW w:w="16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21,714</w:t>
            </w:r>
          </w:p>
        </w:tc>
        <w:tc>
          <w:tcPr>
            <w:tcW w:w="180" w:type="dxa"/>
            <w:vAlign w:val="bottom"/>
            <w:shd w:val="clear" w:color="auto" w:fill="E2E2E2"/>
          </w:tcPr>
          <w:p>
            <w:pPr>
              <w:spacing w:after="0"/>
              <w:rPr>
                <w:sz w:val="20"/>
                <w:szCs w:val="20"/>
                <w:color w:val="auto"/>
              </w:rPr>
            </w:pP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79"/>
                <w:shd w:val="clear" w:color="auto" w:fill="E2E2E2"/>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22,488</w:t>
            </w:r>
          </w:p>
        </w:tc>
      </w:tr>
      <w:tr>
        <w:trPr>
          <w:trHeight w:val="240"/>
        </w:trPr>
        <w:tc>
          <w:tcPr>
            <w:tcW w:w="684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1E1E1E"/>
              </w:rPr>
              <w:t>TRI Note</w:t>
            </w:r>
          </w:p>
        </w:tc>
        <w:tc>
          <w:tcPr>
            <w:tcW w:w="160" w:type="dxa"/>
            <w:vAlign w:val="bottom"/>
            <w:tcBorders>
              <w:bottom w:val="single" w:sz="8" w:color="E2E2E2"/>
            </w:tcBorders>
          </w:tcPr>
          <w:p>
            <w:pPr>
              <w:spacing w:after="0"/>
              <w:rPr>
                <w:sz w:val="20"/>
                <w:szCs w:val="20"/>
                <w:color w:val="auto"/>
              </w:rPr>
            </w:pPr>
          </w:p>
        </w:tc>
        <w:tc>
          <w:tcPr>
            <w:tcW w:w="20" w:type="dxa"/>
            <w:vAlign w:val="bottom"/>
            <w:tcBorders>
              <w:bottom w:val="single" w:sz="8" w:color="E2E2E2"/>
            </w:tcBorders>
          </w:tcPr>
          <w:p>
            <w:pPr>
              <w:spacing w:after="0"/>
              <w:rPr>
                <w:sz w:val="20"/>
                <w:szCs w:val="20"/>
                <w:color w:val="auto"/>
              </w:rPr>
            </w:pPr>
          </w:p>
        </w:tc>
        <w:tc>
          <w:tcPr>
            <w:tcW w:w="140" w:type="dxa"/>
            <w:vAlign w:val="bottom"/>
            <w:tcBorders>
              <w:bottom w:val="single" w:sz="8" w:color="1E1E1E"/>
            </w:tcBorders>
          </w:tcPr>
          <w:p>
            <w:pPr>
              <w:spacing w:after="0"/>
              <w:rPr>
                <w:sz w:val="20"/>
                <w:szCs w:val="20"/>
                <w:color w:val="auto"/>
              </w:rPr>
            </w:pPr>
          </w:p>
        </w:tc>
        <w:tc>
          <w:tcPr>
            <w:tcW w:w="13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3,500</w:t>
            </w:r>
          </w:p>
        </w:tc>
        <w:tc>
          <w:tcPr>
            <w:tcW w:w="180" w:type="dxa"/>
            <w:vAlign w:val="bottom"/>
            <w:tcBorders>
              <w:bottom w:val="single" w:sz="8" w:color="E2E2E2"/>
            </w:tcBorders>
          </w:tcPr>
          <w:p>
            <w:pPr>
              <w:spacing w:after="0"/>
              <w:rPr>
                <w:sz w:val="20"/>
                <w:szCs w:val="20"/>
                <w:color w:val="auto"/>
              </w:rPr>
            </w:pPr>
          </w:p>
        </w:tc>
        <w:tc>
          <w:tcPr>
            <w:tcW w:w="140" w:type="dxa"/>
            <w:vAlign w:val="bottom"/>
            <w:tcBorders>
              <w:bottom w:val="single" w:sz="8" w:color="1E1E1E"/>
            </w:tcBorders>
          </w:tcPr>
          <w:p>
            <w:pPr>
              <w:spacing w:after="0"/>
              <w:rPr>
                <w:sz w:val="20"/>
                <w:szCs w:val="20"/>
                <w:color w:val="auto"/>
              </w:rPr>
            </w:pPr>
          </w:p>
        </w:tc>
        <w:tc>
          <w:tcPr>
            <w:tcW w:w="13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3,500</w:t>
            </w:r>
          </w:p>
        </w:tc>
      </w:tr>
      <w:tr>
        <w:trPr>
          <w:trHeight w:val="220"/>
        </w:trPr>
        <w:tc>
          <w:tcPr>
            <w:tcW w:w="6840" w:type="dxa"/>
            <w:vAlign w:val="bottom"/>
            <w:shd w:val="clear" w:color="auto" w:fill="E2E2E2"/>
          </w:tcPr>
          <w:p>
            <w:pPr>
              <w:spacing w:after="0"/>
              <w:rPr>
                <w:sz w:val="19"/>
                <w:szCs w:val="19"/>
                <w:color w:val="auto"/>
              </w:rPr>
            </w:pPr>
          </w:p>
        </w:tc>
        <w:tc>
          <w:tcPr>
            <w:tcW w:w="16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40" w:type="dxa"/>
            <w:vAlign w:val="bottom"/>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380" w:type="dxa"/>
            <w:vAlign w:val="bottom"/>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rPr>
              <w:t>25,214</w:t>
            </w:r>
          </w:p>
        </w:tc>
        <w:tc>
          <w:tcPr>
            <w:tcW w:w="180" w:type="dxa"/>
            <w:vAlign w:val="bottom"/>
            <w:shd w:val="clear" w:color="auto" w:fill="E2E2E2"/>
          </w:tcPr>
          <w:p>
            <w:pPr>
              <w:spacing w:after="0"/>
              <w:rPr>
                <w:sz w:val="19"/>
                <w:szCs w:val="19"/>
                <w:color w:val="auto"/>
              </w:rPr>
            </w:pPr>
          </w:p>
        </w:tc>
        <w:tc>
          <w:tcPr>
            <w:tcW w:w="140" w:type="dxa"/>
            <w:vAlign w:val="bottom"/>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shd w:val="clear" w:color="auto" w:fill="E2E2E2"/>
              </w:rPr>
              <w:t>$</w:t>
            </w:r>
          </w:p>
        </w:tc>
        <w:tc>
          <w:tcPr>
            <w:tcW w:w="1380" w:type="dxa"/>
            <w:vAlign w:val="bottom"/>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rPr>
              <w:t>25,988</w:t>
            </w:r>
          </w:p>
        </w:tc>
      </w:tr>
      <w:tr>
        <w:trPr>
          <w:trHeight w:val="240"/>
        </w:trPr>
        <w:tc>
          <w:tcPr>
            <w:tcW w:w="7020" w:type="dxa"/>
            <w:vAlign w:val="bottom"/>
            <w:tcBorders>
              <w:bottom w:val="single" w:sz="8" w:color="E2E2E2"/>
            </w:tcBorders>
            <w:gridSpan w:val="3"/>
          </w:tcPr>
          <w:p>
            <w:pPr>
              <w:spacing w:after="0"/>
              <w:rPr>
                <w:sz w:val="20"/>
                <w:szCs w:val="20"/>
                <w:color w:val="auto"/>
              </w:rPr>
            </w:pPr>
            <w:r>
              <w:rPr>
                <w:rFonts w:ascii="Times New Roman" w:cs="Times New Roman" w:eastAsia="Times New Roman" w:hAnsi="Times New Roman"/>
                <w:sz w:val="20"/>
                <w:szCs w:val="20"/>
                <w:color w:val="1E1E1E"/>
              </w:rPr>
              <w:t>Less: current maturities</w:t>
            </w:r>
          </w:p>
        </w:tc>
        <w:tc>
          <w:tcPr>
            <w:tcW w:w="140" w:type="dxa"/>
            <w:vAlign w:val="bottom"/>
            <w:tcBorders>
              <w:bottom w:val="single" w:sz="8" w:color="1E1E1E"/>
            </w:tcBorders>
          </w:tcPr>
          <w:p>
            <w:pPr>
              <w:spacing w:after="0"/>
              <w:rPr>
                <w:sz w:val="20"/>
                <w:szCs w:val="20"/>
                <w:color w:val="auto"/>
              </w:rPr>
            </w:pPr>
          </w:p>
        </w:tc>
        <w:tc>
          <w:tcPr>
            <w:tcW w:w="13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931</w:t>
            </w:r>
          </w:p>
        </w:tc>
        <w:tc>
          <w:tcPr>
            <w:tcW w:w="180" w:type="dxa"/>
            <w:vAlign w:val="bottom"/>
            <w:tcBorders>
              <w:bottom w:val="single" w:sz="8" w:color="E2E2E2"/>
            </w:tcBorders>
          </w:tcPr>
          <w:p>
            <w:pPr>
              <w:spacing w:after="0"/>
              <w:rPr>
                <w:sz w:val="20"/>
                <w:szCs w:val="20"/>
                <w:color w:val="auto"/>
              </w:rPr>
            </w:pPr>
          </w:p>
        </w:tc>
        <w:tc>
          <w:tcPr>
            <w:tcW w:w="140" w:type="dxa"/>
            <w:vAlign w:val="bottom"/>
            <w:tcBorders>
              <w:bottom w:val="single" w:sz="8" w:color="1E1E1E"/>
            </w:tcBorders>
          </w:tcPr>
          <w:p>
            <w:pPr>
              <w:spacing w:after="0"/>
              <w:rPr>
                <w:sz w:val="20"/>
                <w:szCs w:val="20"/>
                <w:color w:val="auto"/>
              </w:rPr>
            </w:pPr>
          </w:p>
        </w:tc>
        <w:tc>
          <w:tcPr>
            <w:tcW w:w="13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847</w:t>
            </w:r>
          </w:p>
        </w:tc>
      </w:tr>
      <w:tr>
        <w:trPr>
          <w:trHeight w:val="229"/>
        </w:trPr>
        <w:tc>
          <w:tcPr>
            <w:tcW w:w="6840" w:type="dxa"/>
            <w:vAlign w:val="bottom"/>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1E1E1E"/>
              </w:rPr>
              <w:t>TRI Long-term debt</w:t>
            </w:r>
          </w:p>
        </w:tc>
        <w:tc>
          <w:tcPr>
            <w:tcW w:w="160" w:type="dxa"/>
            <w:vAlign w:val="bottom"/>
            <w:shd w:val="clear" w:color="auto" w:fill="E2E2E2"/>
          </w:tcPr>
          <w:p>
            <w:pPr>
              <w:spacing w:after="0"/>
              <w:rPr>
                <w:sz w:val="19"/>
                <w:szCs w:val="19"/>
                <w:color w:val="auto"/>
              </w:rPr>
            </w:pPr>
          </w:p>
        </w:tc>
        <w:tc>
          <w:tcPr>
            <w:tcW w:w="20" w:type="dxa"/>
            <w:vAlign w:val="bottom"/>
            <w:tcBorders>
              <w:bottom w:val="single" w:sz="8" w:color="1E1E1E"/>
            </w:tcBorders>
            <w:shd w:val="clear" w:color="auto" w:fill="E2E2E2"/>
          </w:tcPr>
          <w:p>
            <w:pPr>
              <w:spacing w:after="0"/>
              <w:rPr>
                <w:sz w:val="19"/>
                <w:szCs w:val="19"/>
                <w:color w:val="auto"/>
              </w:rPr>
            </w:pPr>
          </w:p>
        </w:tc>
        <w:tc>
          <w:tcPr>
            <w:tcW w:w="140" w:type="dxa"/>
            <w:vAlign w:val="bottom"/>
            <w:tcBorders>
              <w:bottom w:val="single" w:sz="8" w:color="1E1E1E"/>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380" w:type="dxa"/>
            <w:vAlign w:val="bottom"/>
            <w:tcBorders>
              <w:bottom w:val="single" w:sz="8" w:color="1E1E1E"/>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rPr>
              <w:t>24,283</w:t>
            </w:r>
          </w:p>
        </w:tc>
        <w:tc>
          <w:tcPr>
            <w:tcW w:w="180" w:type="dxa"/>
            <w:vAlign w:val="bottom"/>
            <w:shd w:val="clear" w:color="auto" w:fill="E2E2E2"/>
          </w:tcPr>
          <w:p>
            <w:pPr>
              <w:spacing w:after="0"/>
              <w:rPr>
                <w:sz w:val="19"/>
                <w:szCs w:val="19"/>
                <w:color w:val="auto"/>
              </w:rPr>
            </w:pPr>
          </w:p>
        </w:tc>
        <w:tc>
          <w:tcPr>
            <w:tcW w:w="140" w:type="dxa"/>
            <w:vAlign w:val="bottom"/>
            <w:tcBorders>
              <w:bottom w:val="single" w:sz="8" w:color="1E1E1E"/>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shd w:val="clear" w:color="auto" w:fill="E2E2E2"/>
              </w:rPr>
              <w:t>$</w:t>
            </w:r>
          </w:p>
        </w:tc>
        <w:tc>
          <w:tcPr>
            <w:tcW w:w="1380" w:type="dxa"/>
            <w:vAlign w:val="bottom"/>
            <w:tcBorders>
              <w:bottom w:val="single" w:sz="8" w:color="1E1E1E"/>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rPr>
              <w:t>25,141</w:t>
            </w:r>
          </w:p>
        </w:tc>
      </w:tr>
    </w:tbl>
    <w:p>
      <w:pPr>
        <w:spacing w:after="0" w:line="18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1E1E1E"/>
        </w:rPr>
        <w:t>TRI Holdings, LLC</w:t>
      </w:r>
    </w:p>
    <w:p>
      <w:pPr>
        <w:spacing w:after="0" w:line="200" w:lineRule="exact"/>
        <w:rPr>
          <w:sz w:val="20"/>
          <w:szCs w:val="20"/>
          <w:color w:val="auto"/>
        </w:rPr>
      </w:pPr>
    </w:p>
    <w:p>
      <w:pPr>
        <w:ind w:left="6" w:right="160" w:firstLine="540"/>
        <w:spacing w:after="0" w:line="258" w:lineRule="auto"/>
        <w:rPr>
          <w:sz w:val="20"/>
          <w:szCs w:val="20"/>
          <w:color w:val="auto"/>
        </w:rPr>
      </w:pPr>
      <w:r>
        <w:rPr>
          <w:rFonts w:ascii="Times New Roman" w:cs="Times New Roman" w:eastAsia="Times New Roman" w:hAnsi="Times New Roman"/>
          <w:sz w:val="20"/>
          <w:szCs w:val="20"/>
          <w:color w:val="1E1E1E"/>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spacing w:after="0" w:line="146" w:lineRule="exact"/>
        <w:rPr>
          <w:sz w:val="20"/>
          <w:szCs w:val="20"/>
          <w:color w:val="auto"/>
        </w:rPr>
      </w:pPr>
    </w:p>
    <w:p>
      <w:pPr>
        <w:ind w:left="6" w:right="100" w:firstLine="540"/>
        <w:spacing w:after="0" w:line="261" w:lineRule="auto"/>
        <w:rPr>
          <w:sz w:val="20"/>
          <w:szCs w:val="20"/>
          <w:color w:val="auto"/>
        </w:rPr>
      </w:pPr>
      <w:r>
        <w:rPr>
          <w:rFonts w:ascii="Times New Roman" w:cs="Times New Roman" w:eastAsia="Times New Roman" w:hAnsi="Times New Roman"/>
          <w:sz w:val="20"/>
          <w:szCs w:val="20"/>
          <w:color w:val="1E1E1E"/>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71" w:lineRule="exact"/>
        <w:rPr>
          <w:sz w:val="20"/>
          <w:szCs w:val="20"/>
          <w:color w:val="auto"/>
        </w:rPr>
      </w:pPr>
    </w:p>
    <w:p>
      <w:pPr>
        <w:ind w:left="6" w:right="340" w:firstLine="720"/>
        <w:spacing w:after="0" w:line="276" w:lineRule="auto"/>
        <w:rPr>
          <w:sz w:val="20"/>
          <w:szCs w:val="20"/>
          <w:color w:val="auto"/>
        </w:rPr>
      </w:pPr>
      <w:r>
        <w:rPr>
          <w:rFonts w:ascii="Times New Roman" w:cs="Times New Roman" w:eastAsia="Times New Roman" w:hAnsi="Times New Roman"/>
          <w:sz w:val="20"/>
          <w:szCs w:val="20"/>
          <w:color w:val="1E1E1E"/>
        </w:rPr>
        <w:t xml:space="preserve">While the above notes are consolidated in accordance with ASC Topic 810, </w:t>
      </w:r>
      <w:r>
        <w:rPr>
          <w:rFonts w:ascii="Times New Roman" w:cs="Times New Roman" w:eastAsia="Times New Roman" w:hAnsi="Times New Roman"/>
          <w:sz w:val="20"/>
          <w:szCs w:val="20"/>
          <w:i w:val="1"/>
          <w:iCs w:val="1"/>
          <w:color w:val="1E1E1E"/>
        </w:rPr>
        <w:t>Consolidation</w:t>
      </w:r>
      <w:r>
        <w:rPr>
          <w:rFonts w:ascii="Times New Roman" w:cs="Times New Roman" w:eastAsia="Times New Roman" w:hAnsi="Times New Roman"/>
          <w:sz w:val="20"/>
          <w:szCs w:val="20"/>
          <w:color w:val="1E1E1E"/>
        </w:rPr>
        <w:t>, the Company is not the guarantor nor the obligor of these notes.</w:t>
      </w:r>
    </w:p>
    <w:p>
      <w:pPr>
        <w:spacing w:after="0" w:line="129" w:lineRule="exact"/>
        <w:rPr>
          <w:sz w:val="20"/>
          <w:szCs w:val="20"/>
          <w:color w:val="auto"/>
        </w:rPr>
      </w:pPr>
    </w:p>
    <w:p>
      <w:pPr>
        <w:ind w:left="6" w:right="80" w:firstLine="490"/>
        <w:spacing w:after="0" w:line="281" w:lineRule="auto"/>
        <w:rPr>
          <w:sz w:val="20"/>
          <w:szCs w:val="20"/>
          <w:color w:val="auto"/>
        </w:rPr>
      </w:pPr>
      <w:r>
        <w:rPr>
          <w:rFonts w:ascii="Times New Roman" w:cs="Times New Roman" w:eastAsia="Times New Roman" w:hAnsi="Times New Roman"/>
          <w:sz w:val="20"/>
          <w:szCs w:val="20"/>
          <w:color w:val="1E1E1E"/>
        </w:rPr>
        <w:t>Future principal maturities of all TRI debt, excluding unamortized financing fees of $1.0 million associated with the TRI debt are as follows as of February 2, 2025:</w:t>
      </w:r>
    </w:p>
    <w:p>
      <w:pPr>
        <w:spacing w:after="0" w:line="200" w:lineRule="exact"/>
        <w:rPr>
          <w:sz w:val="20"/>
          <w:szCs w:val="20"/>
          <w:color w:val="auto"/>
        </w:rPr>
      </w:pPr>
    </w:p>
    <w:p>
      <w:pPr>
        <w:spacing w:after="0" w:line="240" w:lineRule="exact"/>
        <w:rPr>
          <w:sz w:val="20"/>
          <w:szCs w:val="20"/>
          <w:color w:val="auto"/>
        </w:rPr>
      </w:pPr>
    </w:p>
    <w:tbl>
      <w:tblPr>
        <w:tblLayout w:type="fixed"/>
        <w:tblInd w:w="6" w:type="dxa"/>
        <w:tblCellMar>
          <w:top w:w="0" w:type="dxa"/>
          <w:left w:w="0" w:type="dxa"/>
          <w:bottom w:w="0" w:type="dxa"/>
          <w:right w:w="0" w:type="dxa"/>
        </w:tblCellMar>
      </w:tblPr>
      <w:tr>
        <w:trPr>
          <w:trHeight w:val="201"/>
        </w:trPr>
        <w:tc>
          <w:tcPr>
            <w:tcW w:w="850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6"/>
                <w:szCs w:val="16"/>
                <w:b w:val="1"/>
                <w:bCs w:val="1"/>
                <w:color w:val="1E1E1E"/>
              </w:rPr>
              <w:t>Fiscal year</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8500" w:type="dxa"/>
            <w:vAlign w:val="bottom"/>
          </w:tcPr>
          <w:p>
            <w:pPr>
              <w:spacing w:after="0"/>
              <w:rPr>
                <w:sz w:val="20"/>
                <w:szCs w:val="20"/>
                <w:color w:val="auto"/>
              </w:rPr>
            </w:pPr>
            <w:r>
              <w:rPr>
                <w:rFonts w:ascii="Times New Roman" w:cs="Times New Roman" w:eastAsia="Times New Roman" w:hAnsi="Times New Roman"/>
                <w:sz w:val="16"/>
                <w:szCs w:val="16"/>
                <w:i w:val="1"/>
                <w:iCs w:val="1"/>
                <w:color w:val="1E1E1E"/>
              </w:rPr>
              <w:t>(in thousands)</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6"/>
        </w:trPr>
        <w:tc>
          <w:tcPr>
            <w:tcW w:w="850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2025</w:t>
            </w:r>
          </w:p>
        </w:tc>
        <w:tc>
          <w:tcPr>
            <w:tcW w:w="180" w:type="dxa"/>
            <w:vAlign w:val="bottom"/>
            <w:shd w:val="clear" w:color="auto" w:fill="E2E2E2"/>
          </w:tcPr>
          <w:p>
            <w:pPr>
              <w:spacing w:after="0"/>
              <w:rPr>
                <w:sz w:val="19"/>
                <w:szCs w:val="19"/>
                <w:color w:val="auto"/>
              </w:rPr>
            </w:pPr>
          </w:p>
        </w:tc>
        <w:tc>
          <w:tcPr>
            <w:tcW w:w="520" w:type="dxa"/>
            <w:vAlign w:val="bottom"/>
            <w:shd w:val="clear" w:color="auto" w:fill="E2E2E2"/>
          </w:tcPr>
          <w:p>
            <w:pPr>
              <w:jc w:val="right"/>
              <w:ind w:right="319"/>
              <w:spacing w:after="0" w:line="226" w:lineRule="exact"/>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931</w:t>
            </w:r>
          </w:p>
        </w:tc>
      </w:tr>
      <w:tr>
        <w:trPr>
          <w:trHeight w:val="226"/>
        </w:trPr>
        <w:tc>
          <w:tcPr>
            <w:tcW w:w="85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2026</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1,020</w:t>
            </w:r>
          </w:p>
        </w:tc>
      </w:tr>
      <w:tr>
        <w:trPr>
          <w:trHeight w:val="226"/>
        </w:trPr>
        <w:tc>
          <w:tcPr>
            <w:tcW w:w="850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2027</w:t>
            </w:r>
          </w:p>
        </w:tc>
        <w:tc>
          <w:tcPr>
            <w:tcW w:w="180" w:type="dxa"/>
            <w:vAlign w:val="bottom"/>
            <w:shd w:val="clear" w:color="auto" w:fill="E2E2E2"/>
          </w:tcPr>
          <w:p>
            <w:pPr>
              <w:spacing w:after="0"/>
              <w:rPr>
                <w:sz w:val="19"/>
                <w:szCs w:val="19"/>
                <w:color w:val="auto"/>
              </w:rPr>
            </w:pPr>
          </w:p>
        </w:tc>
        <w:tc>
          <w:tcPr>
            <w:tcW w:w="520" w:type="dxa"/>
            <w:vAlign w:val="bottom"/>
            <w:shd w:val="clear" w:color="auto" w:fill="E2E2E2"/>
          </w:tcPr>
          <w:p>
            <w:pPr>
              <w:spacing w:after="0"/>
              <w:rPr>
                <w:sz w:val="19"/>
                <w:szCs w:val="19"/>
                <w:color w:val="auto"/>
              </w:rPr>
            </w:pPr>
          </w:p>
        </w:tc>
        <w:tc>
          <w:tcPr>
            <w:tcW w:w="104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1,114</w:t>
            </w:r>
          </w:p>
        </w:tc>
      </w:tr>
      <w:tr>
        <w:trPr>
          <w:trHeight w:val="226"/>
        </w:trPr>
        <w:tc>
          <w:tcPr>
            <w:tcW w:w="85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2028</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1,214</w:t>
            </w:r>
          </w:p>
        </w:tc>
      </w:tr>
      <w:tr>
        <w:trPr>
          <w:trHeight w:val="226"/>
        </w:trPr>
        <w:tc>
          <w:tcPr>
            <w:tcW w:w="850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2029</w:t>
            </w:r>
          </w:p>
        </w:tc>
        <w:tc>
          <w:tcPr>
            <w:tcW w:w="180" w:type="dxa"/>
            <w:vAlign w:val="bottom"/>
            <w:shd w:val="clear" w:color="auto" w:fill="E2E2E2"/>
          </w:tcPr>
          <w:p>
            <w:pPr>
              <w:spacing w:after="0"/>
              <w:rPr>
                <w:sz w:val="19"/>
                <w:szCs w:val="19"/>
                <w:color w:val="auto"/>
              </w:rPr>
            </w:pPr>
          </w:p>
        </w:tc>
        <w:tc>
          <w:tcPr>
            <w:tcW w:w="520" w:type="dxa"/>
            <w:vAlign w:val="bottom"/>
            <w:shd w:val="clear" w:color="auto" w:fill="E2E2E2"/>
          </w:tcPr>
          <w:p>
            <w:pPr>
              <w:spacing w:after="0"/>
              <w:rPr>
                <w:sz w:val="19"/>
                <w:szCs w:val="19"/>
                <w:color w:val="auto"/>
              </w:rPr>
            </w:pPr>
          </w:p>
        </w:tc>
        <w:tc>
          <w:tcPr>
            <w:tcW w:w="104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1,320</w:t>
            </w:r>
          </w:p>
        </w:tc>
      </w:tr>
      <w:tr>
        <w:trPr>
          <w:trHeight w:val="226"/>
        </w:trPr>
        <w:tc>
          <w:tcPr>
            <w:tcW w:w="8500" w:type="dxa"/>
            <w:vAlign w:val="bottom"/>
            <w:tcBorders>
              <w:bottom w:val="single" w:sz="8" w:color="E2E2E2"/>
            </w:tcBorders>
          </w:tcPr>
          <w:p>
            <w:pPr>
              <w:spacing w:after="0" w:line="226" w:lineRule="exact"/>
              <w:rPr>
                <w:sz w:val="20"/>
                <w:szCs w:val="20"/>
                <w:color w:val="auto"/>
              </w:rPr>
            </w:pPr>
            <w:r>
              <w:rPr>
                <w:rFonts w:ascii="Times New Roman" w:cs="Times New Roman" w:eastAsia="Times New Roman" w:hAnsi="Times New Roman"/>
                <w:sz w:val="20"/>
                <w:szCs w:val="20"/>
                <w:color w:val="1E1E1E"/>
              </w:rPr>
              <w:t>Thereafter</w:t>
            </w:r>
          </w:p>
        </w:tc>
        <w:tc>
          <w:tcPr>
            <w:tcW w:w="180" w:type="dxa"/>
            <w:vAlign w:val="bottom"/>
            <w:tcBorders>
              <w:bottom w:val="single" w:sz="8" w:color="E2E2E2"/>
            </w:tcBorders>
          </w:tcPr>
          <w:p>
            <w:pPr>
              <w:spacing w:after="0"/>
              <w:rPr>
                <w:sz w:val="19"/>
                <w:szCs w:val="19"/>
                <w:color w:val="auto"/>
              </w:rPr>
            </w:pPr>
          </w:p>
        </w:tc>
        <w:tc>
          <w:tcPr>
            <w:tcW w:w="520" w:type="dxa"/>
            <w:vAlign w:val="bottom"/>
            <w:tcBorders>
              <w:bottom w:val="single" w:sz="8" w:color="1E1E1E"/>
            </w:tcBorders>
          </w:tcPr>
          <w:p>
            <w:pPr>
              <w:spacing w:after="0"/>
              <w:rPr>
                <w:sz w:val="19"/>
                <w:szCs w:val="19"/>
                <w:color w:val="auto"/>
              </w:rPr>
            </w:pPr>
          </w:p>
        </w:tc>
        <w:tc>
          <w:tcPr>
            <w:tcW w:w="104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21,155</w:t>
            </w:r>
          </w:p>
        </w:tc>
      </w:tr>
      <w:tr>
        <w:trPr>
          <w:trHeight w:val="214"/>
        </w:trPr>
        <w:tc>
          <w:tcPr>
            <w:tcW w:w="8500" w:type="dxa"/>
            <w:vAlign w:val="bottom"/>
            <w:shd w:val="clear" w:color="auto" w:fill="E2E2E2"/>
          </w:tcPr>
          <w:p>
            <w:pPr>
              <w:spacing w:after="0"/>
              <w:rPr>
                <w:sz w:val="18"/>
                <w:szCs w:val="18"/>
                <w:color w:val="auto"/>
              </w:rPr>
            </w:pPr>
          </w:p>
        </w:tc>
        <w:tc>
          <w:tcPr>
            <w:tcW w:w="180" w:type="dxa"/>
            <w:vAlign w:val="bottom"/>
            <w:shd w:val="clear" w:color="auto" w:fill="E2E2E2"/>
          </w:tcPr>
          <w:p>
            <w:pPr>
              <w:spacing w:after="0"/>
              <w:rPr>
                <w:sz w:val="18"/>
                <w:szCs w:val="18"/>
                <w:color w:val="auto"/>
              </w:rPr>
            </w:pPr>
          </w:p>
        </w:tc>
        <w:tc>
          <w:tcPr>
            <w:tcW w:w="520" w:type="dxa"/>
            <w:vAlign w:val="bottom"/>
            <w:tcBorders>
              <w:bottom w:val="single" w:sz="8" w:color="1E1E1E"/>
            </w:tcBorders>
            <w:shd w:val="clear" w:color="auto" w:fill="E2E2E2"/>
          </w:tcPr>
          <w:p>
            <w:pPr>
              <w:jc w:val="right"/>
              <w:ind w:right="319"/>
              <w:spacing w:after="0" w:line="204" w:lineRule="exact"/>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Borders>
              <w:bottom w:val="single" w:sz="8" w:color="1E1E1E"/>
            </w:tcBorders>
            <w:shd w:val="clear" w:color="auto" w:fill="E2E2E2"/>
          </w:tcPr>
          <w:p>
            <w:pPr>
              <w:jc w:val="right"/>
              <w:spacing w:after="0" w:line="204" w:lineRule="exact"/>
              <w:rPr>
                <w:sz w:val="20"/>
                <w:szCs w:val="20"/>
                <w:color w:val="auto"/>
              </w:rPr>
            </w:pPr>
            <w:r>
              <w:rPr>
                <w:rFonts w:ascii="Times New Roman" w:cs="Times New Roman" w:eastAsia="Times New Roman" w:hAnsi="Times New Roman"/>
                <w:sz w:val="20"/>
                <w:szCs w:val="20"/>
                <w:color w:val="1E1E1E"/>
              </w:rPr>
              <w:t>26,754</w:t>
            </w:r>
          </w:p>
        </w:tc>
      </w:tr>
    </w:tbl>
    <w:p>
      <w:pPr>
        <w:spacing w:after="0" w:line="200" w:lineRule="exact"/>
        <w:rPr>
          <w:sz w:val="20"/>
          <w:szCs w:val="20"/>
          <w:color w:val="auto"/>
        </w:rPr>
      </w:pPr>
    </w:p>
    <w:p>
      <w:pPr>
        <w:spacing w:after="0" w:line="23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1E1E1E"/>
        </w:rPr>
        <w:t>Credit Agreement</w:t>
      </w:r>
    </w:p>
    <w:p>
      <w:pPr>
        <w:spacing w:after="0" w:line="196" w:lineRule="exact"/>
        <w:rPr>
          <w:sz w:val="20"/>
          <w:szCs w:val="20"/>
          <w:color w:val="auto"/>
        </w:rPr>
      </w:pPr>
    </w:p>
    <w:p>
      <w:pPr>
        <w:ind w:left="6" w:right="20" w:firstLine="475"/>
        <w:spacing w:after="0" w:line="245" w:lineRule="auto"/>
        <w:rPr>
          <w:sz w:val="20"/>
          <w:szCs w:val="20"/>
          <w:color w:val="auto"/>
        </w:rPr>
      </w:pPr>
      <w:r>
        <w:rPr>
          <w:rFonts w:ascii="Times New Roman" w:cs="Times New Roman" w:eastAsia="Times New Roman" w:hAnsi="Times New Roman"/>
          <w:sz w:val="20"/>
          <w:szCs w:val="20"/>
          <w:color w:val="1E1E1E"/>
        </w:rPr>
        <w:t>On May 14, 2021, the Company terminated its prior credit agreement, and entered into a credit agreement (the “Credit Agreement”), which was treated as a modification for accounting purposes. The Credit Agreement originally matured on May 14, 2026 and provided for borrowings of up to $150.0 million that were available under a revolving senior credit facility, with a $5.0 million sublimit for issuance of standby letters of credit, as well as a $10.0 million sublimit for swing line loans. At the Company’s option, the interest rate applicable to the revolving senior credit facility was a floating rate equal to: (i) the Bloomberg Short-Term Bank Yield Index rate (“BSBY”) plus the applicable rate of 1.25% to 2.00% determined based on the Company’s rent adjusted leverage ratio, or (ii) the base rate plus the applicable rate of 0.25% to 1.00% based on the Company’s rent adjusted leverage ratio. The Credit Agreement is secured by essentially all Company assets and requires the Company to maintain compliance with certain financial and non-financial covenants, including a maximum rent adjusted leverage ratio and a minimum fixed charge coverage ratio as defined in the Credit Agreement.</w:t>
      </w:r>
    </w:p>
    <w:p>
      <w:pPr>
        <w:spacing w:after="0" w:line="153" w:lineRule="exact"/>
        <w:rPr>
          <w:sz w:val="20"/>
          <w:szCs w:val="20"/>
          <w:color w:val="auto"/>
        </w:rPr>
      </w:pPr>
    </w:p>
    <w:p>
      <w:pPr>
        <w:ind w:left="6" w:right="200" w:firstLine="490"/>
        <w:spacing w:after="0"/>
        <w:rPr>
          <w:sz w:val="20"/>
          <w:szCs w:val="20"/>
          <w:color w:val="auto"/>
        </w:rPr>
      </w:pPr>
      <w:r>
        <w:rPr>
          <w:rFonts w:ascii="Times New Roman" w:cs="Times New Roman" w:eastAsia="Times New Roman" w:hAnsi="Times New Roman"/>
          <w:sz w:val="20"/>
          <w:szCs w:val="20"/>
          <w:color w:val="1E1E1E"/>
        </w:rPr>
        <w:t>On July 8, 2022, the Company entered into the First Amendment to the Credit Agreement (the “First Amendment”), which was treated as a modification for accounting purposes. The First Amendment amends the Credit Agreement in order to</w:t>
      </w:r>
    </w:p>
    <w:p>
      <w:pPr>
        <w:spacing w:after="0" w:line="1" w:lineRule="exact"/>
        <w:rPr>
          <w:sz w:val="20"/>
          <w:szCs w:val="20"/>
          <w:color w:val="auto"/>
        </w:rPr>
      </w:pPr>
    </w:p>
    <w:p>
      <w:pPr>
        <w:ind w:left="6" w:right="140" w:hanging="6"/>
        <w:spacing w:after="0" w:line="261" w:lineRule="auto"/>
        <w:tabs>
          <w:tab w:leader="none" w:pos="245" w:val="left"/>
        </w:tabs>
        <w:numPr>
          <w:ilvl w:val="0"/>
          <w:numId w:val="2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increase the revolving commitment from $150.0 million to $200.0 million; (ii) extend the maturity date from May 14, 2026 to July 8, 2027; (iii) amend the pricing index to replace BSBY with the Term Secured Overnight Financing Rate; and (iv) reduce the commitment fee in some instances.</w:t>
      </w:r>
    </w:p>
    <w:p>
      <w:pPr>
        <w:sectPr>
          <w:pgSz w:w="11880" w:h="15480" w:orient="portrait"/>
          <w:cols w:equalWidth="0" w:num="1">
            <w:col w:w="10246"/>
          </w:cols>
          <w:pgMar w:left="814" w:top="226" w:right="820" w:bottom="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1E1E1E"/>
        </w:rPr>
        <w:t>55</w:t>
      </w:r>
    </w:p>
    <w:p>
      <w:pPr>
        <w:sectPr>
          <w:pgSz w:w="11880" w:h="15480" w:orient="portrait"/>
          <w:cols w:equalWidth="0" w:num="1">
            <w:col w:w="10246"/>
          </w:cols>
          <w:pgMar w:left="814" w:top="226" w:right="820" w:bottom="0" w:gutter="0" w:footer="0" w:header="0"/>
          <w:type w:val="continuous"/>
        </w:sectPr>
      </w:pPr>
    </w:p>
    <w:bookmarkStart w:id="61" w:name="page62"/>
    <w:bookmarkEnd w:id="61"/>
    <w:p>
      <w:pPr>
        <w:jc w:val="center"/>
        <w:ind w:right="-5"/>
        <w:spacing w:after="0"/>
        <w:rPr>
          <w:sz w:val="20"/>
          <w:szCs w:val="20"/>
          <w:color w:val="auto"/>
        </w:rPr>
      </w:pPr>
      <w:r>
        <w:rPr>
          <w:rFonts w:ascii="Times New Roman" w:cs="Times New Roman" w:eastAsia="Times New Roman" w:hAnsi="Times New Roman"/>
          <w:sz w:val="20"/>
          <w:szCs w:val="20"/>
          <w:b w:val="1"/>
          <w:bCs w:val="1"/>
          <w:color w:val="1E1E1E"/>
        </w:rPr>
        <w:t>DULUTH HOLDINGS INC.</w:t>
      </w:r>
    </w:p>
    <w:p>
      <w:pPr>
        <w:jc w:val="center"/>
        <w:ind w:right="-5"/>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w:t>
      </w:r>
    </w:p>
    <w:p>
      <w:pPr>
        <w:spacing w:after="0" w:line="234" w:lineRule="exact"/>
        <w:rPr>
          <w:sz w:val="20"/>
          <w:szCs w:val="20"/>
          <w:color w:val="auto"/>
        </w:rPr>
      </w:pPr>
    </w:p>
    <w:p>
      <w:pPr>
        <w:ind w:left="6" w:right="40" w:firstLine="490"/>
        <w:spacing w:after="0" w:line="251" w:lineRule="auto"/>
        <w:rPr>
          <w:sz w:val="20"/>
          <w:szCs w:val="20"/>
          <w:color w:val="auto"/>
        </w:rPr>
      </w:pPr>
      <w:r>
        <w:rPr>
          <w:rFonts w:ascii="Times New Roman" w:cs="Times New Roman" w:eastAsia="Times New Roman" w:hAnsi="Times New Roman"/>
          <w:sz w:val="19"/>
          <w:szCs w:val="19"/>
          <w:color w:val="1E1E1E"/>
        </w:rPr>
        <w:t>On January 31, 2025, the Company entered into the Second Amendment to the Credit Agreement (the “Second Amendment”), which was treated as an extinguishment for accounting purposes. The Second Amendment amends the Credit Agreement in order to (i) decrease the revolving commitment from $200.0 million to $100.0 million (ii) revise the definition of “Applicable Rate” to provide for pricing terms in the event of a Rent Adjusted Leverage Ratio greater than or equal to 3.50:1.0;</w:t>
      </w:r>
    </w:p>
    <w:p>
      <w:pPr>
        <w:spacing w:after="0" w:line="3" w:lineRule="exact"/>
        <w:rPr>
          <w:sz w:val="20"/>
          <w:szCs w:val="20"/>
          <w:color w:val="auto"/>
        </w:rPr>
      </w:pPr>
    </w:p>
    <w:p>
      <w:pPr>
        <w:ind w:left="6" w:right="60" w:hanging="6"/>
        <w:spacing w:after="0" w:line="248" w:lineRule="auto"/>
        <w:tabs>
          <w:tab w:leader="none" w:pos="356" w:val="left"/>
        </w:tabs>
        <w:numPr>
          <w:ilvl w:val="0"/>
          <w:numId w:val="2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limit the exceptions to the prohibition on restricted payments to (a) making dividends or distributions by any subsidiary to the Company, and (b) the acquisition of equity interests in satisfaction of tax withholding obligations associated with restricted stock or awards under employee incentive plans; and (iv) provide that the Maximum Rent Adjusted Leverage Ratio and the Minimum Fixed Charge Coverage Ratio will be measured commencing on the fiscal quarter ending May 2, 2021 and measured quarterly thereafter as of the last day of each fiscal quarter of the Company (other than for the fiscal quarter ending February 2, 2025).</w:t>
      </w:r>
    </w:p>
    <w:p>
      <w:pPr>
        <w:spacing w:after="0" w:line="200" w:lineRule="exact"/>
        <w:rPr>
          <w:sz w:val="20"/>
          <w:szCs w:val="20"/>
          <w:color w:val="auto"/>
        </w:rPr>
      </w:pPr>
    </w:p>
    <w:p>
      <w:pPr>
        <w:spacing w:after="0" w:line="233" w:lineRule="exact"/>
        <w:rPr>
          <w:sz w:val="20"/>
          <w:szCs w:val="20"/>
          <w:color w:val="auto"/>
        </w:rPr>
      </w:pPr>
    </w:p>
    <w:p>
      <w:pPr>
        <w:ind w:left="486" w:right="4100" w:hanging="486"/>
        <w:spacing w:after="0" w:line="534" w:lineRule="auto"/>
        <w:tabs>
          <w:tab w:leader="none" w:pos="317" w:val="left"/>
        </w:tabs>
        <w:numPr>
          <w:ilvl w:val="0"/>
          <w:numId w:val="28"/>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 xml:space="preserve">ACCRUED EXPENSES AND OTHER CURRENT LIABILITIES </w:t>
      </w:r>
      <w:r>
        <w:rPr>
          <w:rFonts w:ascii="Times New Roman" w:cs="Times New Roman" w:eastAsia="Times New Roman" w:hAnsi="Times New Roman"/>
          <w:sz w:val="19"/>
          <w:szCs w:val="19"/>
          <w:color w:val="1E1E1E"/>
        </w:rPr>
        <w:t>Accrued expenses and other current liabilities consist of the following:</w:t>
      </w:r>
    </w:p>
    <w:p>
      <w:pPr>
        <w:spacing w:after="0" w:line="9" w:lineRule="exact"/>
        <w:rPr>
          <w:sz w:val="20"/>
          <w:szCs w:val="20"/>
          <w:color w:val="auto"/>
        </w:rPr>
      </w:pPr>
    </w:p>
    <w:tbl>
      <w:tblPr>
        <w:tblLayout w:type="fixed"/>
        <w:tblInd w:w="6" w:type="dxa"/>
        <w:tblCellMar>
          <w:top w:w="0" w:type="dxa"/>
          <w:left w:w="0" w:type="dxa"/>
          <w:bottom w:w="0" w:type="dxa"/>
          <w:right w:w="0" w:type="dxa"/>
        </w:tblCellMar>
      </w:tblPr>
      <w:tr>
        <w:trPr>
          <w:trHeight w:val="206"/>
        </w:trPr>
        <w:tc>
          <w:tcPr>
            <w:tcW w:w="7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1380" w:type="dxa"/>
            <w:vAlign w:val="bottom"/>
            <w:tcBorders>
              <w:bottom w:val="single" w:sz="8" w:color="1E1E1E"/>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1E1E1E"/>
              </w:rPr>
              <w:t>February 2, 2025</w:t>
            </w:r>
          </w:p>
        </w:tc>
        <w:tc>
          <w:tcPr>
            <w:tcW w:w="180" w:type="dxa"/>
            <w:vAlign w:val="bottom"/>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1380" w:type="dxa"/>
            <w:vAlign w:val="bottom"/>
            <w:tcBorders>
              <w:bottom w:val="single" w:sz="8" w:color="1E1E1E"/>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1E1E1E"/>
              </w:rPr>
              <w:t>January 28, 2024</w:t>
            </w:r>
          </w:p>
        </w:tc>
      </w:tr>
      <w:tr>
        <w:trPr>
          <w:trHeight w:val="220"/>
        </w:trPr>
        <w:tc>
          <w:tcPr>
            <w:tcW w:w="70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1E1E1E"/>
              </w:rPr>
              <w:t>(in thousands)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0"/>
        </w:trPr>
        <w:tc>
          <w:tcPr>
            <w:tcW w:w="70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Salaries and benefits</w:t>
            </w:r>
          </w:p>
        </w:tc>
        <w:tc>
          <w:tcPr>
            <w:tcW w:w="20" w:type="dxa"/>
            <w:vAlign w:val="bottom"/>
            <w:shd w:val="clear" w:color="auto" w:fill="E2E2E2"/>
          </w:tcPr>
          <w:p>
            <w:pPr>
              <w:spacing w:after="0"/>
              <w:rPr>
                <w:sz w:val="20"/>
                <w:szCs w:val="20"/>
                <w:color w:val="auto"/>
              </w:rPr>
            </w:pP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3,897</w:t>
            </w:r>
          </w:p>
        </w:tc>
        <w:tc>
          <w:tcPr>
            <w:tcW w:w="180" w:type="dxa"/>
            <w:vAlign w:val="bottom"/>
            <w:shd w:val="clear" w:color="auto" w:fill="E2E2E2"/>
          </w:tcPr>
          <w:p>
            <w:pPr>
              <w:spacing w:after="0"/>
              <w:rPr>
                <w:sz w:val="20"/>
                <w:szCs w:val="20"/>
                <w:color w:val="auto"/>
              </w:rPr>
            </w:pP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79"/>
                <w:shd w:val="clear" w:color="auto" w:fill="E2E2E2"/>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2,692</w:t>
            </w:r>
          </w:p>
        </w:tc>
      </w:tr>
      <w:tr>
        <w:trPr>
          <w:trHeight w:val="240"/>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1E1E1E"/>
              </w:rPr>
              <w:t>Deferred revenue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9,783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9,579</w:t>
            </w:r>
          </w:p>
        </w:tc>
      </w:tr>
      <w:tr>
        <w:trPr>
          <w:trHeight w:val="240"/>
        </w:trPr>
        <w:tc>
          <w:tcPr>
            <w:tcW w:w="70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Freight</w:t>
            </w:r>
          </w:p>
        </w:tc>
        <w:tc>
          <w:tcPr>
            <w:tcW w:w="20" w:type="dxa"/>
            <w:vAlign w:val="bottom"/>
            <w:shd w:val="clear" w:color="auto" w:fill="E2E2E2"/>
          </w:tcPr>
          <w:p>
            <w:pPr>
              <w:spacing w:after="0"/>
              <w:rPr>
                <w:sz w:val="20"/>
                <w:szCs w:val="20"/>
                <w:color w:val="auto"/>
              </w:rPr>
            </w:pPr>
          </w:p>
        </w:tc>
        <w:tc>
          <w:tcPr>
            <w:tcW w:w="140" w:type="dxa"/>
            <w:vAlign w:val="bottom"/>
            <w:shd w:val="clear" w:color="auto" w:fill="E2E2E2"/>
          </w:tcPr>
          <w:p>
            <w:pPr>
              <w:spacing w:after="0"/>
              <w:rPr>
                <w:sz w:val="20"/>
                <w:szCs w:val="20"/>
                <w:color w:val="auto"/>
              </w:rPr>
            </w:pP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2,495</w:t>
            </w:r>
          </w:p>
        </w:tc>
        <w:tc>
          <w:tcPr>
            <w:tcW w:w="180" w:type="dxa"/>
            <w:vAlign w:val="bottom"/>
            <w:shd w:val="clear" w:color="auto" w:fill="E2E2E2"/>
          </w:tcPr>
          <w:p>
            <w:pPr>
              <w:spacing w:after="0"/>
              <w:rPr>
                <w:sz w:val="20"/>
                <w:szCs w:val="20"/>
                <w:color w:val="auto"/>
              </w:rPr>
            </w:pPr>
          </w:p>
        </w:tc>
        <w:tc>
          <w:tcPr>
            <w:tcW w:w="140" w:type="dxa"/>
            <w:vAlign w:val="bottom"/>
            <w:shd w:val="clear" w:color="auto" w:fill="E2E2E2"/>
          </w:tcPr>
          <w:p>
            <w:pPr>
              <w:spacing w:after="0"/>
              <w:rPr>
                <w:sz w:val="20"/>
                <w:szCs w:val="20"/>
                <w:color w:val="auto"/>
              </w:rPr>
            </w:pP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4,001</w:t>
            </w:r>
          </w:p>
        </w:tc>
      </w:tr>
      <w:tr>
        <w:trPr>
          <w:trHeight w:val="240"/>
        </w:trPr>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Product returns</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4,568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5,541</w:t>
            </w:r>
          </w:p>
        </w:tc>
      </w:tr>
      <w:tr>
        <w:trPr>
          <w:trHeight w:val="240"/>
        </w:trPr>
        <w:tc>
          <w:tcPr>
            <w:tcW w:w="70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Unpaid purchases of property &amp; equipment</w:t>
            </w:r>
          </w:p>
        </w:tc>
        <w:tc>
          <w:tcPr>
            <w:tcW w:w="20" w:type="dxa"/>
            <w:vAlign w:val="bottom"/>
            <w:shd w:val="clear" w:color="auto" w:fill="E2E2E2"/>
          </w:tcPr>
          <w:p>
            <w:pPr>
              <w:spacing w:after="0"/>
              <w:rPr>
                <w:sz w:val="20"/>
                <w:szCs w:val="20"/>
                <w:color w:val="auto"/>
              </w:rPr>
            </w:pPr>
          </w:p>
        </w:tc>
        <w:tc>
          <w:tcPr>
            <w:tcW w:w="140" w:type="dxa"/>
            <w:vAlign w:val="bottom"/>
            <w:shd w:val="clear" w:color="auto" w:fill="E2E2E2"/>
          </w:tcPr>
          <w:p>
            <w:pPr>
              <w:spacing w:after="0"/>
              <w:rPr>
                <w:sz w:val="20"/>
                <w:szCs w:val="20"/>
                <w:color w:val="auto"/>
              </w:rPr>
            </w:pP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1,264</w:t>
            </w:r>
          </w:p>
        </w:tc>
        <w:tc>
          <w:tcPr>
            <w:tcW w:w="180" w:type="dxa"/>
            <w:vAlign w:val="bottom"/>
            <w:shd w:val="clear" w:color="auto" w:fill="E2E2E2"/>
          </w:tcPr>
          <w:p>
            <w:pPr>
              <w:spacing w:after="0"/>
              <w:rPr>
                <w:sz w:val="20"/>
                <w:szCs w:val="20"/>
                <w:color w:val="auto"/>
              </w:rPr>
            </w:pPr>
          </w:p>
        </w:tc>
        <w:tc>
          <w:tcPr>
            <w:tcW w:w="140" w:type="dxa"/>
            <w:vAlign w:val="bottom"/>
            <w:shd w:val="clear" w:color="auto" w:fill="E2E2E2"/>
          </w:tcPr>
          <w:p>
            <w:pPr>
              <w:spacing w:after="0"/>
              <w:rPr>
                <w:sz w:val="20"/>
                <w:szCs w:val="20"/>
                <w:color w:val="auto"/>
              </w:rPr>
            </w:pP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765</w:t>
            </w:r>
          </w:p>
        </w:tc>
      </w:tr>
      <w:tr>
        <w:trPr>
          <w:trHeight w:val="240"/>
        </w:trPr>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Accrued advertising</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929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1,129</w:t>
            </w:r>
          </w:p>
        </w:tc>
      </w:tr>
      <w:tr>
        <w:trPr>
          <w:trHeight w:val="240"/>
        </w:trPr>
        <w:tc>
          <w:tcPr>
            <w:tcW w:w="70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Other</w:t>
            </w:r>
          </w:p>
        </w:tc>
        <w:tc>
          <w:tcPr>
            <w:tcW w:w="20" w:type="dxa"/>
            <w:vAlign w:val="bottom"/>
            <w:shd w:val="clear" w:color="auto" w:fill="E2E2E2"/>
          </w:tcPr>
          <w:p>
            <w:pPr>
              <w:spacing w:after="0"/>
              <w:rPr>
                <w:sz w:val="20"/>
                <w:szCs w:val="20"/>
                <w:color w:val="auto"/>
              </w:rPr>
            </w:pPr>
          </w:p>
        </w:tc>
        <w:tc>
          <w:tcPr>
            <w:tcW w:w="140" w:type="dxa"/>
            <w:vAlign w:val="bottom"/>
            <w:tcBorders>
              <w:bottom w:val="single" w:sz="8" w:color="1E1E1E"/>
            </w:tcBorders>
            <w:shd w:val="clear" w:color="auto" w:fill="E2E2E2"/>
          </w:tcPr>
          <w:p>
            <w:pPr>
              <w:spacing w:after="0"/>
              <w:rPr>
                <w:sz w:val="20"/>
                <w:szCs w:val="20"/>
                <w:color w:val="auto"/>
              </w:rPr>
            </w:pPr>
          </w:p>
        </w:tc>
        <w:tc>
          <w:tcPr>
            <w:tcW w:w="13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12,748</w:t>
            </w:r>
          </w:p>
        </w:tc>
        <w:tc>
          <w:tcPr>
            <w:tcW w:w="180" w:type="dxa"/>
            <w:vAlign w:val="bottom"/>
            <w:shd w:val="clear" w:color="auto" w:fill="E2E2E2"/>
          </w:tcPr>
          <w:p>
            <w:pPr>
              <w:spacing w:after="0"/>
              <w:rPr>
                <w:sz w:val="20"/>
                <w:szCs w:val="20"/>
                <w:color w:val="auto"/>
              </w:rPr>
            </w:pPr>
          </w:p>
        </w:tc>
        <w:tc>
          <w:tcPr>
            <w:tcW w:w="140" w:type="dxa"/>
            <w:vAlign w:val="bottom"/>
            <w:tcBorders>
              <w:bottom w:val="single" w:sz="8" w:color="1E1E1E"/>
            </w:tcBorders>
            <w:shd w:val="clear" w:color="auto" w:fill="E2E2E2"/>
          </w:tcPr>
          <w:p>
            <w:pPr>
              <w:spacing w:after="0"/>
              <w:rPr>
                <w:sz w:val="20"/>
                <w:szCs w:val="20"/>
                <w:color w:val="auto"/>
              </w:rPr>
            </w:pPr>
          </w:p>
        </w:tc>
        <w:tc>
          <w:tcPr>
            <w:tcW w:w="13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10,404</w:t>
            </w:r>
          </w:p>
        </w:tc>
      </w:tr>
      <w:tr>
        <w:trPr>
          <w:trHeight w:val="229"/>
        </w:trPr>
        <w:tc>
          <w:tcPr>
            <w:tcW w:w="70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Total accrued expenses and other current liabilities</w:t>
            </w:r>
          </w:p>
        </w:tc>
        <w:tc>
          <w:tcPr>
            <w:tcW w:w="20" w:type="dxa"/>
            <w:vAlign w:val="bottom"/>
            <w:tcBorders>
              <w:bottom w:val="single" w:sz="8" w:color="1E1E1E"/>
            </w:tcBorders>
          </w:tcPr>
          <w:p>
            <w:pPr>
              <w:spacing w:after="0"/>
              <w:rPr>
                <w:sz w:val="19"/>
                <w:szCs w:val="19"/>
                <w:color w:val="auto"/>
              </w:rPr>
            </w:pPr>
          </w:p>
        </w:tc>
        <w:tc>
          <w:tcPr>
            <w:tcW w:w="14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38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35,684</w:t>
            </w:r>
          </w:p>
        </w:tc>
        <w:tc>
          <w:tcPr>
            <w:tcW w:w="180" w:type="dxa"/>
            <w:vAlign w:val="bottom"/>
          </w:tcPr>
          <w:p>
            <w:pPr>
              <w:spacing w:after="0"/>
              <w:rPr>
                <w:sz w:val="19"/>
                <w:szCs w:val="19"/>
                <w:color w:val="auto"/>
              </w:rPr>
            </w:pPr>
          </w:p>
        </w:tc>
        <w:tc>
          <w:tcPr>
            <w:tcW w:w="14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38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34,111</w:t>
            </w:r>
          </w:p>
        </w:tc>
      </w:tr>
    </w:tbl>
    <w:p>
      <w:pPr>
        <w:spacing w:after="0" w:line="200" w:lineRule="exact"/>
        <w:rPr>
          <w:sz w:val="20"/>
          <w:szCs w:val="20"/>
          <w:color w:val="auto"/>
        </w:rPr>
      </w:pPr>
    </w:p>
    <w:p>
      <w:pPr>
        <w:spacing w:after="0" w:line="350" w:lineRule="exact"/>
        <w:rPr>
          <w:sz w:val="20"/>
          <w:szCs w:val="20"/>
          <w:color w:val="auto"/>
        </w:rPr>
      </w:pPr>
    </w:p>
    <w:p>
      <w:pPr>
        <w:ind w:left="6"/>
        <w:spacing w:after="0"/>
        <w:tabs>
          <w:tab w:leader="none" w:pos="306" w:val="left"/>
        </w:tabs>
        <w:rPr>
          <w:sz w:val="20"/>
          <w:szCs w:val="20"/>
          <w:color w:val="auto"/>
        </w:rPr>
      </w:pPr>
      <w:r>
        <w:rPr>
          <w:rFonts w:ascii="Times New Roman" w:cs="Times New Roman" w:eastAsia="Times New Roman" w:hAnsi="Times New Roman"/>
          <w:sz w:val="20"/>
          <w:szCs w:val="20"/>
          <w:b w:val="1"/>
          <w:bCs w:val="1"/>
          <w:color w:val="1E1E1E"/>
        </w:rPr>
        <w:t>6.</w:t>
      </w:r>
      <w:r>
        <w:rPr>
          <w:sz w:val="20"/>
          <w:szCs w:val="20"/>
          <w:color w:val="auto"/>
        </w:rPr>
        <w:tab/>
      </w:r>
      <w:r>
        <w:rPr>
          <w:rFonts w:ascii="Times New Roman" w:cs="Times New Roman" w:eastAsia="Times New Roman" w:hAnsi="Times New Roman"/>
          <w:sz w:val="19"/>
          <w:szCs w:val="19"/>
          <w:b w:val="1"/>
          <w:bCs w:val="1"/>
          <w:color w:val="1E1E1E"/>
        </w:rPr>
        <w:t>VARIABLE INTEREST ENTITIES</w:t>
      </w:r>
    </w:p>
    <w:p>
      <w:pPr>
        <w:spacing w:after="0" w:line="200" w:lineRule="exact"/>
        <w:rPr>
          <w:sz w:val="20"/>
          <w:szCs w:val="20"/>
          <w:color w:val="auto"/>
        </w:rPr>
      </w:pPr>
    </w:p>
    <w:p>
      <w:pPr>
        <w:ind w:left="6" w:right="20" w:firstLine="490"/>
        <w:spacing w:after="0"/>
        <w:rPr>
          <w:sz w:val="20"/>
          <w:szCs w:val="20"/>
          <w:color w:val="auto"/>
        </w:rPr>
      </w:pPr>
      <w:r>
        <w:rPr>
          <w:rFonts w:ascii="Times New Roman" w:cs="Times New Roman" w:eastAsia="Times New Roman" w:hAnsi="Times New Roman"/>
          <w:sz w:val="20"/>
          <w:szCs w:val="20"/>
          <w:color w:val="1E1E1E"/>
        </w:rPr>
        <w:t xml:space="preserve">Based upon the criteria set forth in ASC 810, </w:t>
      </w:r>
      <w:r>
        <w:rPr>
          <w:rFonts w:ascii="Times New Roman" w:cs="Times New Roman" w:eastAsia="Times New Roman" w:hAnsi="Times New Roman"/>
          <w:sz w:val="20"/>
          <w:szCs w:val="20"/>
          <w:i w:val="1"/>
          <w:iCs w:val="1"/>
          <w:color w:val="1E1E1E"/>
        </w:rPr>
        <w:t>Consolidation</w:t>
      </w:r>
      <w:r>
        <w:rPr>
          <w:rFonts w:ascii="Times New Roman" w:cs="Times New Roman" w:eastAsia="Times New Roman" w:hAnsi="Times New Roman"/>
          <w:sz w:val="20"/>
          <w:szCs w:val="20"/>
          <w:color w:val="1E1E1E"/>
        </w:rPr>
        <w:t>, the Company consolidates variable interest entities (“VIEs”) in which it has a controlling financial interest and is therefore deemed the primary beneficiary. A controlling financial interest will have both of the following characteristics: (a) the power to direct the VIE activities that most significantly impact economic performance; and (b) the obligation to absorb the VIE losses and the right to receive benefits that are significant to the VIE. The Company has determined that it was the primary beneficiary of one VIE as of February 2, 2025 and January 28, 2024.</w:t>
      </w:r>
    </w:p>
    <w:p>
      <w:pPr>
        <w:spacing w:after="0" w:line="3" w:lineRule="exact"/>
        <w:rPr>
          <w:sz w:val="20"/>
          <w:szCs w:val="20"/>
          <w:color w:val="auto"/>
        </w:rPr>
      </w:pPr>
    </w:p>
    <w:p>
      <w:pPr>
        <w:ind w:left="6" w:right="140" w:firstLine="720"/>
        <w:spacing w:after="0" w:line="246" w:lineRule="auto"/>
        <w:rPr>
          <w:sz w:val="20"/>
          <w:szCs w:val="20"/>
          <w:color w:val="auto"/>
        </w:rPr>
      </w:pPr>
      <w:r>
        <w:rPr>
          <w:rFonts w:ascii="Times New Roman" w:cs="Times New Roman" w:eastAsia="Times New Roman" w:hAnsi="Times New Roman"/>
          <w:sz w:val="20"/>
          <w:szCs w:val="20"/>
          <w:color w:val="1E1E1E"/>
        </w:rPr>
        <w:t>The Company leases the Company’s headquarters in Mt. Horeb, Wisconsin from TRI. In conjunction with the lease, the Company originally invested $6.3 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 primary beneficiary, it consolidates TRI and the lease is eliminated in consolidation. The Company does not consolidate the trust as the Company is not the primary beneficiary.</w:t>
      </w:r>
    </w:p>
    <w:p>
      <w:pPr>
        <w:sectPr>
          <w:pgSz w:w="11880" w:h="15480" w:orient="portrait"/>
          <w:cols w:equalWidth="0" w:num="1">
            <w:col w:w="10246"/>
          </w:cols>
          <w:pgMar w:left="814" w:top="22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1E1E1E"/>
        </w:rPr>
        <w:t>56</w:t>
      </w:r>
    </w:p>
    <w:p>
      <w:pPr>
        <w:sectPr>
          <w:pgSz w:w="11880" w:h="15480" w:orient="portrait"/>
          <w:cols w:equalWidth="0" w:num="1">
            <w:col w:w="10246"/>
          </w:cols>
          <w:pgMar w:left="814" w:top="226" w:right="820" w:bottom="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1E1E1E"/>
        </w:rPr>
        <w:t>DULUTH HOLDINGS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w:t>
      </w:r>
    </w:p>
    <w:p>
      <w:pPr>
        <w:spacing w:after="0" w:line="234" w:lineRule="exact"/>
        <w:rPr>
          <w:sz w:val="20"/>
          <w:szCs w:val="20"/>
          <w:color w:val="auto"/>
        </w:rPr>
      </w:pPr>
    </w:p>
    <w:p>
      <w:pPr>
        <w:ind w:right="100" w:firstLine="490"/>
        <w:spacing w:after="0" w:line="281" w:lineRule="auto"/>
        <w:rPr>
          <w:sz w:val="20"/>
          <w:szCs w:val="20"/>
          <w:color w:val="auto"/>
        </w:rPr>
      </w:pPr>
      <w:r>
        <w:rPr>
          <w:rFonts w:ascii="Times New Roman" w:cs="Times New Roman" w:eastAsia="Times New Roman" w:hAnsi="Times New Roman"/>
          <w:sz w:val="20"/>
          <w:szCs w:val="20"/>
          <w:color w:val="1E1E1E"/>
        </w:rPr>
        <w:t>The Consolidated Balance Sheets include the following amounts as a result of the consolidation of TRI as of February 2, 2025 and January 28, 2024.</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1440" w:type="dxa"/>
            <w:vAlign w:val="bottom"/>
            <w:tcBorders>
              <w:bottom w:val="single" w:sz="8" w:color="1E1E1E"/>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1E1E1E"/>
              </w:rPr>
              <w:t>February 2, 2025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1360" w:type="dxa"/>
            <w:vAlign w:val="bottom"/>
            <w:tcBorders>
              <w:bottom w:val="single" w:sz="8" w:color="1E1E1E"/>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1E1E1E"/>
              </w:rPr>
              <w:t>January 28, 2024</w:t>
            </w:r>
          </w:p>
        </w:tc>
      </w:tr>
      <w:tr>
        <w:trPr>
          <w:trHeight w:val="220"/>
        </w:trPr>
        <w:tc>
          <w:tcPr>
            <w:tcW w:w="696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1E1E1E"/>
              </w:rPr>
              <w:t>(in thousands)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0"/>
        </w:trPr>
        <w:tc>
          <w:tcPr>
            <w:tcW w:w="67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Cash</w:t>
            </w:r>
          </w:p>
        </w:tc>
        <w:tc>
          <w:tcPr>
            <w:tcW w:w="16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4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w:t>
            </w:r>
          </w:p>
        </w:tc>
        <w:tc>
          <w:tcPr>
            <w:tcW w:w="16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w:t>
            </w:r>
          </w:p>
        </w:tc>
      </w:tr>
      <w:tr>
        <w:trPr>
          <w:trHeight w:val="240"/>
        </w:trPr>
        <w:tc>
          <w:tcPr>
            <w:tcW w:w="678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1E1E1E"/>
              </w:rPr>
              <w:t>Property and equipment, net</w:t>
            </w:r>
          </w:p>
        </w:tc>
        <w:tc>
          <w:tcPr>
            <w:tcW w:w="160" w:type="dxa"/>
            <w:vAlign w:val="bottom"/>
            <w:tcBorders>
              <w:bottom w:val="single" w:sz="8" w:color="E2E2E2"/>
            </w:tcBorders>
          </w:tcPr>
          <w:p>
            <w:pPr>
              <w:spacing w:after="0"/>
              <w:rPr>
                <w:sz w:val="20"/>
                <w:szCs w:val="20"/>
                <w:color w:val="auto"/>
              </w:rPr>
            </w:pPr>
          </w:p>
        </w:tc>
        <w:tc>
          <w:tcPr>
            <w:tcW w:w="20" w:type="dxa"/>
            <w:vAlign w:val="bottom"/>
            <w:tcBorders>
              <w:bottom w:val="single" w:sz="8" w:color="E2E2E2"/>
            </w:tcBorders>
          </w:tcPr>
          <w:p>
            <w:pPr>
              <w:spacing w:after="0"/>
              <w:rPr>
                <w:sz w:val="20"/>
                <w:szCs w:val="20"/>
                <w:color w:val="auto"/>
              </w:rPr>
            </w:pPr>
          </w:p>
        </w:tc>
        <w:tc>
          <w:tcPr>
            <w:tcW w:w="160" w:type="dxa"/>
            <w:vAlign w:val="bottom"/>
            <w:tcBorders>
              <w:bottom w:val="single" w:sz="8" w:color="1E1E1E"/>
            </w:tcBorders>
          </w:tcPr>
          <w:p>
            <w:pPr>
              <w:spacing w:after="0"/>
              <w:rPr>
                <w:sz w:val="20"/>
                <w:szCs w:val="20"/>
                <w:color w:val="auto"/>
              </w:rPr>
            </w:pPr>
          </w:p>
        </w:tc>
        <w:tc>
          <w:tcPr>
            <w:tcW w:w="14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22,321</w:t>
            </w:r>
          </w:p>
        </w:tc>
        <w:tc>
          <w:tcPr>
            <w:tcW w:w="160" w:type="dxa"/>
            <w:vAlign w:val="bottom"/>
            <w:tcBorders>
              <w:bottom w:val="single" w:sz="8" w:color="E2E2E2"/>
            </w:tcBorders>
          </w:tcPr>
          <w:p>
            <w:pPr>
              <w:spacing w:after="0"/>
              <w:rPr>
                <w:sz w:val="20"/>
                <w:szCs w:val="20"/>
                <w:color w:val="auto"/>
              </w:rPr>
            </w:pPr>
          </w:p>
        </w:tc>
        <w:tc>
          <w:tcPr>
            <w:tcW w:w="20" w:type="dxa"/>
            <w:vAlign w:val="bottom"/>
            <w:tcBorders>
              <w:bottom w:val="single" w:sz="8" w:color="E2E2E2"/>
            </w:tcBorders>
          </w:tcPr>
          <w:p>
            <w:pPr>
              <w:spacing w:after="0"/>
              <w:rPr>
                <w:sz w:val="20"/>
                <w:szCs w:val="20"/>
                <w:color w:val="auto"/>
              </w:rPr>
            </w:pPr>
          </w:p>
        </w:tc>
        <w:tc>
          <w:tcPr>
            <w:tcW w:w="140" w:type="dxa"/>
            <w:vAlign w:val="bottom"/>
            <w:tcBorders>
              <w:bottom w:val="single" w:sz="8" w:color="1E1E1E"/>
            </w:tcBorders>
          </w:tcPr>
          <w:p>
            <w:pPr>
              <w:spacing w:after="0"/>
              <w:rPr>
                <w:sz w:val="20"/>
                <w:szCs w:val="20"/>
                <w:color w:val="auto"/>
              </w:rPr>
            </w:pPr>
          </w:p>
        </w:tc>
        <w:tc>
          <w:tcPr>
            <w:tcW w:w="13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22,941</w:t>
            </w:r>
          </w:p>
        </w:tc>
      </w:tr>
      <w:tr>
        <w:trPr>
          <w:trHeight w:val="229"/>
        </w:trPr>
        <w:tc>
          <w:tcPr>
            <w:tcW w:w="6780" w:type="dxa"/>
            <w:vAlign w:val="bottom"/>
            <w:shd w:val="clear" w:color="auto" w:fill="E2E2E2"/>
          </w:tcPr>
          <w:p>
            <w:pPr>
              <w:ind w:left="120"/>
              <w:spacing w:after="0" w:line="220" w:lineRule="exact"/>
              <w:rPr>
                <w:sz w:val="20"/>
                <w:szCs w:val="20"/>
                <w:color w:val="auto"/>
              </w:rPr>
            </w:pPr>
            <w:r>
              <w:rPr>
                <w:rFonts w:ascii="Times New Roman" w:cs="Times New Roman" w:eastAsia="Times New Roman" w:hAnsi="Times New Roman"/>
                <w:sz w:val="20"/>
                <w:szCs w:val="20"/>
                <w:color w:val="1E1E1E"/>
              </w:rPr>
              <w:t>Total assets</w:t>
            </w:r>
          </w:p>
        </w:tc>
        <w:tc>
          <w:tcPr>
            <w:tcW w:w="16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60" w:type="dxa"/>
            <w:vAlign w:val="bottom"/>
            <w:tcBorders>
              <w:bottom w:val="single" w:sz="8" w:color="1E1E1E"/>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440" w:type="dxa"/>
            <w:vAlign w:val="bottom"/>
            <w:tcBorders>
              <w:bottom w:val="single" w:sz="8" w:color="1E1E1E"/>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rPr>
              <w:t>22,332</w:t>
            </w:r>
          </w:p>
        </w:tc>
        <w:tc>
          <w:tcPr>
            <w:tcW w:w="16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40" w:type="dxa"/>
            <w:vAlign w:val="bottom"/>
            <w:tcBorders>
              <w:bottom w:val="single" w:sz="8" w:color="1E1E1E"/>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360" w:type="dxa"/>
            <w:vAlign w:val="bottom"/>
            <w:tcBorders>
              <w:bottom w:val="single" w:sz="8" w:color="1E1E1E"/>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rPr>
              <w:t>22,958</w:t>
            </w:r>
          </w:p>
        </w:tc>
      </w:tr>
      <w:tr>
        <w:trPr>
          <w:trHeight w:val="211"/>
        </w:trPr>
        <w:tc>
          <w:tcPr>
            <w:tcW w:w="69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0"/>
        </w:trPr>
        <w:tc>
          <w:tcPr>
            <w:tcW w:w="67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Other current liabilities</w:t>
            </w:r>
          </w:p>
        </w:tc>
        <w:tc>
          <w:tcPr>
            <w:tcW w:w="16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4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115</w:t>
            </w:r>
          </w:p>
        </w:tc>
        <w:tc>
          <w:tcPr>
            <w:tcW w:w="16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w:t>
            </w:r>
          </w:p>
        </w:tc>
      </w:tr>
      <w:tr>
        <w:trPr>
          <w:trHeight w:val="240"/>
        </w:trPr>
        <w:tc>
          <w:tcPr>
            <w:tcW w:w="696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Current maturities of TRI long-term debt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931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847</w:t>
            </w:r>
          </w:p>
        </w:tc>
      </w:tr>
      <w:tr>
        <w:trPr>
          <w:trHeight w:val="240"/>
        </w:trPr>
        <w:tc>
          <w:tcPr>
            <w:tcW w:w="67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TRI long-term debt</w:t>
            </w:r>
          </w:p>
        </w:tc>
        <w:tc>
          <w:tcPr>
            <w:tcW w:w="16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14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24,283</w:t>
            </w:r>
          </w:p>
        </w:tc>
        <w:tc>
          <w:tcPr>
            <w:tcW w:w="16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40" w:type="dxa"/>
            <w:vAlign w:val="bottom"/>
            <w:shd w:val="clear" w:color="auto" w:fill="E2E2E2"/>
          </w:tcPr>
          <w:p>
            <w:pPr>
              <w:spacing w:after="0"/>
              <w:rPr>
                <w:sz w:val="20"/>
                <w:szCs w:val="20"/>
                <w:color w:val="auto"/>
              </w:rPr>
            </w:pP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25,141</w:t>
            </w:r>
          </w:p>
        </w:tc>
      </w:tr>
      <w:tr>
        <w:trPr>
          <w:trHeight w:val="240"/>
        </w:trPr>
        <w:tc>
          <w:tcPr>
            <w:tcW w:w="6960" w:type="dxa"/>
            <w:vAlign w:val="bottom"/>
            <w:tcBorders>
              <w:bottom w:val="single" w:sz="8" w:color="E2E2E2"/>
            </w:tcBorders>
            <w:gridSpan w:val="3"/>
          </w:tcPr>
          <w:p>
            <w:pPr>
              <w:spacing w:after="0"/>
              <w:rPr>
                <w:sz w:val="20"/>
                <w:szCs w:val="20"/>
                <w:color w:val="auto"/>
              </w:rPr>
            </w:pPr>
            <w:r>
              <w:rPr>
                <w:rFonts w:ascii="Times New Roman" w:cs="Times New Roman" w:eastAsia="Times New Roman" w:hAnsi="Times New Roman"/>
                <w:sz w:val="20"/>
                <w:szCs w:val="20"/>
                <w:color w:val="1E1E1E"/>
              </w:rPr>
              <w:t>Noncontrolling interest in VIE</w:t>
            </w:r>
          </w:p>
        </w:tc>
        <w:tc>
          <w:tcPr>
            <w:tcW w:w="160" w:type="dxa"/>
            <w:vAlign w:val="bottom"/>
            <w:tcBorders>
              <w:bottom w:val="single" w:sz="8" w:color="1E1E1E"/>
            </w:tcBorders>
          </w:tcPr>
          <w:p>
            <w:pPr>
              <w:spacing w:after="0"/>
              <w:rPr>
                <w:sz w:val="20"/>
                <w:szCs w:val="20"/>
                <w:color w:val="auto"/>
              </w:rPr>
            </w:pPr>
          </w:p>
        </w:tc>
        <w:tc>
          <w:tcPr>
            <w:tcW w:w="14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(2,997)</w:t>
            </w:r>
          </w:p>
        </w:tc>
        <w:tc>
          <w:tcPr>
            <w:tcW w:w="160" w:type="dxa"/>
            <w:vAlign w:val="bottom"/>
            <w:tcBorders>
              <w:bottom w:val="single" w:sz="8" w:color="E2E2E2"/>
            </w:tcBorders>
          </w:tcPr>
          <w:p>
            <w:pPr>
              <w:spacing w:after="0"/>
              <w:rPr>
                <w:sz w:val="20"/>
                <w:szCs w:val="20"/>
                <w:color w:val="auto"/>
              </w:rPr>
            </w:pPr>
          </w:p>
        </w:tc>
        <w:tc>
          <w:tcPr>
            <w:tcW w:w="20" w:type="dxa"/>
            <w:vAlign w:val="bottom"/>
            <w:tcBorders>
              <w:bottom w:val="single" w:sz="8" w:color="E2E2E2"/>
            </w:tcBorders>
          </w:tcPr>
          <w:p>
            <w:pPr>
              <w:spacing w:after="0"/>
              <w:rPr>
                <w:sz w:val="20"/>
                <w:szCs w:val="20"/>
                <w:color w:val="auto"/>
              </w:rPr>
            </w:pPr>
          </w:p>
        </w:tc>
        <w:tc>
          <w:tcPr>
            <w:tcW w:w="140" w:type="dxa"/>
            <w:vAlign w:val="bottom"/>
            <w:tcBorders>
              <w:bottom w:val="single" w:sz="8" w:color="1E1E1E"/>
            </w:tcBorders>
          </w:tcPr>
          <w:p>
            <w:pPr>
              <w:spacing w:after="0"/>
              <w:rPr>
                <w:sz w:val="20"/>
                <w:szCs w:val="20"/>
                <w:color w:val="auto"/>
              </w:rPr>
            </w:pPr>
          </w:p>
        </w:tc>
        <w:tc>
          <w:tcPr>
            <w:tcW w:w="13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(3,056)</w:t>
            </w:r>
          </w:p>
        </w:tc>
      </w:tr>
      <w:tr>
        <w:trPr>
          <w:trHeight w:val="229"/>
        </w:trPr>
        <w:tc>
          <w:tcPr>
            <w:tcW w:w="6780" w:type="dxa"/>
            <w:vAlign w:val="bottom"/>
            <w:shd w:val="clear" w:color="auto" w:fill="E2E2E2"/>
          </w:tcPr>
          <w:p>
            <w:pPr>
              <w:ind w:left="120"/>
              <w:spacing w:after="0" w:line="220" w:lineRule="exact"/>
              <w:rPr>
                <w:sz w:val="20"/>
                <w:szCs w:val="20"/>
                <w:color w:val="auto"/>
              </w:rPr>
            </w:pPr>
            <w:r>
              <w:rPr>
                <w:rFonts w:ascii="Times New Roman" w:cs="Times New Roman" w:eastAsia="Times New Roman" w:hAnsi="Times New Roman"/>
                <w:sz w:val="20"/>
                <w:szCs w:val="20"/>
                <w:color w:val="1E1E1E"/>
              </w:rPr>
              <w:t>Total liabilities and shareholders' equity</w:t>
            </w:r>
          </w:p>
        </w:tc>
        <w:tc>
          <w:tcPr>
            <w:tcW w:w="160" w:type="dxa"/>
            <w:vAlign w:val="bottom"/>
            <w:shd w:val="clear" w:color="auto" w:fill="E2E2E2"/>
          </w:tcPr>
          <w:p>
            <w:pPr>
              <w:spacing w:after="0"/>
              <w:rPr>
                <w:sz w:val="19"/>
                <w:szCs w:val="19"/>
                <w:color w:val="auto"/>
              </w:rPr>
            </w:pPr>
          </w:p>
        </w:tc>
        <w:tc>
          <w:tcPr>
            <w:tcW w:w="20" w:type="dxa"/>
            <w:vAlign w:val="bottom"/>
            <w:tcBorders>
              <w:bottom w:val="single" w:sz="8" w:color="1E1E1E"/>
            </w:tcBorders>
            <w:shd w:val="clear" w:color="auto" w:fill="E2E2E2"/>
          </w:tcPr>
          <w:p>
            <w:pPr>
              <w:spacing w:after="0"/>
              <w:rPr>
                <w:sz w:val="19"/>
                <w:szCs w:val="19"/>
                <w:color w:val="auto"/>
              </w:rPr>
            </w:pPr>
          </w:p>
        </w:tc>
        <w:tc>
          <w:tcPr>
            <w:tcW w:w="160" w:type="dxa"/>
            <w:vAlign w:val="bottom"/>
            <w:tcBorders>
              <w:bottom w:val="single" w:sz="8" w:color="1E1E1E"/>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440" w:type="dxa"/>
            <w:vAlign w:val="bottom"/>
            <w:tcBorders>
              <w:bottom w:val="single" w:sz="8" w:color="1E1E1E"/>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rPr>
              <w:t>22,332</w:t>
            </w:r>
          </w:p>
        </w:tc>
        <w:tc>
          <w:tcPr>
            <w:tcW w:w="160" w:type="dxa"/>
            <w:vAlign w:val="bottom"/>
            <w:shd w:val="clear" w:color="auto" w:fill="E2E2E2"/>
          </w:tcPr>
          <w:p>
            <w:pPr>
              <w:spacing w:after="0"/>
              <w:rPr>
                <w:sz w:val="19"/>
                <w:szCs w:val="19"/>
                <w:color w:val="auto"/>
              </w:rPr>
            </w:pPr>
          </w:p>
        </w:tc>
        <w:tc>
          <w:tcPr>
            <w:tcW w:w="20" w:type="dxa"/>
            <w:vAlign w:val="bottom"/>
            <w:tcBorders>
              <w:bottom w:val="single" w:sz="8" w:color="1E1E1E"/>
            </w:tcBorders>
            <w:shd w:val="clear" w:color="auto" w:fill="E2E2E2"/>
          </w:tcPr>
          <w:p>
            <w:pPr>
              <w:spacing w:after="0"/>
              <w:rPr>
                <w:sz w:val="19"/>
                <w:szCs w:val="19"/>
                <w:color w:val="auto"/>
              </w:rPr>
            </w:pPr>
          </w:p>
        </w:tc>
        <w:tc>
          <w:tcPr>
            <w:tcW w:w="140" w:type="dxa"/>
            <w:vAlign w:val="bottom"/>
            <w:tcBorders>
              <w:bottom w:val="single" w:sz="8" w:color="1E1E1E"/>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360" w:type="dxa"/>
            <w:vAlign w:val="bottom"/>
            <w:tcBorders>
              <w:bottom w:val="single" w:sz="8" w:color="1E1E1E"/>
            </w:tcBorders>
            <w:shd w:val="clear" w:color="auto" w:fill="E2E2E2"/>
          </w:tcPr>
          <w:p>
            <w:pPr>
              <w:jc w:val="right"/>
              <w:spacing w:after="0" w:line="220" w:lineRule="exact"/>
              <w:rPr>
                <w:sz w:val="20"/>
                <w:szCs w:val="20"/>
                <w:color w:val="auto"/>
              </w:rPr>
            </w:pPr>
            <w:r>
              <w:rPr>
                <w:rFonts w:ascii="Times New Roman" w:cs="Times New Roman" w:eastAsia="Times New Roman" w:hAnsi="Times New Roman"/>
                <w:sz w:val="20"/>
                <w:szCs w:val="20"/>
                <w:color w:val="1E1E1E"/>
              </w:rPr>
              <w:t>22,958</w:t>
            </w:r>
          </w:p>
        </w:tc>
      </w:tr>
    </w:tbl>
    <w:p>
      <w:pPr>
        <w:spacing w:after="0" w:line="208" w:lineRule="exact"/>
        <w:rPr>
          <w:sz w:val="20"/>
          <w:szCs w:val="20"/>
          <w:color w:val="auto"/>
        </w:rPr>
      </w:pPr>
    </w:p>
    <w:p>
      <w:pPr>
        <w:ind w:right="260" w:firstLine="720"/>
        <w:spacing w:after="0" w:line="281" w:lineRule="auto"/>
        <w:rPr>
          <w:sz w:val="20"/>
          <w:szCs w:val="20"/>
          <w:color w:val="auto"/>
        </w:rPr>
      </w:pPr>
      <w:r>
        <w:rPr>
          <w:rFonts w:ascii="Times New Roman" w:cs="Times New Roman" w:eastAsia="Times New Roman" w:hAnsi="Times New Roman"/>
          <w:sz w:val="20"/>
          <w:szCs w:val="20"/>
          <w:color w:val="1E1E1E"/>
        </w:rPr>
        <w:t xml:space="preserve">While the Balance Sheet is consolidated in accordance with ASC Topic 810, </w:t>
      </w:r>
      <w:r>
        <w:rPr>
          <w:rFonts w:ascii="Times New Roman" w:cs="Times New Roman" w:eastAsia="Times New Roman" w:hAnsi="Times New Roman"/>
          <w:sz w:val="20"/>
          <w:szCs w:val="20"/>
          <w:i w:val="1"/>
          <w:iCs w:val="1"/>
          <w:color w:val="1E1E1E"/>
        </w:rPr>
        <w:t>Consolidation</w:t>
      </w:r>
      <w:r>
        <w:rPr>
          <w:rFonts w:ascii="Times New Roman" w:cs="Times New Roman" w:eastAsia="Times New Roman" w:hAnsi="Times New Roman"/>
          <w:sz w:val="20"/>
          <w:szCs w:val="20"/>
          <w:color w:val="1E1E1E"/>
        </w:rPr>
        <w:t>, the Company is not the guarantor nor the obligor of the TRI debt.</w:t>
      </w:r>
    </w:p>
    <w:p>
      <w:pPr>
        <w:spacing w:after="0" w:line="31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20"/>
          <w:szCs w:val="20"/>
          <w:b w:val="1"/>
          <w:bCs w:val="1"/>
          <w:color w:val="1E1E1E"/>
        </w:rPr>
        <w:t>7.</w:t>
        <w:tab/>
        <w:t>EARNINGS PER SHARE</w:t>
      </w:r>
    </w:p>
    <w:p>
      <w:pPr>
        <w:spacing w:after="0" w:line="200" w:lineRule="exact"/>
        <w:rPr>
          <w:sz w:val="20"/>
          <w:szCs w:val="20"/>
          <w:color w:val="auto"/>
        </w:rPr>
      </w:pPr>
    </w:p>
    <w:p>
      <w:pPr>
        <w:ind w:right="60" w:firstLine="490"/>
        <w:spacing w:after="0" w:line="248" w:lineRule="auto"/>
        <w:rPr>
          <w:sz w:val="20"/>
          <w:szCs w:val="20"/>
          <w:color w:val="auto"/>
        </w:rPr>
      </w:pPr>
      <w:r>
        <w:rPr>
          <w:rFonts w:ascii="Times New Roman" w:cs="Times New Roman" w:eastAsia="Times New Roman" w:hAnsi="Times New Roman"/>
          <w:sz w:val="20"/>
          <w:szCs w:val="20"/>
          <w:color w:val="1E1E1E"/>
        </w:rPr>
        <w:t>Earnings per share is computed under the provisions of ASC 260</w:t>
      </w:r>
      <w:r>
        <w:rPr>
          <w:rFonts w:ascii="Times New Roman" w:cs="Times New Roman" w:eastAsia="Times New Roman" w:hAnsi="Times New Roman"/>
          <w:sz w:val="20"/>
          <w:szCs w:val="20"/>
          <w:i w:val="1"/>
          <w:iCs w:val="1"/>
          <w:color w:val="1E1E1E"/>
        </w:rPr>
        <w:t>, Earnings Per Share</w:t>
      </w:r>
      <w:r>
        <w:rPr>
          <w:rFonts w:ascii="Times New Roman" w:cs="Times New Roman" w:eastAsia="Times New Roman" w:hAnsi="Times New Roman"/>
          <w:sz w:val="20"/>
          <w:szCs w:val="20"/>
          <w:color w:val="1E1E1E"/>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and are considered only for dilutive earnings per share. The reconciliation of the numerator and denominator of the basic and diluted earnings per share calculation is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460" w:type="dxa"/>
            <w:vAlign w:val="bottom"/>
          </w:tcPr>
          <w:p>
            <w:pPr>
              <w:spacing w:after="0"/>
              <w:rPr>
                <w:sz w:val="17"/>
                <w:szCs w:val="17"/>
                <w:color w:val="auto"/>
              </w:rPr>
            </w:pPr>
          </w:p>
        </w:tc>
        <w:tc>
          <w:tcPr>
            <w:tcW w:w="220" w:type="dxa"/>
            <w:vAlign w:val="bottom"/>
            <w:tcBorders>
              <w:bottom w:val="single" w:sz="8" w:color="1E1E1E"/>
            </w:tcBorders>
          </w:tcPr>
          <w:p>
            <w:pPr>
              <w:spacing w:after="0"/>
              <w:rPr>
                <w:sz w:val="17"/>
                <w:szCs w:val="17"/>
                <w:color w:val="auto"/>
              </w:rPr>
            </w:pPr>
          </w:p>
        </w:tc>
        <w:tc>
          <w:tcPr>
            <w:tcW w:w="3560" w:type="dxa"/>
            <w:vAlign w:val="bottom"/>
            <w:tcBorders>
              <w:bottom w:val="single" w:sz="8" w:color="1E1E1E"/>
            </w:tcBorders>
            <w:gridSpan w:val="4"/>
          </w:tcPr>
          <w:p>
            <w:pPr>
              <w:jc w:val="right"/>
              <w:ind w:right="1162"/>
              <w:spacing w:after="0"/>
              <w:rPr>
                <w:sz w:val="20"/>
                <w:szCs w:val="20"/>
                <w:color w:val="auto"/>
              </w:rPr>
            </w:pPr>
            <w:r>
              <w:rPr>
                <w:rFonts w:ascii="Times New Roman" w:cs="Times New Roman" w:eastAsia="Times New Roman" w:hAnsi="Times New Roman"/>
                <w:sz w:val="16"/>
                <w:szCs w:val="16"/>
                <w:b w:val="1"/>
                <w:bCs w:val="1"/>
                <w:color w:val="1E1E1E"/>
              </w:rPr>
              <w:t>Fiscal Year Ended</w:t>
            </w:r>
          </w:p>
        </w:tc>
      </w:tr>
      <w:tr>
        <w:trPr>
          <w:trHeight w:val="206"/>
        </w:trPr>
        <w:tc>
          <w:tcPr>
            <w:tcW w:w="6460" w:type="dxa"/>
            <w:vAlign w:val="bottom"/>
          </w:tcPr>
          <w:p>
            <w:pPr>
              <w:spacing w:after="0"/>
              <w:rPr>
                <w:sz w:val="17"/>
                <w:szCs w:val="17"/>
                <w:color w:val="auto"/>
              </w:rPr>
            </w:pPr>
          </w:p>
        </w:tc>
        <w:tc>
          <w:tcPr>
            <w:tcW w:w="220" w:type="dxa"/>
            <w:vAlign w:val="bottom"/>
            <w:tcBorders>
              <w:bottom w:val="single" w:sz="8" w:color="1E1E1E"/>
            </w:tcBorders>
          </w:tcPr>
          <w:p>
            <w:pPr>
              <w:spacing w:after="0"/>
              <w:rPr>
                <w:sz w:val="17"/>
                <w:szCs w:val="17"/>
                <w:color w:val="auto"/>
              </w:rPr>
            </w:pPr>
          </w:p>
        </w:tc>
        <w:tc>
          <w:tcPr>
            <w:tcW w:w="1580" w:type="dxa"/>
            <w:vAlign w:val="bottom"/>
            <w:tcBorders>
              <w:bottom w:val="single" w:sz="8" w:color="1E1E1E"/>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1E1E1E"/>
              </w:rPr>
              <w:t>February 2, 2025</w:t>
            </w:r>
          </w:p>
        </w:tc>
        <w:tc>
          <w:tcPr>
            <w:tcW w:w="200" w:type="dxa"/>
            <w:vAlign w:val="bottom"/>
          </w:tcPr>
          <w:p>
            <w:pPr>
              <w:spacing w:after="0"/>
              <w:rPr>
                <w:sz w:val="17"/>
                <w:szCs w:val="17"/>
                <w:color w:val="auto"/>
              </w:rPr>
            </w:pPr>
          </w:p>
        </w:tc>
        <w:tc>
          <w:tcPr>
            <w:tcW w:w="220" w:type="dxa"/>
            <w:vAlign w:val="bottom"/>
            <w:tcBorders>
              <w:bottom w:val="single" w:sz="8" w:color="1E1E1E"/>
            </w:tcBorders>
          </w:tcPr>
          <w:p>
            <w:pPr>
              <w:spacing w:after="0"/>
              <w:rPr>
                <w:sz w:val="17"/>
                <w:szCs w:val="17"/>
                <w:color w:val="auto"/>
              </w:rPr>
            </w:pPr>
          </w:p>
        </w:tc>
        <w:tc>
          <w:tcPr>
            <w:tcW w:w="1560" w:type="dxa"/>
            <w:vAlign w:val="bottom"/>
            <w:tcBorders>
              <w:bottom w:val="single" w:sz="8" w:color="1E1E1E"/>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1E1E1E"/>
              </w:rPr>
              <w:t>January 28, 2024</w:t>
            </w:r>
          </w:p>
        </w:tc>
      </w:tr>
      <w:tr>
        <w:trPr>
          <w:trHeight w:val="201"/>
        </w:trPr>
        <w:tc>
          <w:tcPr>
            <w:tcW w:w="6460" w:type="dxa"/>
            <w:vAlign w:val="bottom"/>
          </w:tcPr>
          <w:p>
            <w:pPr>
              <w:spacing w:after="0"/>
              <w:rPr>
                <w:sz w:val="20"/>
                <w:szCs w:val="20"/>
                <w:color w:val="auto"/>
              </w:rPr>
            </w:pPr>
            <w:r>
              <w:rPr>
                <w:rFonts w:ascii="Times New Roman" w:cs="Times New Roman" w:eastAsia="Times New Roman" w:hAnsi="Times New Roman"/>
                <w:sz w:val="16"/>
                <w:szCs w:val="16"/>
                <w:i w:val="1"/>
                <w:iCs w:val="1"/>
                <w:color w:val="1E1E1E"/>
              </w:rPr>
              <w:t>(in thousands, except per share data)</w:t>
            </w: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6"/>
        </w:trPr>
        <w:tc>
          <w:tcPr>
            <w:tcW w:w="646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Numerator - net (loss) income attributable to controlling interest</w:t>
            </w:r>
          </w:p>
        </w:tc>
        <w:tc>
          <w:tcPr>
            <w:tcW w:w="220" w:type="dxa"/>
            <w:vAlign w:val="bottom"/>
            <w:shd w:val="clear" w:color="auto" w:fill="E2E2E2"/>
          </w:tcPr>
          <w:p>
            <w:pPr>
              <w:jc w:val="right"/>
              <w:ind w:right="61"/>
              <w:spacing w:after="0"/>
              <w:rPr>
                <w:sz w:val="20"/>
                <w:szCs w:val="20"/>
                <w:color w:val="auto"/>
              </w:rPr>
            </w:pPr>
            <w:r>
              <w:rPr>
                <w:rFonts w:ascii="Times New Roman" w:cs="Times New Roman" w:eastAsia="Times New Roman" w:hAnsi="Times New Roman"/>
                <w:sz w:val="16"/>
                <w:szCs w:val="16"/>
                <w:b w:val="1"/>
                <w:bCs w:val="1"/>
                <w:color w:val="1E1E1E"/>
                <w:w w:val="74"/>
              </w:rPr>
              <w:t>$</w:t>
            </w:r>
          </w:p>
        </w:tc>
        <w:tc>
          <w:tcPr>
            <w:tcW w:w="15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(43,671)</w:t>
            </w:r>
          </w:p>
        </w:tc>
        <w:tc>
          <w:tcPr>
            <w:tcW w:w="200" w:type="dxa"/>
            <w:vAlign w:val="bottom"/>
            <w:shd w:val="clear" w:color="auto" w:fill="E2E2E2"/>
          </w:tcPr>
          <w:p>
            <w:pPr>
              <w:spacing w:after="0"/>
              <w:rPr>
                <w:sz w:val="19"/>
                <w:szCs w:val="19"/>
                <w:color w:val="auto"/>
              </w:rPr>
            </w:pPr>
          </w:p>
        </w:tc>
        <w:tc>
          <w:tcPr>
            <w:tcW w:w="220" w:type="dxa"/>
            <w:vAlign w:val="bottom"/>
            <w:shd w:val="clear" w:color="auto" w:fill="E2E2E2"/>
          </w:tcPr>
          <w:p>
            <w:pPr>
              <w:jc w:val="right"/>
              <w:ind w:right="61"/>
              <w:spacing w:after="0"/>
              <w:rPr>
                <w:sz w:val="20"/>
                <w:szCs w:val="20"/>
                <w:color w:val="auto"/>
              </w:rPr>
            </w:pPr>
            <w:r>
              <w:rPr>
                <w:rFonts w:ascii="Times New Roman" w:cs="Times New Roman" w:eastAsia="Times New Roman" w:hAnsi="Times New Roman"/>
                <w:sz w:val="16"/>
                <w:szCs w:val="16"/>
                <w:b w:val="1"/>
                <w:bCs w:val="1"/>
                <w:color w:val="1E1E1E"/>
                <w:w w:val="74"/>
              </w:rPr>
              <w:t>$</w:t>
            </w:r>
          </w:p>
        </w:tc>
        <w:tc>
          <w:tcPr>
            <w:tcW w:w="156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(9,923)</w:t>
            </w:r>
          </w:p>
        </w:tc>
      </w:tr>
      <w:tr>
        <w:trPr>
          <w:trHeight w:val="226"/>
        </w:trPr>
        <w:tc>
          <w:tcPr>
            <w:tcW w:w="64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Denominator - weighted average shares (Class A and Class B)</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6"/>
        </w:trPr>
        <w:tc>
          <w:tcPr>
            <w:tcW w:w="6460" w:type="dxa"/>
            <w:vAlign w:val="bottom"/>
            <w:shd w:val="clear" w:color="auto" w:fill="E2E2E2"/>
          </w:tcPr>
          <w:p>
            <w:pPr>
              <w:ind w:left="120"/>
              <w:spacing w:after="0" w:line="226" w:lineRule="exact"/>
              <w:rPr>
                <w:sz w:val="20"/>
                <w:szCs w:val="20"/>
                <w:color w:val="auto"/>
              </w:rPr>
            </w:pPr>
            <w:r>
              <w:rPr>
                <w:rFonts w:ascii="Times New Roman" w:cs="Times New Roman" w:eastAsia="Times New Roman" w:hAnsi="Times New Roman"/>
                <w:sz w:val="20"/>
                <w:szCs w:val="20"/>
                <w:color w:val="1E1E1E"/>
              </w:rPr>
              <w:t>Basic</w:t>
            </w:r>
          </w:p>
        </w:tc>
        <w:tc>
          <w:tcPr>
            <w:tcW w:w="220" w:type="dxa"/>
            <w:vAlign w:val="bottom"/>
            <w:shd w:val="clear" w:color="auto" w:fill="E2E2E2"/>
          </w:tcPr>
          <w:p>
            <w:pPr>
              <w:spacing w:after="0"/>
              <w:rPr>
                <w:sz w:val="19"/>
                <w:szCs w:val="19"/>
                <w:color w:val="auto"/>
              </w:rPr>
            </w:pPr>
          </w:p>
        </w:tc>
        <w:tc>
          <w:tcPr>
            <w:tcW w:w="15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33,368</w:t>
            </w:r>
          </w:p>
        </w:tc>
        <w:tc>
          <w:tcPr>
            <w:tcW w:w="200" w:type="dxa"/>
            <w:vAlign w:val="bottom"/>
            <w:shd w:val="clear" w:color="auto" w:fill="E2E2E2"/>
          </w:tcPr>
          <w:p>
            <w:pPr>
              <w:spacing w:after="0"/>
              <w:rPr>
                <w:sz w:val="19"/>
                <w:szCs w:val="19"/>
                <w:color w:val="auto"/>
              </w:rPr>
            </w:pPr>
          </w:p>
        </w:tc>
        <w:tc>
          <w:tcPr>
            <w:tcW w:w="220" w:type="dxa"/>
            <w:vAlign w:val="bottom"/>
            <w:shd w:val="clear" w:color="auto" w:fill="E2E2E2"/>
          </w:tcPr>
          <w:p>
            <w:pPr>
              <w:spacing w:after="0"/>
              <w:rPr>
                <w:sz w:val="19"/>
                <w:szCs w:val="19"/>
                <w:color w:val="auto"/>
              </w:rPr>
            </w:pPr>
          </w:p>
        </w:tc>
        <w:tc>
          <w:tcPr>
            <w:tcW w:w="156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32,955</w:t>
            </w:r>
          </w:p>
        </w:tc>
      </w:tr>
      <w:tr>
        <w:trPr>
          <w:trHeight w:val="226"/>
        </w:trPr>
        <w:tc>
          <w:tcPr>
            <w:tcW w:w="6460" w:type="dxa"/>
            <w:vAlign w:val="bottom"/>
            <w:tcBorders>
              <w:bottom w:val="single" w:sz="8" w:color="E2E2E2"/>
            </w:tcBorders>
          </w:tcPr>
          <w:p>
            <w:pPr>
              <w:ind w:left="120"/>
              <w:spacing w:after="0" w:line="226" w:lineRule="exact"/>
              <w:rPr>
                <w:sz w:val="20"/>
                <w:szCs w:val="20"/>
                <w:color w:val="auto"/>
              </w:rPr>
            </w:pPr>
            <w:r>
              <w:rPr>
                <w:rFonts w:ascii="Times New Roman" w:cs="Times New Roman" w:eastAsia="Times New Roman" w:hAnsi="Times New Roman"/>
                <w:sz w:val="20"/>
                <w:szCs w:val="20"/>
                <w:color w:val="1E1E1E"/>
              </w:rPr>
              <w:t>Dilutive shares</w:t>
            </w:r>
          </w:p>
        </w:tc>
        <w:tc>
          <w:tcPr>
            <w:tcW w:w="220" w:type="dxa"/>
            <w:vAlign w:val="bottom"/>
            <w:tcBorders>
              <w:bottom w:val="single" w:sz="8" w:color="1E1E1E"/>
            </w:tcBorders>
          </w:tcPr>
          <w:p>
            <w:pPr>
              <w:spacing w:after="0"/>
              <w:rPr>
                <w:sz w:val="19"/>
                <w:szCs w:val="19"/>
                <w:color w:val="auto"/>
              </w:rPr>
            </w:pPr>
          </w:p>
        </w:tc>
        <w:tc>
          <w:tcPr>
            <w:tcW w:w="158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20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156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w:t>
            </w:r>
          </w:p>
        </w:tc>
      </w:tr>
      <w:tr>
        <w:trPr>
          <w:trHeight w:val="214"/>
        </w:trPr>
        <w:tc>
          <w:tcPr>
            <w:tcW w:w="6460" w:type="dxa"/>
            <w:vAlign w:val="bottom"/>
            <w:shd w:val="clear" w:color="auto" w:fill="E2E2E2"/>
          </w:tcPr>
          <w:p>
            <w:pPr>
              <w:ind w:left="120"/>
              <w:spacing w:after="0" w:line="206" w:lineRule="exact"/>
              <w:rPr>
                <w:sz w:val="20"/>
                <w:szCs w:val="20"/>
                <w:color w:val="auto"/>
              </w:rPr>
            </w:pPr>
            <w:r>
              <w:rPr>
                <w:rFonts w:ascii="Times New Roman" w:cs="Times New Roman" w:eastAsia="Times New Roman" w:hAnsi="Times New Roman"/>
                <w:sz w:val="20"/>
                <w:szCs w:val="20"/>
                <w:color w:val="1E1E1E"/>
              </w:rPr>
              <w:t>Diluted</w:t>
            </w:r>
          </w:p>
        </w:tc>
        <w:tc>
          <w:tcPr>
            <w:tcW w:w="220" w:type="dxa"/>
            <w:vAlign w:val="bottom"/>
            <w:tcBorders>
              <w:bottom w:val="single" w:sz="8" w:color="1E1E1E"/>
            </w:tcBorders>
            <w:shd w:val="clear" w:color="auto" w:fill="E2E2E2"/>
          </w:tcPr>
          <w:p>
            <w:pPr>
              <w:spacing w:after="0"/>
              <w:rPr>
                <w:sz w:val="18"/>
                <w:szCs w:val="18"/>
                <w:color w:val="auto"/>
              </w:rPr>
            </w:pPr>
          </w:p>
        </w:tc>
        <w:tc>
          <w:tcPr>
            <w:tcW w:w="158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33,368</w:t>
            </w:r>
          </w:p>
        </w:tc>
        <w:tc>
          <w:tcPr>
            <w:tcW w:w="200" w:type="dxa"/>
            <w:vAlign w:val="bottom"/>
            <w:shd w:val="clear" w:color="auto" w:fill="E2E2E2"/>
          </w:tcPr>
          <w:p>
            <w:pPr>
              <w:spacing w:after="0"/>
              <w:rPr>
                <w:sz w:val="18"/>
                <w:szCs w:val="18"/>
                <w:color w:val="auto"/>
              </w:rPr>
            </w:pPr>
          </w:p>
        </w:tc>
        <w:tc>
          <w:tcPr>
            <w:tcW w:w="220" w:type="dxa"/>
            <w:vAlign w:val="bottom"/>
            <w:tcBorders>
              <w:bottom w:val="single" w:sz="8" w:color="1E1E1E"/>
            </w:tcBorders>
            <w:shd w:val="clear" w:color="auto" w:fill="E2E2E2"/>
          </w:tcPr>
          <w:p>
            <w:pPr>
              <w:spacing w:after="0"/>
              <w:rPr>
                <w:sz w:val="18"/>
                <w:szCs w:val="18"/>
                <w:color w:val="auto"/>
              </w:rPr>
            </w:pPr>
          </w:p>
        </w:tc>
        <w:tc>
          <w:tcPr>
            <w:tcW w:w="156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32,955</w:t>
            </w:r>
          </w:p>
        </w:tc>
      </w:tr>
      <w:tr>
        <w:trPr>
          <w:trHeight w:val="197"/>
        </w:trPr>
        <w:tc>
          <w:tcPr>
            <w:tcW w:w="6460" w:type="dxa"/>
            <w:vAlign w:val="bottom"/>
          </w:tcPr>
          <w:p>
            <w:pPr>
              <w:spacing w:after="0" w:line="197" w:lineRule="exact"/>
              <w:rPr>
                <w:sz w:val="20"/>
                <w:szCs w:val="20"/>
                <w:color w:val="auto"/>
              </w:rPr>
            </w:pPr>
            <w:r>
              <w:rPr>
                <w:rFonts w:ascii="Times New Roman" w:cs="Times New Roman" w:eastAsia="Times New Roman" w:hAnsi="Times New Roman"/>
                <w:sz w:val="20"/>
                <w:szCs w:val="20"/>
                <w:color w:val="1E1E1E"/>
              </w:rPr>
              <w:t>Earnings per share (Class A and Class B)</w:t>
            </w: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6"/>
        </w:trPr>
        <w:tc>
          <w:tcPr>
            <w:tcW w:w="6460" w:type="dxa"/>
            <w:vAlign w:val="bottom"/>
            <w:shd w:val="clear" w:color="auto" w:fill="E2E2E2"/>
          </w:tcPr>
          <w:p>
            <w:pPr>
              <w:ind w:left="120"/>
              <w:spacing w:after="0" w:line="226" w:lineRule="exact"/>
              <w:rPr>
                <w:sz w:val="20"/>
                <w:szCs w:val="20"/>
                <w:color w:val="auto"/>
              </w:rPr>
            </w:pPr>
            <w:r>
              <w:rPr>
                <w:rFonts w:ascii="Times New Roman" w:cs="Times New Roman" w:eastAsia="Times New Roman" w:hAnsi="Times New Roman"/>
                <w:sz w:val="20"/>
                <w:szCs w:val="20"/>
                <w:color w:val="1E1E1E"/>
              </w:rPr>
              <w:t>Basic</w:t>
            </w:r>
          </w:p>
        </w:tc>
        <w:tc>
          <w:tcPr>
            <w:tcW w:w="220" w:type="dxa"/>
            <w:vAlign w:val="bottom"/>
            <w:shd w:val="clear" w:color="auto" w:fill="E2E2E2"/>
          </w:tcPr>
          <w:p>
            <w:pPr>
              <w:jc w:val="right"/>
              <w:ind w:right="61"/>
              <w:spacing w:after="0"/>
              <w:rPr>
                <w:sz w:val="20"/>
                <w:szCs w:val="20"/>
                <w:color w:val="auto"/>
              </w:rPr>
            </w:pPr>
            <w:r>
              <w:rPr>
                <w:rFonts w:ascii="Times New Roman" w:cs="Times New Roman" w:eastAsia="Times New Roman" w:hAnsi="Times New Roman"/>
                <w:sz w:val="16"/>
                <w:szCs w:val="16"/>
                <w:b w:val="1"/>
                <w:bCs w:val="1"/>
                <w:color w:val="1E1E1E"/>
                <w:w w:val="74"/>
              </w:rPr>
              <w:t>$</w:t>
            </w:r>
          </w:p>
        </w:tc>
        <w:tc>
          <w:tcPr>
            <w:tcW w:w="15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(1.31)</w:t>
            </w:r>
          </w:p>
        </w:tc>
        <w:tc>
          <w:tcPr>
            <w:tcW w:w="200" w:type="dxa"/>
            <w:vAlign w:val="bottom"/>
            <w:shd w:val="clear" w:color="auto" w:fill="E2E2E2"/>
          </w:tcPr>
          <w:p>
            <w:pPr>
              <w:spacing w:after="0"/>
              <w:rPr>
                <w:sz w:val="19"/>
                <w:szCs w:val="19"/>
                <w:color w:val="auto"/>
              </w:rPr>
            </w:pPr>
          </w:p>
        </w:tc>
        <w:tc>
          <w:tcPr>
            <w:tcW w:w="220" w:type="dxa"/>
            <w:vAlign w:val="bottom"/>
            <w:shd w:val="clear" w:color="auto" w:fill="E2E2E2"/>
          </w:tcPr>
          <w:p>
            <w:pPr>
              <w:jc w:val="right"/>
              <w:ind w:right="61"/>
              <w:spacing w:after="0"/>
              <w:rPr>
                <w:sz w:val="20"/>
                <w:szCs w:val="20"/>
                <w:color w:val="auto"/>
              </w:rPr>
            </w:pPr>
            <w:r>
              <w:rPr>
                <w:rFonts w:ascii="Times New Roman" w:cs="Times New Roman" w:eastAsia="Times New Roman" w:hAnsi="Times New Roman"/>
                <w:sz w:val="16"/>
                <w:szCs w:val="16"/>
                <w:b w:val="1"/>
                <w:bCs w:val="1"/>
                <w:color w:val="1E1E1E"/>
                <w:w w:val="74"/>
              </w:rPr>
              <w:t>$</w:t>
            </w:r>
          </w:p>
        </w:tc>
        <w:tc>
          <w:tcPr>
            <w:tcW w:w="156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(0.30)</w:t>
            </w:r>
          </w:p>
        </w:tc>
      </w:tr>
      <w:tr>
        <w:trPr>
          <w:trHeight w:val="270"/>
        </w:trPr>
        <w:tc>
          <w:tcPr>
            <w:tcW w:w="646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Diluted</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1E1E1E"/>
                <w:w w:val="74"/>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(1.31)</w:t>
            </w:r>
          </w:p>
        </w:tc>
        <w:tc>
          <w:tcPr>
            <w:tcW w:w="42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1E1E1E"/>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(0.30)</w:t>
            </w:r>
          </w:p>
        </w:tc>
      </w:tr>
    </w:tbl>
    <w:p>
      <w:pPr>
        <w:spacing w:after="0" w:line="298" w:lineRule="exact"/>
        <w:rPr>
          <w:sz w:val="20"/>
          <w:szCs w:val="20"/>
          <w:color w:val="auto"/>
        </w:rPr>
      </w:pPr>
    </w:p>
    <w:p>
      <w:pPr>
        <w:ind w:right="260" w:firstLine="720"/>
        <w:spacing w:after="0" w:line="281" w:lineRule="auto"/>
        <w:rPr>
          <w:sz w:val="20"/>
          <w:szCs w:val="20"/>
          <w:color w:val="auto"/>
        </w:rPr>
      </w:pPr>
      <w:r>
        <w:rPr>
          <w:rFonts w:ascii="Times New Roman" w:cs="Times New Roman" w:eastAsia="Times New Roman" w:hAnsi="Times New Roman"/>
          <w:sz w:val="20"/>
          <w:szCs w:val="20"/>
          <w:color w:val="1E1E1E"/>
        </w:rPr>
        <w:t>The computation of diluted loss per share excluded 0.1 million shares of unvested restricted stock for the fiscal year ended February 2, 2025, respectively, because their inclusion would be anti-dilutive due to a net loss.</w:t>
      </w:r>
    </w:p>
    <w:p>
      <w:pPr>
        <w:spacing w:after="0" w:line="1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20"/>
          <w:szCs w:val="20"/>
          <w:b w:val="1"/>
          <w:bCs w:val="1"/>
          <w:color w:val="1E1E1E"/>
        </w:rPr>
        <w:t>8.</w:t>
        <w:tab/>
        <w:t>REVENUE</w:t>
      </w:r>
    </w:p>
    <w:p>
      <w:pPr>
        <w:spacing w:after="0" w:line="200" w:lineRule="exact"/>
        <w:rPr>
          <w:sz w:val="20"/>
          <w:szCs w:val="20"/>
          <w:color w:val="auto"/>
        </w:rPr>
      </w:pPr>
    </w:p>
    <w:p>
      <w:pPr>
        <w:ind w:right="180" w:firstLine="630"/>
        <w:spacing w:after="0" w:line="248" w:lineRule="auto"/>
        <w:rPr>
          <w:sz w:val="20"/>
          <w:szCs w:val="20"/>
          <w:color w:val="auto"/>
        </w:rPr>
      </w:pPr>
      <w:r>
        <w:rPr>
          <w:rFonts w:ascii="Times New Roman" w:cs="Times New Roman" w:eastAsia="Times New Roman" w:hAnsi="Times New Roman"/>
          <w:sz w:val="20"/>
          <w:szCs w:val="20"/>
          <w:color w:val="1E1E1E"/>
        </w:rPr>
        <w:t>The Company’s revenue primarily consists of the sale of apparel, footwear and hard goods. Revenue for merchandise that is shipped to our customers from our fulfillment centers and stores is recognized upon shipment. Store revenue is recognized at the point of sale, net of returns, and excludes taxes.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Sales disaggregated based upon sales channel is presented below.</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1E1E1E"/>
            </w:tcBorders>
          </w:tcPr>
          <w:p>
            <w:pPr>
              <w:spacing w:after="0"/>
              <w:rPr>
                <w:sz w:val="17"/>
                <w:szCs w:val="17"/>
                <w:color w:val="auto"/>
              </w:rPr>
            </w:pPr>
          </w:p>
        </w:tc>
        <w:tc>
          <w:tcPr>
            <w:tcW w:w="1780" w:type="dxa"/>
            <w:vAlign w:val="bottom"/>
            <w:tcBorders>
              <w:bottom w:val="single" w:sz="8" w:color="1E1E1E"/>
            </w:tcBorders>
          </w:tcPr>
          <w:p>
            <w:pPr>
              <w:jc w:val="right"/>
              <w:ind w:right="346"/>
              <w:spacing w:after="0"/>
              <w:rPr>
                <w:sz w:val="20"/>
                <w:szCs w:val="20"/>
                <w:color w:val="auto"/>
              </w:rPr>
            </w:pPr>
            <w:r>
              <w:rPr>
                <w:rFonts w:ascii="Times New Roman" w:cs="Times New Roman" w:eastAsia="Times New Roman" w:hAnsi="Times New Roman"/>
                <w:sz w:val="16"/>
                <w:szCs w:val="16"/>
                <w:b w:val="1"/>
                <w:bCs w:val="1"/>
                <w:color w:val="1E1E1E"/>
              </w:rPr>
              <w:t>February 2, 2025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1780" w:type="dxa"/>
            <w:vAlign w:val="bottom"/>
            <w:tcBorders>
              <w:bottom w:val="single" w:sz="8" w:color="1E1E1E"/>
            </w:tcBorders>
          </w:tcPr>
          <w:p>
            <w:pPr>
              <w:jc w:val="right"/>
              <w:ind w:right="346"/>
              <w:spacing w:after="0"/>
              <w:rPr>
                <w:sz w:val="20"/>
                <w:szCs w:val="20"/>
                <w:color w:val="auto"/>
              </w:rPr>
            </w:pPr>
            <w:r>
              <w:rPr>
                <w:rFonts w:ascii="Times New Roman" w:cs="Times New Roman" w:eastAsia="Times New Roman" w:hAnsi="Times New Roman"/>
                <w:sz w:val="16"/>
                <w:szCs w:val="16"/>
                <w:b w:val="1"/>
                <w:bCs w:val="1"/>
                <w:color w:val="1E1E1E"/>
              </w:rPr>
              <w:t>January 28, 2024</w:t>
            </w:r>
          </w:p>
        </w:tc>
      </w:tr>
      <w:tr>
        <w:trPr>
          <w:trHeight w:val="239"/>
        </w:trPr>
        <w:tc>
          <w:tcPr>
            <w:tcW w:w="59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1E1E1E"/>
              </w:rPr>
              <w:t>(in thousands)</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54"/>
        </w:trPr>
        <w:tc>
          <w:tcPr>
            <w:tcW w:w="58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Direct-to-consumer</w:t>
            </w:r>
          </w:p>
        </w:tc>
        <w:tc>
          <w:tcPr>
            <w:tcW w:w="20" w:type="dxa"/>
            <w:vAlign w:val="bottom"/>
            <w:shd w:val="clear" w:color="auto" w:fill="E2E2E2"/>
          </w:tcPr>
          <w:p>
            <w:pPr>
              <w:spacing w:after="0"/>
              <w:rPr>
                <w:sz w:val="22"/>
                <w:szCs w:val="22"/>
                <w:color w:val="auto"/>
              </w:rPr>
            </w:pPr>
          </w:p>
        </w:tc>
        <w:tc>
          <w:tcPr>
            <w:tcW w:w="280" w:type="dxa"/>
            <w:vAlign w:val="bottom"/>
            <w:shd w:val="clear" w:color="auto" w:fill="E2E2E2"/>
          </w:tcPr>
          <w:p>
            <w:pPr>
              <w:jc w:val="right"/>
              <w:ind w:right="79"/>
              <w:spacing w:after="0"/>
              <w:rPr>
                <w:sz w:val="20"/>
                <w:szCs w:val="20"/>
                <w:color w:val="auto"/>
              </w:rPr>
            </w:pPr>
            <w:r>
              <w:rPr>
                <w:rFonts w:ascii="Times New Roman" w:cs="Times New Roman" w:eastAsia="Times New Roman" w:hAnsi="Times New Roman"/>
                <w:sz w:val="20"/>
                <w:szCs w:val="20"/>
                <w:color w:val="1E1E1E"/>
                <w:w w:val="79"/>
              </w:rPr>
              <w:t>$</w:t>
            </w: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419,860</w:t>
            </w:r>
          </w:p>
        </w:tc>
        <w:tc>
          <w:tcPr>
            <w:tcW w:w="22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60" w:type="dxa"/>
            <w:vAlign w:val="bottom"/>
            <w:shd w:val="clear" w:color="auto" w:fill="E2E2E2"/>
          </w:tcPr>
          <w:p>
            <w:pPr>
              <w:jc w:val="right"/>
              <w:ind w:right="59"/>
              <w:spacing w:after="0"/>
              <w:rPr>
                <w:sz w:val="20"/>
                <w:szCs w:val="20"/>
                <w:color w:val="auto"/>
              </w:rPr>
            </w:pPr>
            <w:r>
              <w:rPr>
                <w:rFonts w:ascii="Times New Roman" w:cs="Times New Roman" w:eastAsia="Times New Roman" w:hAnsi="Times New Roman"/>
                <w:sz w:val="20"/>
                <w:szCs w:val="20"/>
                <w:color w:val="1E1E1E"/>
                <w:w w:val="79"/>
              </w:rPr>
              <w:t>$</w:t>
            </w: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425,562</w:t>
            </w:r>
          </w:p>
        </w:tc>
      </w:tr>
      <w:tr>
        <w:trPr>
          <w:trHeight w:val="250"/>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1E1E1E"/>
              </w:rPr>
              <w:t>Stores</w:t>
            </w:r>
          </w:p>
        </w:tc>
        <w:tc>
          <w:tcPr>
            <w:tcW w:w="20" w:type="dxa"/>
            <w:vAlign w:val="bottom"/>
            <w:tcBorders>
              <w:bottom w:val="single" w:sz="8" w:color="1E1E1E"/>
            </w:tcBorders>
          </w:tcPr>
          <w:p>
            <w:pPr>
              <w:spacing w:after="0"/>
              <w:rPr>
                <w:sz w:val="21"/>
                <w:szCs w:val="21"/>
                <w:color w:val="auto"/>
              </w:rPr>
            </w:pPr>
          </w:p>
        </w:tc>
        <w:tc>
          <w:tcPr>
            <w:tcW w:w="280" w:type="dxa"/>
            <w:vAlign w:val="bottom"/>
            <w:tcBorders>
              <w:bottom w:val="single" w:sz="8" w:color="1E1E1E"/>
            </w:tcBorders>
          </w:tcPr>
          <w:p>
            <w:pPr>
              <w:spacing w:after="0"/>
              <w:rPr>
                <w:sz w:val="21"/>
                <w:szCs w:val="21"/>
                <w:color w:val="auto"/>
              </w:rPr>
            </w:pPr>
          </w:p>
        </w:tc>
        <w:tc>
          <w:tcPr>
            <w:tcW w:w="17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206,769</w:t>
            </w:r>
          </w:p>
        </w:tc>
        <w:tc>
          <w:tcPr>
            <w:tcW w:w="220" w:type="dxa"/>
            <w:vAlign w:val="bottom"/>
          </w:tcPr>
          <w:p>
            <w:pPr>
              <w:spacing w:after="0"/>
              <w:rPr>
                <w:sz w:val="21"/>
                <w:szCs w:val="21"/>
                <w:color w:val="auto"/>
              </w:rPr>
            </w:pPr>
          </w:p>
        </w:tc>
        <w:tc>
          <w:tcPr>
            <w:tcW w:w="20" w:type="dxa"/>
            <w:vAlign w:val="bottom"/>
            <w:tcBorders>
              <w:bottom w:val="single" w:sz="8" w:color="1E1E1E"/>
            </w:tcBorders>
          </w:tcPr>
          <w:p>
            <w:pPr>
              <w:spacing w:after="0"/>
              <w:rPr>
                <w:sz w:val="21"/>
                <w:szCs w:val="21"/>
                <w:color w:val="auto"/>
              </w:rPr>
            </w:pPr>
          </w:p>
        </w:tc>
        <w:tc>
          <w:tcPr>
            <w:tcW w:w="260" w:type="dxa"/>
            <w:vAlign w:val="bottom"/>
            <w:tcBorders>
              <w:bottom w:val="single" w:sz="8" w:color="1E1E1E"/>
            </w:tcBorders>
          </w:tcPr>
          <w:p>
            <w:pPr>
              <w:spacing w:after="0"/>
              <w:rPr>
                <w:sz w:val="21"/>
                <w:szCs w:val="21"/>
                <w:color w:val="auto"/>
              </w:rPr>
            </w:pPr>
          </w:p>
        </w:tc>
        <w:tc>
          <w:tcPr>
            <w:tcW w:w="17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221,119</w:t>
            </w:r>
          </w:p>
        </w:tc>
      </w:tr>
    </w:tbl>
    <w:p>
      <w:pPr>
        <w:spacing w:after="0" w:line="200" w:lineRule="exact"/>
        <w:rPr>
          <w:sz w:val="20"/>
          <w:szCs w:val="20"/>
          <w:color w:val="auto"/>
        </w:rPr>
      </w:pPr>
    </w:p>
    <w:p>
      <w:pPr>
        <w:sectPr>
          <w:pgSz w:w="11880" w:h="15480" w:orient="portrait"/>
          <w:cols w:equalWidth="0" w:num="1">
            <w:col w:w="10240"/>
          </w:cols>
          <w:pgMar w:left="820" w:top="226" w:right="820" w:bottom="0" w:gutter="0" w:footer="0" w:header="0"/>
        </w:sectPr>
      </w:pP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57</w:t>
      </w:r>
    </w:p>
    <w:p>
      <w:pPr>
        <w:sectPr>
          <w:pgSz w:w="11880" w:h="15480" w:orient="portrait"/>
          <w:cols w:equalWidth="0" w:num="1">
            <w:col w:w="10240"/>
          </w:cols>
          <w:pgMar w:left="820" w:top="226" w:right="820" w:bottom="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1E1E1E"/>
        </w:rPr>
        <w:t>DULUTH HOLDINGS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162560</wp:posOffset>
            </wp:positionV>
            <wp:extent cx="6510655" cy="161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10655" cy="161290"/>
                    </a:xfrm>
                    <a:prstGeom prst="rect">
                      <a:avLst/>
                    </a:prstGeom>
                    <a:noFill/>
                  </pic:spPr>
                </pic:pic>
              </a:graphicData>
            </a:graphic>
          </wp:anchor>
        </w:drawing>
      </w:r>
    </w:p>
    <w:p>
      <w:pPr>
        <w:spacing w:after="0" w:line="238" w:lineRule="exact"/>
        <w:rPr>
          <w:sz w:val="20"/>
          <w:szCs w:val="20"/>
          <w:color w:val="auto"/>
        </w:rPr>
      </w:pPr>
    </w:p>
    <w:tbl>
      <w:tblPr>
        <w:tblLayout w:type="fixed"/>
        <w:tblInd w:w="5900" w:type="dxa"/>
        <w:tblCellMar>
          <w:top w:w="0" w:type="dxa"/>
          <w:left w:w="0" w:type="dxa"/>
          <w:bottom w:w="0" w:type="dxa"/>
          <w:right w:w="0" w:type="dxa"/>
        </w:tblCellMar>
      </w:tblPr>
      <w:tr>
        <w:trPr>
          <w:trHeight w:val="270"/>
        </w:trPr>
        <w:tc>
          <w:tcPr>
            <w:tcW w:w="720" w:type="dxa"/>
            <w:vAlign w:val="bottom"/>
          </w:tcPr>
          <w:p>
            <w:pPr>
              <w:jc w:val="right"/>
              <w:ind w:right="519"/>
              <w:spacing w:after="0"/>
              <w:rPr>
                <w:sz w:val="20"/>
                <w:szCs w:val="20"/>
                <w:color w:val="auto"/>
              </w:rPr>
            </w:pPr>
            <w:r>
              <w:rPr>
                <w:rFonts w:ascii="Times New Roman" w:cs="Times New Roman" w:eastAsia="Times New Roman" w:hAnsi="Times New Roman"/>
                <w:sz w:val="20"/>
                <w:szCs w:val="20"/>
                <w:color w:val="1E1E1E"/>
                <w:w w:val="79"/>
              </w:rPr>
              <w:t>$</w:t>
            </w:r>
          </w:p>
        </w:tc>
        <w:tc>
          <w:tcPr>
            <w:tcW w:w="1420" w:type="dxa"/>
            <w:vAlign w:val="bottom"/>
          </w:tcPr>
          <w:p>
            <w:pPr>
              <w:jc w:val="right"/>
              <w:ind w:right="59"/>
              <w:spacing w:after="0"/>
              <w:rPr>
                <w:sz w:val="20"/>
                <w:szCs w:val="20"/>
                <w:color w:val="auto"/>
              </w:rPr>
            </w:pPr>
            <w:r>
              <w:rPr>
                <w:rFonts w:ascii="Times New Roman" w:cs="Times New Roman" w:eastAsia="Times New Roman" w:hAnsi="Times New Roman"/>
                <w:sz w:val="20"/>
                <w:szCs w:val="20"/>
                <w:color w:val="1E1E1E"/>
              </w:rPr>
              <w:t>626,629</w:t>
            </w:r>
          </w:p>
        </w:tc>
        <w:tc>
          <w:tcPr>
            <w:tcW w:w="880" w:type="dxa"/>
            <w:vAlign w:val="bottom"/>
          </w:tcPr>
          <w:p>
            <w:pPr>
              <w:jc w:val="right"/>
              <w:ind w:right="519"/>
              <w:spacing w:after="0"/>
              <w:rPr>
                <w:sz w:val="20"/>
                <w:szCs w:val="20"/>
                <w:color w:val="auto"/>
              </w:rPr>
            </w:pPr>
            <w:r>
              <w:rPr>
                <w:rFonts w:ascii="Times New Roman" w:cs="Times New Roman" w:eastAsia="Times New Roman" w:hAnsi="Times New Roman"/>
                <w:sz w:val="20"/>
                <w:szCs w:val="20"/>
                <w:color w:val="1E1E1E"/>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646,681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3738880</wp:posOffset>
            </wp:positionH>
            <wp:positionV relativeFrom="paragraph">
              <wp:posOffset>-10160</wp:posOffset>
            </wp:positionV>
            <wp:extent cx="2767330"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67330" cy="18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Contract Assets and Liabilities</w:t>
      </w:r>
    </w:p>
    <w:p>
      <w:pPr>
        <w:spacing w:after="0" w:line="196"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20"/>
          <w:szCs w:val="20"/>
          <w:color w:val="1E1E1E"/>
        </w:rPr>
        <w:t>The Company’s contract assets primarily consist of the right of return for amounts of inventory to be returned that are expected to be resold and are recorded in Prepaid expenses and other current assets on the Company’s Consolidated Balance Sheets. The Company’s contract liabilities primarily consist of gift card liabilities and are recorded upon issuance in Accrued expenses and other current liabilities under deferred revenue (see Note 5 “Accrued Expenses and Other Current Liabilities”) on the Company’s Consolidated Balance Sheets. Upon issuance of a gift card, a liability is established for its cash value.</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1E1E1E"/>
        </w:rPr>
        <w:t>Contract assets and liabilities on the Company’s Consolidated Balance Sheets are presented in the following table:</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900" w:type="dxa"/>
            <w:vAlign w:val="bottom"/>
          </w:tcPr>
          <w:p>
            <w:pPr>
              <w:spacing w:after="0"/>
              <w:rPr>
                <w:sz w:val="17"/>
                <w:szCs w:val="17"/>
                <w:color w:val="auto"/>
              </w:rPr>
            </w:pPr>
          </w:p>
        </w:tc>
        <w:tc>
          <w:tcPr>
            <w:tcW w:w="280" w:type="dxa"/>
            <w:vAlign w:val="bottom"/>
            <w:tcBorders>
              <w:bottom w:val="single" w:sz="8" w:color="1E1E1E"/>
            </w:tcBorders>
          </w:tcPr>
          <w:p>
            <w:pPr>
              <w:spacing w:after="0"/>
              <w:rPr>
                <w:sz w:val="17"/>
                <w:szCs w:val="17"/>
                <w:color w:val="auto"/>
              </w:rPr>
            </w:pPr>
          </w:p>
        </w:tc>
        <w:tc>
          <w:tcPr>
            <w:tcW w:w="1780" w:type="dxa"/>
            <w:vAlign w:val="bottom"/>
            <w:tcBorders>
              <w:bottom w:val="single" w:sz="8" w:color="1E1E1E"/>
            </w:tcBorders>
          </w:tcPr>
          <w:p>
            <w:pPr>
              <w:jc w:val="right"/>
              <w:ind w:right="346"/>
              <w:spacing w:after="0"/>
              <w:rPr>
                <w:sz w:val="20"/>
                <w:szCs w:val="20"/>
                <w:color w:val="auto"/>
              </w:rPr>
            </w:pPr>
            <w:r>
              <w:rPr>
                <w:rFonts w:ascii="Times New Roman" w:cs="Times New Roman" w:eastAsia="Times New Roman" w:hAnsi="Times New Roman"/>
                <w:sz w:val="16"/>
                <w:szCs w:val="16"/>
                <w:b w:val="1"/>
                <w:bCs w:val="1"/>
                <w:color w:val="1E1E1E"/>
              </w:rPr>
              <w:t>February 2, 2025</w:t>
            </w:r>
          </w:p>
        </w:tc>
        <w:tc>
          <w:tcPr>
            <w:tcW w:w="240" w:type="dxa"/>
            <w:vAlign w:val="bottom"/>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1780" w:type="dxa"/>
            <w:vAlign w:val="bottom"/>
            <w:tcBorders>
              <w:bottom w:val="single" w:sz="8" w:color="1E1E1E"/>
            </w:tcBorders>
          </w:tcPr>
          <w:p>
            <w:pPr>
              <w:jc w:val="right"/>
              <w:ind w:right="346"/>
              <w:spacing w:after="0"/>
              <w:rPr>
                <w:sz w:val="20"/>
                <w:szCs w:val="20"/>
                <w:color w:val="auto"/>
              </w:rPr>
            </w:pPr>
            <w:r>
              <w:rPr>
                <w:rFonts w:ascii="Times New Roman" w:cs="Times New Roman" w:eastAsia="Times New Roman" w:hAnsi="Times New Roman"/>
                <w:sz w:val="16"/>
                <w:szCs w:val="16"/>
                <w:b w:val="1"/>
                <w:bCs w:val="1"/>
                <w:color w:val="1E1E1E"/>
              </w:rPr>
              <w:t>January 28, 2024</w:t>
            </w:r>
          </w:p>
        </w:tc>
      </w:tr>
      <w:tr>
        <w:trPr>
          <w:trHeight w:val="278"/>
        </w:trPr>
        <w:tc>
          <w:tcPr>
            <w:tcW w:w="5900" w:type="dxa"/>
            <w:vAlign w:val="bottom"/>
          </w:tcPr>
          <w:p>
            <w:pPr>
              <w:spacing w:after="0"/>
              <w:rPr>
                <w:sz w:val="20"/>
                <w:szCs w:val="20"/>
                <w:color w:val="auto"/>
              </w:rPr>
            </w:pPr>
            <w:r>
              <w:rPr>
                <w:rFonts w:ascii="Times New Roman" w:cs="Times New Roman" w:eastAsia="Times New Roman" w:hAnsi="Times New Roman"/>
                <w:sz w:val="16"/>
                <w:szCs w:val="16"/>
                <w:i w:val="1"/>
                <w:iCs w:val="1"/>
                <w:color w:val="1E1E1E"/>
              </w:rPr>
              <w:t>(in thousands)</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02"/>
        </w:trPr>
        <w:tc>
          <w:tcPr>
            <w:tcW w:w="59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Contract assets</w:t>
            </w:r>
          </w:p>
        </w:tc>
        <w:tc>
          <w:tcPr>
            <w:tcW w:w="280" w:type="dxa"/>
            <w:vAlign w:val="bottom"/>
            <w:shd w:val="clear" w:color="auto" w:fill="E2E2E2"/>
          </w:tcPr>
          <w:p>
            <w:pPr>
              <w:jc w:val="right"/>
              <w:ind w:right="79"/>
              <w:spacing w:after="0"/>
              <w:rPr>
                <w:sz w:val="20"/>
                <w:szCs w:val="20"/>
                <w:color w:val="auto"/>
              </w:rPr>
            </w:pPr>
            <w:r>
              <w:rPr>
                <w:rFonts w:ascii="Times New Roman" w:cs="Times New Roman" w:eastAsia="Times New Roman" w:hAnsi="Times New Roman"/>
                <w:sz w:val="20"/>
                <w:szCs w:val="20"/>
                <w:color w:val="1E1E1E"/>
                <w:w w:val="79"/>
              </w:rPr>
              <w:t>$</w:t>
            </w: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2,301</w:t>
            </w:r>
          </w:p>
        </w:tc>
        <w:tc>
          <w:tcPr>
            <w:tcW w:w="240" w:type="dxa"/>
            <w:vAlign w:val="bottom"/>
            <w:shd w:val="clear" w:color="auto" w:fill="E2E2E2"/>
          </w:tcPr>
          <w:p>
            <w:pPr>
              <w:spacing w:after="0"/>
              <w:rPr>
                <w:sz w:val="24"/>
                <w:szCs w:val="24"/>
                <w:color w:val="auto"/>
              </w:rPr>
            </w:pPr>
          </w:p>
        </w:tc>
        <w:tc>
          <w:tcPr>
            <w:tcW w:w="260" w:type="dxa"/>
            <w:vAlign w:val="bottom"/>
            <w:shd w:val="clear" w:color="auto" w:fill="E2E2E2"/>
          </w:tcPr>
          <w:p>
            <w:pPr>
              <w:jc w:val="right"/>
              <w:ind w:right="59"/>
              <w:spacing w:after="0"/>
              <w:rPr>
                <w:sz w:val="20"/>
                <w:szCs w:val="20"/>
                <w:color w:val="auto"/>
              </w:rPr>
            </w:pPr>
            <w:r>
              <w:rPr>
                <w:rFonts w:ascii="Times New Roman" w:cs="Times New Roman" w:eastAsia="Times New Roman" w:hAnsi="Times New Roman"/>
                <w:sz w:val="20"/>
                <w:szCs w:val="20"/>
                <w:color w:val="1E1E1E"/>
                <w:w w:val="79"/>
              </w:rPr>
              <w:t>$</w:t>
            </w: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2,778</w:t>
            </w:r>
          </w:p>
        </w:tc>
      </w:tr>
      <w:tr>
        <w:trPr>
          <w:trHeight w:val="314"/>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1E1E1E"/>
              </w:rPr>
              <w:t>Contract liabilities</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20"/>
                <w:szCs w:val="20"/>
                <w:color w:val="1E1E1E"/>
                <w:w w:val="7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9,782</w:t>
            </w:r>
          </w:p>
        </w:tc>
        <w:tc>
          <w:tcPr>
            <w:tcW w:w="500" w:type="dxa"/>
            <w:vAlign w:val="bottom"/>
            <w:gridSpan w:val="2"/>
          </w:tcPr>
          <w:p>
            <w:pPr>
              <w:jc w:val="right"/>
              <w:ind w:right="59"/>
              <w:spacing w:after="0"/>
              <w:rPr>
                <w:sz w:val="20"/>
                <w:szCs w:val="20"/>
                <w:color w:val="auto"/>
              </w:rPr>
            </w:pPr>
            <w:r>
              <w:rPr>
                <w:rFonts w:ascii="Times New Roman" w:cs="Times New Roman" w:eastAsia="Times New Roman" w:hAnsi="Times New Roman"/>
                <w:sz w:val="20"/>
                <w:szCs w:val="20"/>
                <w:color w:val="1E1E1E"/>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9,579</w:t>
            </w:r>
          </w:p>
        </w:tc>
      </w:tr>
    </w:tbl>
    <w:p>
      <w:pPr>
        <w:spacing w:after="0" w:line="162" w:lineRule="exact"/>
        <w:rPr>
          <w:sz w:val="20"/>
          <w:szCs w:val="20"/>
          <w:color w:val="auto"/>
        </w:rPr>
      </w:pPr>
    </w:p>
    <w:p>
      <w:pPr>
        <w:ind w:right="140" w:firstLine="446"/>
        <w:spacing w:after="0" w:line="270" w:lineRule="auto"/>
        <w:rPr>
          <w:sz w:val="20"/>
          <w:szCs w:val="20"/>
          <w:color w:val="auto"/>
        </w:rPr>
      </w:pPr>
      <w:r>
        <w:rPr>
          <w:rFonts w:ascii="Times New Roman" w:cs="Times New Roman" w:eastAsia="Times New Roman" w:hAnsi="Times New Roman"/>
          <w:sz w:val="19"/>
          <w:szCs w:val="19"/>
          <w:color w:val="1E1E1E"/>
        </w:rPr>
        <w:t>Revenue from gift cards is recognized when the gift card is redeemed by the customer for merchandise, or as gift card breakage, an estimate of gift cards which will not be redeemed. The Company does not record breakage revenue when escheat liability to the relevant jurisdictions exists. Gift card breakage is recorded within Net sales on the Company’s Consolidated Statement of Operations. The following table provides the reconciliation of the contract liability related to gift cards: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bottom w:val="single" w:sz="8" w:color="1E1E1E"/>
            </w:tcBorders>
          </w:tcPr>
          <w:p>
            <w:pPr>
              <w:spacing w:after="0"/>
              <w:rPr>
                <w:sz w:val="17"/>
                <w:szCs w:val="17"/>
                <w:color w:val="auto"/>
              </w:rPr>
            </w:pPr>
          </w:p>
        </w:tc>
        <w:tc>
          <w:tcPr>
            <w:tcW w:w="20" w:type="dxa"/>
            <w:vAlign w:val="bottom"/>
            <w:tcBorders>
              <w:bottom w:val="single" w:sz="8" w:color="1E1E1E"/>
            </w:tcBorders>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1760" w:type="dxa"/>
            <w:vAlign w:val="bottom"/>
            <w:tcBorders>
              <w:bottom w:val="single" w:sz="8" w:color="1E1E1E"/>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1E1E1E"/>
              </w:rPr>
              <w:t>February 2, 2025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1E1E1E"/>
            </w:tcBorders>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1780" w:type="dxa"/>
            <w:vAlign w:val="bottom"/>
            <w:tcBorders>
              <w:bottom w:val="single" w:sz="8" w:color="1E1E1E"/>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1E1E1E"/>
              </w:rPr>
              <w:t>January 28, 2024</w:t>
            </w:r>
          </w:p>
        </w:tc>
      </w:tr>
      <w:tr>
        <w:trPr>
          <w:trHeight w:val="239"/>
        </w:trPr>
        <w:tc>
          <w:tcPr>
            <w:tcW w:w="5900" w:type="dxa"/>
            <w:vAlign w:val="bottom"/>
            <w:gridSpan w:val="4"/>
          </w:tcPr>
          <w:p>
            <w:pPr>
              <w:spacing w:after="0"/>
              <w:rPr>
                <w:sz w:val="20"/>
                <w:szCs w:val="20"/>
                <w:color w:val="auto"/>
              </w:rPr>
            </w:pPr>
            <w:r>
              <w:rPr>
                <w:rFonts w:ascii="Times New Roman" w:cs="Times New Roman" w:eastAsia="Times New Roman" w:hAnsi="Times New Roman"/>
                <w:sz w:val="16"/>
                <w:szCs w:val="16"/>
                <w:i w:val="1"/>
                <w:iCs w:val="1"/>
                <w:color w:val="1E1E1E"/>
              </w:rPr>
              <w:t>(in thousands)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54"/>
        </w:trPr>
        <w:tc>
          <w:tcPr>
            <w:tcW w:w="56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Balance as of Beginning of Period</w:t>
            </w:r>
          </w:p>
        </w:tc>
        <w:tc>
          <w:tcPr>
            <w:tcW w:w="60" w:type="dxa"/>
            <w:vAlign w:val="bottom"/>
            <w:shd w:val="clear" w:color="auto" w:fill="E2E2E2"/>
          </w:tcPr>
          <w:p>
            <w:pPr>
              <w:spacing w:after="0"/>
              <w:rPr>
                <w:sz w:val="22"/>
                <w:szCs w:val="22"/>
                <w:color w:val="auto"/>
              </w:rPr>
            </w:pPr>
          </w:p>
        </w:tc>
        <w:tc>
          <w:tcPr>
            <w:tcW w:w="1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300" w:type="dxa"/>
            <w:vAlign w:val="bottom"/>
            <w:gridSpan w:val="3"/>
            <w:shd w:val="clear" w:color="auto" w:fill="E2E2E2"/>
          </w:tcPr>
          <w:p>
            <w:pPr>
              <w:jc w:val="right"/>
              <w:ind w:right="99"/>
              <w:spacing w:after="0"/>
              <w:rPr>
                <w:sz w:val="20"/>
                <w:szCs w:val="20"/>
                <w:color w:val="auto"/>
              </w:rPr>
            </w:pPr>
            <w:r>
              <w:rPr>
                <w:rFonts w:ascii="Times New Roman" w:cs="Times New Roman" w:eastAsia="Times New Roman" w:hAnsi="Times New Roman"/>
                <w:sz w:val="20"/>
                <w:szCs w:val="20"/>
                <w:color w:val="1E1E1E"/>
                <w:w w:val="79"/>
              </w:rPr>
              <w:t>$</w:t>
            </w:r>
          </w:p>
        </w:tc>
        <w:tc>
          <w:tcPr>
            <w:tcW w:w="1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9,579</w:t>
            </w:r>
          </w:p>
        </w:tc>
        <w:tc>
          <w:tcPr>
            <w:tcW w:w="2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60" w:type="dxa"/>
            <w:vAlign w:val="bottom"/>
            <w:gridSpan w:val="2"/>
            <w:shd w:val="clear" w:color="auto" w:fill="E2E2E2"/>
          </w:tcPr>
          <w:p>
            <w:pPr>
              <w:jc w:val="right"/>
              <w:ind w:right="59"/>
              <w:spacing w:after="0"/>
              <w:rPr>
                <w:sz w:val="20"/>
                <w:szCs w:val="20"/>
                <w:color w:val="auto"/>
              </w:rPr>
            </w:pPr>
            <w:r>
              <w:rPr>
                <w:rFonts w:ascii="Times New Roman" w:cs="Times New Roman" w:eastAsia="Times New Roman" w:hAnsi="Times New Roman"/>
                <w:sz w:val="20"/>
                <w:szCs w:val="20"/>
                <w:color w:val="1E1E1E"/>
                <w:w w:val="79"/>
              </w:rPr>
              <w:t>$</w:t>
            </w: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10,249</w:t>
            </w:r>
          </w:p>
        </w:tc>
      </w:tr>
      <w:tr>
        <w:trPr>
          <w:trHeight w:val="254"/>
        </w:trPr>
        <w:tc>
          <w:tcPr>
            <w:tcW w:w="5900" w:type="dxa"/>
            <w:vAlign w:val="bottom"/>
            <w:gridSpan w:val="4"/>
          </w:tcPr>
          <w:p>
            <w:pPr>
              <w:spacing w:after="0"/>
              <w:rPr>
                <w:sz w:val="20"/>
                <w:szCs w:val="20"/>
                <w:color w:val="auto"/>
              </w:rPr>
            </w:pPr>
            <w:r>
              <w:rPr>
                <w:rFonts w:ascii="Times New Roman" w:cs="Times New Roman" w:eastAsia="Times New Roman" w:hAnsi="Times New Roman"/>
                <w:sz w:val="20"/>
                <w:szCs w:val="20"/>
                <w:color w:val="1E1E1E"/>
              </w:rPr>
              <w:t>Gift cards sold</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18,975</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18,116</w:t>
            </w:r>
          </w:p>
        </w:tc>
      </w:tr>
      <w:tr>
        <w:trPr>
          <w:trHeight w:val="254"/>
        </w:trPr>
        <w:tc>
          <w:tcPr>
            <w:tcW w:w="56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Gift cards redeemed</w:t>
            </w:r>
          </w:p>
        </w:tc>
        <w:tc>
          <w:tcPr>
            <w:tcW w:w="60" w:type="dxa"/>
            <w:vAlign w:val="bottom"/>
            <w:shd w:val="clear" w:color="auto" w:fill="E2E2E2"/>
          </w:tcPr>
          <w:p>
            <w:pPr>
              <w:spacing w:after="0"/>
              <w:rPr>
                <w:sz w:val="22"/>
                <w:szCs w:val="22"/>
                <w:color w:val="auto"/>
              </w:rPr>
            </w:pPr>
          </w:p>
        </w:tc>
        <w:tc>
          <w:tcPr>
            <w:tcW w:w="1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4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40" w:type="dxa"/>
            <w:vAlign w:val="bottom"/>
            <w:shd w:val="clear" w:color="auto" w:fill="E2E2E2"/>
          </w:tcPr>
          <w:p>
            <w:pPr>
              <w:spacing w:after="0"/>
              <w:rPr>
                <w:sz w:val="22"/>
                <w:szCs w:val="22"/>
                <w:color w:val="auto"/>
              </w:rPr>
            </w:pPr>
          </w:p>
        </w:tc>
        <w:tc>
          <w:tcPr>
            <w:tcW w:w="1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(17,173)</w:t>
            </w:r>
          </w:p>
        </w:tc>
        <w:tc>
          <w:tcPr>
            <w:tcW w:w="2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40" w:type="dxa"/>
            <w:vAlign w:val="bottom"/>
            <w:shd w:val="clear" w:color="auto" w:fill="E2E2E2"/>
          </w:tcPr>
          <w:p>
            <w:pPr>
              <w:spacing w:after="0"/>
              <w:rPr>
                <w:sz w:val="22"/>
                <w:szCs w:val="22"/>
                <w:color w:val="auto"/>
              </w:rPr>
            </w:pP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(16,940)</w:t>
            </w:r>
          </w:p>
        </w:tc>
      </w:tr>
      <w:tr>
        <w:trPr>
          <w:trHeight w:val="254"/>
        </w:trPr>
        <w:tc>
          <w:tcPr>
            <w:tcW w:w="5900" w:type="dxa"/>
            <w:vAlign w:val="bottom"/>
            <w:tcBorders>
              <w:bottom w:val="single" w:sz="8" w:color="E2E2E2"/>
            </w:tcBorders>
            <w:gridSpan w:val="4"/>
          </w:tcPr>
          <w:p>
            <w:pPr>
              <w:spacing w:after="0"/>
              <w:rPr>
                <w:sz w:val="20"/>
                <w:szCs w:val="20"/>
                <w:color w:val="auto"/>
              </w:rPr>
            </w:pPr>
            <w:r>
              <w:rPr>
                <w:rFonts w:ascii="Times New Roman" w:cs="Times New Roman" w:eastAsia="Times New Roman" w:hAnsi="Times New Roman"/>
                <w:sz w:val="20"/>
                <w:szCs w:val="20"/>
                <w:color w:val="1E1E1E"/>
              </w:rPr>
              <w:t>Gift card breakage</w:t>
            </w:r>
          </w:p>
        </w:tc>
        <w:tc>
          <w:tcPr>
            <w:tcW w:w="40" w:type="dxa"/>
            <w:vAlign w:val="bottom"/>
            <w:tcBorders>
              <w:bottom w:val="single" w:sz="8" w:color="1E1E1E"/>
            </w:tcBorders>
          </w:tcPr>
          <w:p>
            <w:pPr>
              <w:spacing w:after="0"/>
              <w:rPr>
                <w:sz w:val="22"/>
                <w:szCs w:val="22"/>
                <w:color w:val="auto"/>
              </w:rPr>
            </w:pPr>
          </w:p>
        </w:tc>
        <w:tc>
          <w:tcPr>
            <w:tcW w:w="20" w:type="dxa"/>
            <w:vAlign w:val="bottom"/>
            <w:tcBorders>
              <w:bottom w:val="single" w:sz="8" w:color="1E1E1E"/>
            </w:tcBorders>
          </w:tcPr>
          <w:p>
            <w:pPr>
              <w:spacing w:after="0"/>
              <w:rPr>
                <w:sz w:val="22"/>
                <w:szCs w:val="22"/>
                <w:color w:val="auto"/>
              </w:rPr>
            </w:pPr>
          </w:p>
        </w:tc>
        <w:tc>
          <w:tcPr>
            <w:tcW w:w="240" w:type="dxa"/>
            <w:vAlign w:val="bottom"/>
            <w:tcBorders>
              <w:bottom w:val="single" w:sz="8" w:color="1E1E1E"/>
            </w:tcBorders>
          </w:tcPr>
          <w:p>
            <w:pPr>
              <w:spacing w:after="0"/>
              <w:rPr>
                <w:sz w:val="22"/>
                <w:szCs w:val="22"/>
                <w:color w:val="auto"/>
              </w:rPr>
            </w:pPr>
          </w:p>
        </w:tc>
        <w:tc>
          <w:tcPr>
            <w:tcW w:w="17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(1,599)</w:t>
            </w:r>
          </w:p>
        </w:tc>
        <w:tc>
          <w:tcPr>
            <w:tcW w:w="20" w:type="dxa"/>
            <w:vAlign w:val="bottom"/>
            <w:tcBorders>
              <w:bottom w:val="single" w:sz="8" w:color="E2E2E2"/>
            </w:tcBorders>
          </w:tcPr>
          <w:p>
            <w:pPr>
              <w:spacing w:after="0"/>
              <w:rPr>
                <w:sz w:val="22"/>
                <w:szCs w:val="22"/>
                <w:color w:val="auto"/>
              </w:rPr>
            </w:pPr>
          </w:p>
        </w:tc>
        <w:tc>
          <w:tcPr>
            <w:tcW w:w="200" w:type="dxa"/>
            <w:vAlign w:val="bottom"/>
            <w:tcBorders>
              <w:bottom w:val="single" w:sz="8" w:color="E2E2E2"/>
            </w:tcBorders>
          </w:tcPr>
          <w:p>
            <w:pPr>
              <w:spacing w:after="0"/>
              <w:rPr>
                <w:sz w:val="22"/>
                <w:szCs w:val="22"/>
                <w:color w:val="auto"/>
              </w:rPr>
            </w:pPr>
          </w:p>
        </w:tc>
        <w:tc>
          <w:tcPr>
            <w:tcW w:w="20" w:type="dxa"/>
            <w:vAlign w:val="bottom"/>
            <w:tcBorders>
              <w:bottom w:val="single" w:sz="8" w:color="E2E2E2"/>
            </w:tcBorders>
          </w:tcPr>
          <w:p>
            <w:pPr>
              <w:spacing w:after="0"/>
              <w:rPr>
                <w:sz w:val="22"/>
                <w:szCs w:val="22"/>
                <w:color w:val="auto"/>
              </w:rPr>
            </w:pPr>
          </w:p>
        </w:tc>
        <w:tc>
          <w:tcPr>
            <w:tcW w:w="20" w:type="dxa"/>
            <w:vAlign w:val="bottom"/>
            <w:tcBorders>
              <w:bottom w:val="single" w:sz="8" w:color="1E1E1E"/>
            </w:tcBorders>
          </w:tcPr>
          <w:p>
            <w:pPr>
              <w:spacing w:after="0"/>
              <w:rPr>
                <w:sz w:val="22"/>
                <w:szCs w:val="22"/>
                <w:color w:val="auto"/>
              </w:rPr>
            </w:pPr>
          </w:p>
        </w:tc>
        <w:tc>
          <w:tcPr>
            <w:tcW w:w="240" w:type="dxa"/>
            <w:vAlign w:val="bottom"/>
            <w:tcBorders>
              <w:bottom w:val="single" w:sz="8" w:color="1E1E1E"/>
            </w:tcBorders>
          </w:tcPr>
          <w:p>
            <w:pPr>
              <w:spacing w:after="0"/>
              <w:rPr>
                <w:sz w:val="22"/>
                <w:szCs w:val="22"/>
                <w:color w:val="auto"/>
              </w:rPr>
            </w:pPr>
          </w:p>
        </w:tc>
        <w:tc>
          <w:tcPr>
            <w:tcW w:w="17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(1,846)</w:t>
            </w:r>
          </w:p>
        </w:tc>
      </w:tr>
      <w:tr>
        <w:trPr>
          <w:trHeight w:val="243"/>
        </w:trPr>
        <w:tc>
          <w:tcPr>
            <w:tcW w:w="56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Balance as of End of Period</w:t>
            </w:r>
          </w:p>
        </w:tc>
        <w:tc>
          <w:tcPr>
            <w:tcW w:w="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20" w:type="dxa"/>
            <w:vAlign w:val="bottom"/>
            <w:tcBorders>
              <w:bottom w:val="single" w:sz="8" w:color="1E1E1E"/>
            </w:tcBorders>
            <w:shd w:val="clear" w:color="auto" w:fill="E2E2E2"/>
          </w:tcPr>
          <w:p>
            <w:pPr>
              <w:spacing w:after="0"/>
              <w:rPr>
                <w:sz w:val="21"/>
                <w:szCs w:val="21"/>
                <w:color w:val="auto"/>
              </w:rPr>
            </w:pPr>
          </w:p>
        </w:tc>
        <w:tc>
          <w:tcPr>
            <w:tcW w:w="300" w:type="dxa"/>
            <w:vAlign w:val="bottom"/>
            <w:tcBorders>
              <w:bottom w:val="single" w:sz="8" w:color="1E1E1E"/>
            </w:tcBorders>
            <w:gridSpan w:val="3"/>
            <w:shd w:val="clear" w:color="auto" w:fill="E2E2E2"/>
          </w:tcPr>
          <w:p>
            <w:pPr>
              <w:jc w:val="right"/>
              <w:ind w:right="99"/>
              <w:spacing w:after="0"/>
              <w:rPr>
                <w:sz w:val="20"/>
                <w:szCs w:val="20"/>
                <w:color w:val="auto"/>
              </w:rPr>
            </w:pPr>
            <w:r>
              <w:rPr>
                <w:rFonts w:ascii="Times New Roman" w:cs="Times New Roman" w:eastAsia="Times New Roman" w:hAnsi="Times New Roman"/>
                <w:sz w:val="20"/>
                <w:szCs w:val="20"/>
                <w:color w:val="1E1E1E"/>
                <w:w w:val="79"/>
              </w:rPr>
              <w:t>$</w:t>
            </w:r>
          </w:p>
        </w:tc>
        <w:tc>
          <w:tcPr>
            <w:tcW w:w="17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9,782</w:t>
            </w:r>
          </w:p>
        </w:tc>
        <w:tc>
          <w:tcPr>
            <w:tcW w:w="20" w:type="dxa"/>
            <w:vAlign w:val="bottom"/>
            <w:shd w:val="clear" w:color="auto" w:fill="E2E2E2"/>
          </w:tcPr>
          <w:p>
            <w:pPr>
              <w:spacing w:after="0"/>
              <w:rPr>
                <w:sz w:val="21"/>
                <w:szCs w:val="21"/>
                <w:color w:val="auto"/>
              </w:rPr>
            </w:pPr>
          </w:p>
        </w:tc>
        <w:tc>
          <w:tcPr>
            <w:tcW w:w="200" w:type="dxa"/>
            <w:vAlign w:val="bottom"/>
            <w:shd w:val="clear" w:color="auto" w:fill="E2E2E2"/>
          </w:tcPr>
          <w:p>
            <w:pPr>
              <w:spacing w:after="0"/>
              <w:rPr>
                <w:sz w:val="21"/>
                <w:szCs w:val="21"/>
                <w:color w:val="auto"/>
              </w:rPr>
            </w:pPr>
          </w:p>
        </w:tc>
        <w:tc>
          <w:tcPr>
            <w:tcW w:w="20" w:type="dxa"/>
            <w:vAlign w:val="bottom"/>
            <w:tcBorders>
              <w:bottom w:val="single" w:sz="8" w:color="1E1E1E"/>
            </w:tcBorders>
            <w:shd w:val="clear" w:color="auto" w:fill="E2E2E2"/>
          </w:tcPr>
          <w:p>
            <w:pPr>
              <w:spacing w:after="0"/>
              <w:rPr>
                <w:sz w:val="21"/>
                <w:szCs w:val="21"/>
                <w:color w:val="auto"/>
              </w:rPr>
            </w:pPr>
          </w:p>
        </w:tc>
        <w:tc>
          <w:tcPr>
            <w:tcW w:w="260" w:type="dxa"/>
            <w:vAlign w:val="bottom"/>
            <w:tcBorders>
              <w:bottom w:val="single" w:sz="8" w:color="1E1E1E"/>
            </w:tcBorders>
            <w:gridSpan w:val="2"/>
            <w:shd w:val="clear" w:color="auto" w:fill="E2E2E2"/>
          </w:tcPr>
          <w:p>
            <w:pPr>
              <w:jc w:val="right"/>
              <w:ind w:right="59"/>
              <w:spacing w:after="0"/>
              <w:rPr>
                <w:sz w:val="20"/>
                <w:szCs w:val="20"/>
                <w:color w:val="auto"/>
              </w:rPr>
            </w:pPr>
            <w:r>
              <w:rPr>
                <w:rFonts w:ascii="Times New Roman" w:cs="Times New Roman" w:eastAsia="Times New Roman" w:hAnsi="Times New Roman"/>
                <w:sz w:val="20"/>
                <w:szCs w:val="20"/>
                <w:color w:val="1E1E1E"/>
                <w:w w:val="79"/>
              </w:rPr>
              <w:t>$</w:t>
            </w:r>
          </w:p>
        </w:tc>
        <w:tc>
          <w:tcPr>
            <w:tcW w:w="17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9,579</w:t>
            </w:r>
          </w:p>
        </w:tc>
      </w:tr>
      <w:tr>
        <w:trPr>
          <w:trHeight w:val="736"/>
        </w:trPr>
        <w:tc>
          <w:tcPr>
            <w:tcW w:w="59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1E1E1E"/>
              </w:rPr>
              <w:t>9.  INCOME TAXES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28"/>
        </w:trPr>
        <w:tc>
          <w:tcPr>
            <w:tcW w:w="5900" w:type="dxa"/>
            <w:vAlign w:val="bottom"/>
            <w:gridSpan w:val="4"/>
          </w:tcPr>
          <w:p>
            <w:pPr>
              <w:ind w:left="480"/>
              <w:spacing w:after="0"/>
              <w:rPr>
                <w:sz w:val="20"/>
                <w:szCs w:val="20"/>
                <w:color w:val="auto"/>
              </w:rPr>
            </w:pPr>
            <w:r>
              <w:rPr>
                <w:rFonts w:ascii="Times New Roman" w:cs="Times New Roman" w:eastAsia="Times New Roman" w:hAnsi="Times New Roman"/>
                <w:sz w:val="20"/>
                <w:szCs w:val="20"/>
                <w:color w:val="1E1E1E"/>
              </w:rPr>
              <w:t>The components of income tax expense were as follows: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569"/>
        </w:trPr>
        <w:tc>
          <w:tcPr>
            <w:tcW w:w="5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1E1E1E"/>
            </w:tcBorders>
          </w:tcPr>
          <w:p>
            <w:pPr>
              <w:spacing w:after="0"/>
              <w:rPr>
                <w:sz w:val="24"/>
                <w:szCs w:val="24"/>
                <w:color w:val="auto"/>
              </w:rPr>
            </w:pPr>
          </w:p>
        </w:tc>
        <w:tc>
          <w:tcPr>
            <w:tcW w:w="4040" w:type="dxa"/>
            <w:vAlign w:val="bottom"/>
            <w:tcBorders>
              <w:bottom w:val="single" w:sz="8" w:color="1E1E1E"/>
            </w:tcBorders>
            <w:gridSpan w:val="7"/>
          </w:tcPr>
          <w:p>
            <w:pPr>
              <w:jc w:val="right"/>
              <w:ind w:right="1402"/>
              <w:spacing w:after="0"/>
              <w:rPr>
                <w:sz w:val="20"/>
                <w:szCs w:val="20"/>
                <w:color w:val="auto"/>
              </w:rPr>
            </w:pPr>
            <w:r>
              <w:rPr>
                <w:rFonts w:ascii="Times New Roman" w:cs="Times New Roman" w:eastAsia="Times New Roman" w:hAnsi="Times New Roman"/>
                <w:sz w:val="16"/>
                <w:szCs w:val="16"/>
                <w:b w:val="1"/>
                <w:bCs w:val="1"/>
                <w:color w:val="1E1E1E"/>
              </w:rPr>
              <w:t>Fiscal Year Ended</w:t>
            </w:r>
          </w:p>
        </w:tc>
      </w:tr>
      <w:tr>
        <w:trPr>
          <w:trHeight w:val="220"/>
        </w:trPr>
        <w:tc>
          <w:tcPr>
            <w:tcW w:w="5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1E1E1E"/>
            </w:tcBorders>
          </w:tcPr>
          <w:p>
            <w:pPr>
              <w:spacing w:after="0"/>
              <w:rPr>
                <w:sz w:val="19"/>
                <w:szCs w:val="19"/>
                <w:color w:val="auto"/>
              </w:rPr>
            </w:pPr>
          </w:p>
        </w:tc>
        <w:tc>
          <w:tcPr>
            <w:tcW w:w="1760" w:type="dxa"/>
            <w:vAlign w:val="bottom"/>
            <w:tcBorders>
              <w:bottom w:val="single" w:sz="8" w:color="1E1E1E"/>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1E1E1E"/>
              </w:rPr>
              <w:t>February 2, 2025</w:t>
            </w:r>
          </w:p>
        </w:tc>
        <w:tc>
          <w:tcPr>
            <w:tcW w:w="20" w:type="dxa"/>
            <w:vAlign w:val="bottom"/>
            <w:tcBorders>
              <w:bottom w:val="single" w:sz="8" w:color="1E1E1E"/>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1E1E1E"/>
            </w:tcBorders>
          </w:tcPr>
          <w:p>
            <w:pPr>
              <w:spacing w:after="0"/>
              <w:rPr>
                <w:sz w:val="19"/>
                <w:szCs w:val="19"/>
                <w:color w:val="auto"/>
              </w:rPr>
            </w:pPr>
          </w:p>
        </w:tc>
        <w:tc>
          <w:tcPr>
            <w:tcW w:w="1780" w:type="dxa"/>
            <w:vAlign w:val="bottom"/>
            <w:tcBorders>
              <w:bottom w:val="single" w:sz="8" w:color="1E1E1E"/>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1E1E1E"/>
              </w:rPr>
              <w:t>January 28, 2024</w:t>
            </w:r>
          </w:p>
        </w:tc>
      </w:tr>
      <w:tr>
        <w:trPr>
          <w:trHeight w:val="206"/>
        </w:trPr>
        <w:tc>
          <w:tcPr>
            <w:tcW w:w="5900" w:type="dxa"/>
            <w:vAlign w:val="bottom"/>
            <w:gridSpan w:val="4"/>
          </w:tcPr>
          <w:p>
            <w:pPr>
              <w:spacing w:after="0"/>
              <w:rPr>
                <w:sz w:val="20"/>
                <w:szCs w:val="20"/>
                <w:color w:val="auto"/>
              </w:rPr>
            </w:pPr>
            <w:r>
              <w:rPr>
                <w:rFonts w:ascii="Times New Roman" w:cs="Times New Roman" w:eastAsia="Times New Roman" w:hAnsi="Times New Roman"/>
                <w:sz w:val="16"/>
                <w:szCs w:val="16"/>
                <w:i w:val="1"/>
                <w:iCs w:val="1"/>
                <w:color w:val="1E1E1E"/>
              </w:rPr>
              <w:t>(in thousands)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26"/>
        </w:trPr>
        <w:tc>
          <w:tcPr>
            <w:tcW w:w="5720" w:type="dxa"/>
            <w:vAlign w:val="bottom"/>
            <w:gridSpan w:val="2"/>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Current:</w:t>
            </w:r>
          </w:p>
        </w:tc>
        <w:tc>
          <w:tcPr>
            <w:tcW w:w="180" w:type="dxa"/>
            <w:vAlign w:val="bottom"/>
            <w:gridSpan w:val="2"/>
            <w:shd w:val="clear" w:color="auto" w:fill="E2E2E2"/>
          </w:tcPr>
          <w:p>
            <w:pPr>
              <w:spacing w:after="0"/>
              <w:rPr>
                <w:sz w:val="19"/>
                <w:szCs w:val="19"/>
                <w:color w:val="auto"/>
              </w:rPr>
            </w:pPr>
          </w:p>
        </w:tc>
        <w:tc>
          <w:tcPr>
            <w:tcW w:w="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176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1780" w:type="dxa"/>
            <w:vAlign w:val="bottom"/>
            <w:shd w:val="clear" w:color="auto" w:fill="E2E2E2"/>
          </w:tcPr>
          <w:p>
            <w:pPr>
              <w:spacing w:after="0"/>
              <w:rPr>
                <w:sz w:val="19"/>
                <w:szCs w:val="19"/>
                <w:color w:val="auto"/>
              </w:rPr>
            </w:pPr>
          </w:p>
        </w:tc>
      </w:tr>
      <w:tr>
        <w:trPr>
          <w:trHeight w:val="226"/>
        </w:trPr>
        <w:tc>
          <w:tcPr>
            <w:tcW w:w="5720" w:type="dxa"/>
            <w:vAlign w:val="bottom"/>
            <w:gridSpan w:val="2"/>
          </w:tcPr>
          <w:p>
            <w:pPr>
              <w:ind w:left="120"/>
              <w:spacing w:after="0" w:line="226" w:lineRule="exact"/>
              <w:rPr>
                <w:sz w:val="20"/>
                <w:szCs w:val="20"/>
                <w:color w:val="auto"/>
              </w:rPr>
            </w:pPr>
            <w:r>
              <w:rPr>
                <w:rFonts w:ascii="Times New Roman" w:cs="Times New Roman" w:eastAsia="Times New Roman" w:hAnsi="Times New Roman"/>
                <w:sz w:val="20"/>
                <w:szCs w:val="20"/>
                <w:color w:val="1E1E1E"/>
              </w:rPr>
              <w:t>Federal</w:t>
            </w:r>
          </w:p>
        </w:tc>
        <w:tc>
          <w:tcPr>
            <w:tcW w:w="180" w:type="dxa"/>
            <w:vAlign w:val="bottom"/>
            <w:gridSpan w:val="2"/>
          </w:tcPr>
          <w:p>
            <w:pPr>
              <w:spacing w:after="0"/>
              <w:rPr>
                <w:sz w:val="19"/>
                <w:szCs w:val="19"/>
                <w:color w:val="auto"/>
              </w:rPr>
            </w:pPr>
          </w:p>
        </w:tc>
        <w:tc>
          <w:tcPr>
            <w:tcW w:w="300" w:type="dxa"/>
            <w:vAlign w:val="bottom"/>
            <w:gridSpan w:val="3"/>
          </w:tcPr>
          <w:p>
            <w:pPr>
              <w:jc w:val="right"/>
              <w:ind w:right="39"/>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7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1</w:t>
            </w:r>
          </w:p>
        </w:tc>
        <w:tc>
          <w:tcPr>
            <w:tcW w:w="500" w:type="dxa"/>
            <w:vAlign w:val="bottom"/>
            <w:gridSpan w:val="5"/>
          </w:tcPr>
          <w:p>
            <w:pPr>
              <w:jc w:val="right"/>
              <w:ind w:right="39"/>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7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(638)</w:t>
            </w:r>
          </w:p>
        </w:tc>
      </w:tr>
      <w:tr>
        <w:trPr>
          <w:trHeight w:val="226"/>
        </w:trPr>
        <w:tc>
          <w:tcPr>
            <w:tcW w:w="5720" w:type="dxa"/>
            <w:vAlign w:val="bottom"/>
            <w:gridSpan w:val="2"/>
            <w:shd w:val="clear" w:color="auto" w:fill="E2E2E2"/>
          </w:tcPr>
          <w:p>
            <w:pPr>
              <w:ind w:left="120"/>
              <w:spacing w:after="0" w:line="226" w:lineRule="exact"/>
              <w:rPr>
                <w:sz w:val="20"/>
                <w:szCs w:val="20"/>
                <w:color w:val="auto"/>
              </w:rPr>
            </w:pPr>
            <w:r>
              <w:rPr>
                <w:rFonts w:ascii="Times New Roman" w:cs="Times New Roman" w:eastAsia="Times New Roman" w:hAnsi="Times New Roman"/>
                <w:sz w:val="20"/>
                <w:szCs w:val="20"/>
                <w:color w:val="1E1E1E"/>
              </w:rPr>
              <w:t>State</w:t>
            </w:r>
          </w:p>
        </w:tc>
        <w:tc>
          <w:tcPr>
            <w:tcW w:w="16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40" w:type="dxa"/>
            <w:vAlign w:val="bottom"/>
            <w:tcBorders>
              <w:bottom w:val="single" w:sz="8" w:color="1E1E1E"/>
            </w:tcBorders>
            <w:shd w:val="clear" w:color="auto" w:fill="E2E2E2"/>
          </w:tcPr>
          <w:p>
            <w:pPr>
              <w:spacing w:after="0"/>
              <w:rPr>
                <w:sz w:val="19"/>
                <w:szCs w:val="19"/>
                <w:color w:val="auto"/>
              </w:rPr>
            </w:pPr>
          </w:p>
        </w:tc>
        <w:tc>
          <w:tcPr>
            <w:tcW w:w="1760" w:type="dxa"/>
            <w:vAlign w:val="bottom"/>
            <w:tcBorders>
              <w:bottom w:val="single" w:sz="8" w:color="1E1E1E"/>
            </w:tcBorders>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426</w:t>
            </w:r>
          </w:p>
        </w:tc>
        <w:tc>
          <w:tcPr>
            <w:tcW w:w="20" w:type="dxa"/>
            <w:vAlign w:val="bottom"/>
            <w:tcBorders>
              <w:bottom w:val="single" w:sz="8" w:color="1E1E1E"/>
            </w:tcBorders>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40" w:type="dxa"/>
            <w:vAlign w:val="bottom"/>
            <w:tcBorders>
              <w:bottom w:val="single" w:sz="8" w:color="1E1E1E"/>
            </w:tcBorders>
            <w:shd w:val="clear" w:color="auto" w:fill="E2E2E2"/>
          </w:tcPr>
          <w:p>
            <w:pPr>
              <w:spacing w:after="0"/>
              <w:rPr>
                <w:sz w:val="19"/>
                <w:szCs w:val="19"/>
                <w:color w:val="auto"/>
              </w:rPr>
            </w:pPr>
          </w:p>
        </w:tc>
        <w:tc>
          <w:tcPr>
            <w:tcW w:w="1780" w:type="dxa"/>
            <w:vAlign w:val="bottom"/>
            <w:tcBorders>
              <w:bottom w:val="single" w:sz="8" w:color="1E1E1E"/>
            </w:tcBorders>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230</w:t>
            </w:r>
          </w:p>
        </w:tc>
      </w:tr>
      <w:tr>
        <w:trPr>
          <w:trHeight w:val="201"/>
        </w:trPr>
        <w:tc>
          <w:tcPr>
            <w:tcW w:w="5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1E1E1E"/>
              </w:rPr>
              <w:t>427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1E1E1E"/>
              </w:rPr>
              <w:t>(408)</w:t>
            </w:r>
          </w:p>
        </w:tc>
      </w:tr>
      <w:tr>
        <w:trPr>
          <w:trHeight w:val="226"/>
        </w:trPr>
        <w:tc>
          <w:tcPr>
            <w:tcW w:w="5720" w:type="dxa"/>
            <w:vAlign w:val="bottom"/>
            <w:gridSpan w:val="2"/>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Deferred:</w:t>
            </w:r>
          </w:p>
        </w:tc>
        <w:tc>
          <w:tcPr>
            <w:tcW w:w="16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176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1780" w:type="dxa"/>
            <w:vAlign w:val="bottom"/>
            <w:shd w:val="clear" w:color="auto" w:fill="E2E2E2"/>
          </w:tcPr>
          <w:p>
            <w:pPr>
              <w:spacing w:after="0"/>
              <w:rPr>
                <w:sz w:val="19"/>
                <w:szCs w:val="19"/>
                <w:color w:val="auto"/>
              </w:rPr>
            </w:pPr>
          </w:p>
        </w:tc>
      </w:tr>
      <w:tr>
        <w:trPr>
          <w:trHeight w:val="226"/>
        </w:trPr>
        <w:tc>
          <w:tcPr>
            <w:tcW w:w="5720" w:type="dxa"/>
            <w:vAlign w:val="bottom"/>
            <w:gridSpan w:val="2"/>
          </w:tcPr>
          <w:p>
            <w:pPr>
              <w:ind w:left="120"/>
              <w:spacing w:after="0" w:line="226" w:lineRule="exact"/>
              <w:rPr>
                <w:sz w:val="20"/>
                <w:szCs w:val="20"/>
                <w:color w:val="auto"/>
              </w:rPr>
            </w:pPr>
            <w:r>
              <w:rPr>
                <w:rFonts w:ascii="Times New Roman" w:cs="Times New Roman" w:eastAsia="Times New Roman" w:hAnsi="Times New Roman"/>
                <w:sz w:val="20"/>
                <w:szCs w:val="20"/>
                <w:color w:val="1E1E1E"/>
              </w:rPr>
              <w:t>Federal</w:t>
            </w:r>
          </w:p>
        </w:tc>
        <w:tc>
          <w:tcPr>
            <w:tcW w:w="18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136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(1,879)</w:t>
            </w:r>
          </w:p>
        </w:tc>
      </w:tr>
      <w:tr>
        <w:trPr>
          <w:trHeight w:val="226"/>
        </w:trPr>
        <w:tc>
          <w:tcPr>
            <w:tcW w:w="5900" w:type="dxa"/>
            <w:vAlign w:val="bottom"/>
            <w:gridSpan w:val="4"/>
            <w:shd w:val="clear" w:color="auto" w:fill="E2E2E2"/>
          </w:tcPr>
          <w:p>
            <w:pPr>
              <w:ind w:left="120"/>
              <w:spacing w:after="0" w:line="226" w:lineRule="exact"/>
              <w:rPr>
                <w:sz w:val="20"/>
                <w:szCs w:val="20"/>
                <w:color w:val="auto"/>
              </w:rPr>
            </w:pPr>
            <w:r>
              <w:rPr>
                <w:rFonts w:ascii="Times New Roman" w:cs="Times New Roman" w:eastAsia="Times New Roman" w:hAnsi="Times New Roman"/>
                <w:sz w:val="20"/>
                <w:szCs w:val="20"/>
                <w:color w:val="1E1E1E"/>
              </w:rPr>
              <w:t>State</w:t>
            </w:r>
          </w:p>
        </w:tc>
        <w:tc>
          <w:tcPr>
            <w:tcW w:w="4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40" w:type="dxa"/>
            <w:vAlign w:val="bottom"/>
            <w:tcBorders>
              <w:bottom w:val="single" w:sz="8" w:color="1E1E1E"/>
            </w:tcBorders>
            <w:shd w:val="clear" w:color="auto" w:fill="E2E2E2"/>
          </w:tcPr>
          <w:p>
            <w:pPr>
              <w:spacing w:after="0"/>
              <w:rPr>
                <w:sz w:val="19"/>
                <w:szCs w:val="19"/>
                <w:color w:val="auto"/>
              </w:rPr>
            </w:pPr>
          </w:p>
        </w:tc>
        <w:tc>
          <w:tcPr>
            <w:tcW w:w="1760" w:type="dxa"/>
            <w:vAlign w:val="bottom"/>
            <w:tcBorders>
              <w:bottom w:val="single" w:sz="8" w:color="1E1E1E"/>
            </w:tcBorders>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1,807</w:t>
            </w:r>
          </w:p>
        </w:tc>
        <w:tc>
          <w:tcPr>
            <w:tcW w:w="20" w:type="dxa"/>
            <w:vAlign w:val="bottom"/>
            <w:tcBorders>
              <w:bottom w:val="single" w:sz="8" w:color="1E1E1E"/>
            </w:tcBorders>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240" w:type="dxa"/>
            <w:vAlign w:val="bottom"/>
            <w:tcBorders>
              <w:bottom w:val="single" w:sz="8" w:color="1E1E1E"/>
            </w:tcBorders>
            <w:shd w:val="clear" w:color="auto" w:fill="E2E2E2"/>
          </w:tcPr>
          <w:p>
            <w:pPr>
              <w:spacing w:after="0"/>
              <w:rPr>
                <w:sz w:val="19"/>
                <w:szCs w:val="19"/>
                <w:color w:val="auto"/>
              </w:rPr>
            </w:pPr>
          </w:p>
        </w:tc>
        <w:tc>
          <w:tcPr>
            <w:tcW w:w="1780" w:type="dxa"/>
            <w:vAlign w:val="bottom"/>
            <w:tcBorders>
              <w:bottom w:val="single" w:sz="8" w:color="1E1E1E"/>
            </w:tcBorders>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(575)</w:t>
            </w:r>
          </w:p>
        </w:tc>
      </w:tr>
      <w:tr>
        <w:trPr>
          <w:trHeight w:val="206"/>
        </w:trPr>
        <w:tc>
          <w:tcPr>
            <w:tcW w:w="5660" w:type="dxa"/>
            <w:vAlign w:val="bottom"/>
            <w:tcBorders>
              <w:bottom w:val="single" w:sz="8" w:color="E2E2E2"/>
            </w:tcBorders>
          </w:tcPr>
          <w:p>
            <w:pPr>
              <w:spacing w:after="0"/>
              <w:rPr>
                <w:sz w:val="17"/>
                <w:szCs w:val="17"/>
                <w:color w:val="auto"/>
              </w:rPr>
            </w:pPr>
          </w:p>
        </w:tc>
        <w:tc>
          <w:tcPr>
            <w:tcW w:w="60" w:type="dxa"/>
            <w:vAlign w:val="bottom"/>
            <w:tcBorders>
              <w:bottom w:val="single" w:sz="8" w:color="E2E2E2"/>
            </w:tcBorders>
          </w:tcPr>
          <w:p>
            <w:pPr>
              <w:spacing w:after="0"/>
              <w:rPr>
                <w:sz w:val="17"/>
                <w:szCs w:val="17"/>
                <w:color w:val="auto"/>
              </w:rPr>
            </w:pPr>
          </w:p>
        </w:tc>
        <w:tc>
          <w:tcPr>
            <w:tcW w:w="16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4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1760" w:type="dxa"/>
            <w:vAlign w:val="bottom"/>
            <w:tcBorders>
              <w:bottom w:val="single" w:sz="8" w:color="1E1E1E"/>
            </w:tcBorders>
          </w:tcPr>
          <w:p>
            <w:pPr>
              <w:jc w:val="right"/>
              <w:spacing w:after="0" w:line="206" w:lineRule="exact"/>
              <w:rPr>
                <w:sz w:val="20"/>
                <w:szCs w:val="20"/>
                <w:color w:val="auto"/>
              </w:rPr>
            </w:pPr>
            <w:r>
              <w:rPr>
                <w:rFonts w:ascii="Times New Roman" w:cs="Times New Roman" w:eastAsia="Times New Roman" w:hAnsi="Times New Roman"/>
                <w:sz w:val="20"/>
                <w:szCs w:val="20"/>
                <w:color w:val="1E1E1E"/>
              </w:rPr>
              <w:t>1,943</w:t>
            </w:r>
          </w:p>
        </w:tc>
        <w:tc>
          <w:tcPr>
            <w:tcW w:w="20" w:type="dxa"/>
            <w:vAlign w:val="bottom"/>
            <w:tcBorders>
              <w:bottom w:val="single" w:sz="8" w:color="1E1E1E"/>
            </w:tcBorders>
          </w:tcPr>
          <w:p>
            <w:pPr>
              <w:spacing w:after="0"/>
              <w:rPr>
                <w:sz w:val="17"/>
                <w:szCs w:val="17"/>
                <w:color w:val="auto"/>
              </w:rPr>
            </w:pPr>
          </w:p>
        </w:tc>
        <w:tc>
          <w:tcPr>
            <w:tcW w:w="20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20" w:type="dxa"/>
            <w:vAlign w:val="bottom"/>
            <w:tcBorders>
              <w:bottom w:val="single" w:sz="8" w:color="E2E2E2"/>
            </w:tcBorders>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1780" w:type="dxa"/>
            <w:vAlign w:val="bottom"/>
            <w:tcBorders>
              <w:bottom w:val="single" w:sz="8" w:color="1E1E1E"/>
            </w:tcBorders>
          </w:tcPr>
          <w:p>
            <w:pPr>
              <w:jc w:val="right"/>
              <w:spacing w:after="0" w:line="206" w:lineRule="exact"/>
              <w:rPr>
                <w:sz w:val="20"/>
                <w:szCs w:val="20"/>
                <w:color w:val="auto"/>
              </w:rPr>
            </w:pPr>
            <w:r>
              <w:rPr>
                <w:rFonts w:ascii="Times New Roman" w:cs="Times New Roman" w:eastAsia="Times New Roman" w:hAnsi="Times New Roman"/>
                <w:sz w:val="20"/>
                <w:szCs w:val="20"/>
                <w:color w:val="1E1E1E"/>
              </w:rPr>
              <w:t>(2,454)</w:t>
            </w:r>
          </w:p>
        </w:tc>
      </w:tr>
      <w:tr>
        <w:trPr>
          <w:trHeight w:val="214"/>
        </w:trPr>
        <w:tc>
          <w:tcPr>
            <w:tcW w:w="5720" w:type="dxa"/>
            <w:vAlign w:val="bottom"/>
            <w:gridSpan w:val="2"/>
            <w:shd w:val="clear" w:color="auto" w:fill="E2E2E2"/>
          </w:tcPr>
          <w:p>
            <w:pPr>
              <w:spacing w:after="0" w:line="206" w:lineRule="exact"/>
              <w:rPr>
                <w:sz w:val="20"/>
                <w:szCs w:val="20"/>
                <w:color w:val="auto"/>
              </w:rPr>
            </w:pPr>
            <w:r>
              <w:rPr>
                <w:rFonts w:ascii="Times New Roman" w:cs="Times New Roman" w:eastAsia="Times New Roman" w:hAnsi="Times New Roman"/>
                <w:sz w:val="20"/>
                <w:szCs w:val="20"/>
                <w:color w:val="1E1E1E"/>
              </w:rPr>
              <w:t>Total income tax expense</w:t>
            </w:r>
          </w:p>
        </w:tc>
        <w:tc>
          <w:tcPr>
            <w:tcW w:w="180" w:type="dxa"/>
            <w:vAlign w:val="bottom"/>
            <w:gridSpan w:val="2"/>
            <w:shd w:val="clear" w:color="auto" w:fill="E2E2E2"/>
          </w:tcPr>
          <w:p>
            <w:pPr>
              <w:spacing w:after="0"/>
              <w:rPr>
                <w:sz w:val="18"/>
                <w:szCs w:val="18"/>
                <w:color w:val="auto"/>
              </w:rPr>
            </w:pPr>
          </w:p>
        </w:tc>
        <w:tc>
          <w:tcPr>
            <w:tcW w:w="40" w:type="dxa"/>
            <w:vAlign w:val="bottom"/>
            <w:shd w:val="clear" w:color="auto" w:fill="E2E2E2"/>
          </w:tcPr>
          <w:p>
            <w:pPr>
              <w:spacing w:after="0"/>
              <w:rPr>
                <w:sz w:val="18"/>
                <w:szCs w:val="18"/>
                <w:color w:val="auto"/>
              </w:rPr>
            </w:pPr>
          </w:p>
        </w:tc>
        <w:tc>
          <w:tcPr>
            <w:tcW w:w="20" w:type="dxa"/>
            <w:vAlign w:val="bottom"/>
            <w:tcBorders>
              <w:bottom w:val="single" w:sz="8" w:color="1E1E1E"/>
            </w:tcBorders>
            <w:shd w:val="clear" w:color="auto" w:fill="E2E2E2"/>
          </w:tcPr>
          <w:p>
            <w:pPr>
              <w:spacing w:after="0"/>
              <w:rPr>
                <w:sz w:val="18"/>
                <w:szCs w:val="18"/>
                <w:color w:val="auto"/>
              </w:rPr>
            </w:pPr>
          </w:p>
        </w:tc>
        <w:tc>
          <w:tcPr>
            <w:tcW w:w="240" w:type="dxa"/>
            <w:vAlign w:val="bottom"/>
            <w:tcBorders>
              <w:bottom w:val="single" w:sz="8" w:color="1E1E1E"/>
            </w:tcBorders>
            <w:shd w:val="clear" w:color="auto" w:fill="E2E2E2"/>
          </w:tcPr>
          <w:p>
            <w:pPr>
              <w:jc w:val="right"/>
              <w:ind w:right="39"/>
              <w:spacing w:after="0" w:line="206" w:lineRule="exact"/>
              <w:rPr>
                <w:sz w:val="20"/>
                <w:szCs w:val="20"/>
                <w:color w:val="auto"/>
              </w:rPr>
            </w:pPr>
            <w:r>
              <w:rPr>
                <w:rFonts w:ascii="Times New Roman" w:cs="Times New Roman" w:eastAsia="Times New Roman" w:hAnsi="Times New Roman"/>
                <w:sz w:val="20"/>
                <w:szCs w:val="20"/>
                <w:color w:val="1E1E1E"/>
                <w:w w:val="79"/>
              </w:rPr>
              <w:t>$</w:t>
            </w:r>
          </w:p>
        </w:tc>
        <w:tc>
          <w:tcPr>
            <w:tcW w:w="176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2,370</w:t>
            </w:r>
          </w:p>
        </w:tc>
        <w:tc>
          <w:tcPr>
            <w:tcW w:w="20" w:type="dxa"/>
            <w:vAlign w:val="bottom"/>
            <w:tcBorders>
              <w:bottom w:val="single" w:sz="8" w:color="1E1E1E"/>
            </w:tcBorders>
            <w:shd w:val="clear" w:color="auto" w:fill="E2E2E2"/>
          </w:tcPr>
          <w:p>
            <w:pPr>
              <w:spacing w:after="0"/>
              <w:rPr>
                <w:sz w:val="18"/>
                <w:szCs w:val="18"/>
                <w:color w:val="auto"/>
              </w:rPr>
            </w:pPr>
          </w:p>
        </w:tc>
        <w:tc>
          <w:tcPr>
            <w:tcW w:w="220" w:type="dxa"/>
            <w:vAlign w:val="bottom"/>
            <w:gridSpan w:val="2"/>
            <w:shd w:val="clear" w:color="auto" w:fill="E2E2E2"/>
          </w:tcPr>
          <w:p>
            <w:pPr>
              <w:spacing w:after="0"/>
              <w:rPr>
                <w:sz w:val="18"/>
                <w:szCs w:val="18"/>
                <w:color w:val="auto"/>
              </w:rPr>
            </w:pPr>
          </w:p>
        </w:tc>
        <w:tc>
          <w:tcPr>
            <w:tcW w:w="20" w:type="dxa"/>
            <w:vAlign w:val="bottom"/>
            <w:tcBorders>
              <w:bottom w:val="single" w:sz="8" w:color="1E1E1E"/>
            </w:tcBorders>
            <w:shd w:val="clear" w:color="auto" w:fill="E2E2E2"/>
          </w:tcPr>
          <w:p>
            <w:pPr>
              <w:spacing w:after="0"/>
              <w:rPr>
                <w:sz w:val="18"/>
                <w:szCs w:val="18"/>
                <w:color w:val="auto"/>
              </w:rPr>
            </w:pPr>
          </w:p>
        </w:tc>
        <w:tc>
          <w:tcPr>
            <w:tcW w:w="240" w:type="dxa"/>
            <w:vAlign w:val="bottom"/>
            <w:tcBorders>
              <w:bottom w:val="single" w:sz="8" w:color="1E1E1E"/>
            </w:tcBorders>
            <w:shd w:val="clear" w:color="auto" w:fill="E2E2E2"/>
          </w:tcPr>
          <w:p>
            <w:pPr>
              <w:jc w:val="right"/>
              <w:ind w:right="39"/>
              <w:spacing w:after="0" w:line="206" w:lineRule="exact"/>
              <w:rPr>
                <w:sz w:val="20"/>
                <w:szCs w:val="20"/>
                <w:color w:val="auto"/>
              </w:rPr>
            </w:pPr>
            <w:r>
              <w:rPr>
                <w:rFonts w:ascii="Times New Roman" w:cs="Times New Roman" w:eastAsia="Times New Roman" w:hAnsi="Times New Roman"/>
                <w:sz w:val="20"/>
                <w:szCs w:val="20"/>
                <w:color w:val="1E1E1E"/>
                <w:w w:val="79"/>
              </w:rPr>
              <w:t>$</w:t>
            </w:r>
          </w:p>
        </w:tc>
        <w:tc>
          <w:tcPr>
            <w:tcW w:w="178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(2,862)</w:t>
            </w:r>
          </w:p>
        </w:tc>
      </w:tr>
    </w:tbl>
    <w:p>
      <w:pPr>
        <w:spacing w:after="0" w:line="179" w:lineRule="exact"/>
        <w:rPr>
          <w:sz w:val="20"/>
          <w:szCs w:val="20"/>
          <w:color w:val="auto"/>
        </w:rPr>
      </w:pPr>
    </w:p>
    <w:p>
      <w:pPr>
        <w:ind w:right="80" w:firstLine="490"/>
        <w:spacing w:after="0" w:line="281" w:lineRule="auto"/>
        <w:rPr>
          <w:sz w:val="20"/>
          <w:szCs w:val="20"/>
          <w:color w:val="auto"/>
        </w:rPr>
      </w:pPr>
      <w:r>
        <w:rPr>
          <w:rFonts w:ascii="Times New Roman" w:cs="Times New Roman" w:eastAsia="Times New Roman" w:hAnsi="Times New Roman"/>
          <w:sz w:val="20"/>
          <w:szCs w:val="20"/>
          <w:color w:val="1E1E1E"/>
        </w:rPr>
        <w:t>The tax effects of unrealized gains and losses on securities are components of other comprehensive income and therefore excluded from deferred tax expense.</w:t>
      </w:r>
    </w:p>
    <w:p>
      <w:pPr>
        <w:spacing w:after="0" w:line="148" w:lineRule="exact"/>
        <w:rPr>
          <w:sz w:val="20"/>
          <w:szCs w:val="20"/>
          <w:color w:val="auto"/>
        </w:rPr>
      </w:pPr>
    </w:p>
    <w:p>
      <w:pPr>
        <w:jc w:val="both"/>
        <w:ind w:right="700" w:firstLine="490"/>
        <w:spacing w:after="0" w:line="281" w:lineRule="auto"/>
        <w:rPr>
          <w:sz w:val="20"/>
          <w:szCs w:val="20"/>
          <w:color w:val="auto"/>
        </w:rPr>
      </w:pPr>
      <w:r>
        <w:rPr>
          <w:rFonts w:ascii="Times New Roman" w:cs="Times New Roman" w:eastAsia="Times New Roman" w:hAnsi="Times New Roman"/>
          <w:sz w:val="19"/>
          <w:szCs w:val="19"/>
          <w:color w:val="1E1E1E"/>
        </w:rPr>
        <w:t xml:space="preserve">The Company regularly assesses the realizability of deferred tax assets and under the asset and liability method prescribed under ASC 740, </w:t>
      </w:r>
      <w:r>
        <w:rPr>
          <w:rFonts w:ascii="Times New Roman" w:cs="Times New Roman" w:eastAsia="Times New Roman" w:hAnsi="Times New Roman"/>
          <w:sz w:val="19"/>
          <w:szCs w:val="19"/>
          <w:i w:val="1"/>
          <w:iCs w:val="1"/>
          <w:color w:val="1E1E1E"/>
        </w:rPr>
        <w:t>Income Taxes</w:t>
      </w:r>
      <w:r>
        <w:rPr>
          <w:rFonts w:ascii="Times New Roman" w:cs="Times New Roman" w:eastAsia="Times New Roman" w:hAnsi="Times New Roman"/>
          <w:sz w:val="19"/>
          <w:szCs w:val="19"/>
          <w:color w:val="1E1E1E"/>
        </w:rPr>
        <w:t>, the Company recognizes deferred tax assets and liabilities for the future tax consequences attributable to differences between financial statement carrying amounts of assets and liabilities and their</w:t>
      </w:r>
    </w:p>
    <w:p>
      <w:pPr>
        <w:sectPr>
          <w:pgSz w:w="11880" w:h="15480" w:orient="portrait"/>
          <w:cols w:equalWidth="0" w:num="1">
            <w:col w:w="10240"/>
          </w:cols>
          <w:pgMar w:left="820" w:top="226" w:right="820" w:bottom="0" w:gutter="0" w:footer="0" w:header="0"/>
        </w:sectPr>
      </w:pP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58</w:t>
      </w:r>
    </w:p>
    <w:p>
      <w:pPr>
        <w:sectPr>
          <w:pgSz w:w="11880" w:h="15480" w:orient="portrait"/>
          <w:cols w:equalWidth="0" w:num="1">
            <w:col w:w="10240"/>
          </w:cols>
          <w:pgMar w:left="820" w:top="226" w:right="820" w:bottom="0"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1E1E1E"/>
        </w:rPr>
        <w:t>DULUTH HOLDINGS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w:t>
      </w:r>
    </w:p>
    <w:p>
      <w:pPr>
        <w:spacing w:after="0" w:line="23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1E1E1E"/>
        </w:rPr>
        <w:t>respective tax bases. Deferred tax assets and liabilities are measured using enacted tax rates expected to apply to taxable income in the years in which those temporary differences are expected to be realized or settled. The effect of a change in tax rates on deferred tax assets and liabilities is recognized in income in the period that includes the enactment date. The realizability of deferred tax assets is assessed throughout the year and a valuation allowance is recorded, if necessary, to reduce net deferred tax assets to the amount more likely than not to be realized. The Company considers all available evidence, both positive and negative, to determine the realizability of deferred tax assets and includes historical information about results of operations for the current and preceding years as well as more subjective information about future years. In conducting this assessment, a significant piece of objective negative evidence evaluated by management was a cumulative loss over the most recent 36-month period ended October 27, 2024, which was not outweighed by available positive evidence and which limited the Company’s ability to give weight to projections of future growth for purposes of this assessment. Accordingly, as of February 2, 2025, a valuation allowance of $11.8 million was provided against the net amount of deferred tax assets. The amount of the deferred tax assets considered realizable, however, could be adjusted if estimates of future taxable income during the carryforward period are increased or if objective negative evidence in the form of cumulative losses is no longer present and additional weight is given to subjective evidence such as our projections for growth.</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E1E1E"/>
        </w:rPr>
        <w:t>The reconciliation of income tax expense to the amount computed at the federal statutory rate was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bottom w:val="single" w:sz="8" w:color="1E1E1E"/>
            </w:tcBorders>
          </w:tcPr>
          <w:p>
            <w:pPr>
              <w:spacing w:after="0"/>
              <w:rPr>
                <w:sz w:val="17"/>
                <w:szCs w:val="17"/>
                <w:color w:val="auto"/>
              </w:rPr>
            </w:pPr>
          </w:p>
        </w:tc>
        <w:tc>
          <w:tcPr>
            <w:tcW w:w="880" w:type="dxa"/>
            <w:vAlign w:val="bottom"/>
            <w:tcBorders>
              <w:bottom w:val="single" w:sz="8" w:color="1E1E1E"/>
            </w:tcBorders>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1800" w:type="dxa"/>
            <w:vAlign w:val="bottom"/>
            <w:tcBorders>
              <w:bottom w:val="single" w:sz="8" w:color="1E1E1E"/>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1E1E1E"/>
              </w:rPr>
              <w:t>Fiscal Year Ended</w:t>
            </w:r>
          </w:p>
        </w:tc>
        <w:tc>
          <w:tcPr>
            <w:tcW w:w="660" w:type="dxa"/>
            <w:vAlign w:val="bottom"/>
            <w:tcBorders>
              <w:bottom w:val="single" w:sz="8" w:color="1E1E1E"/>
            </w:tcBorders>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380" w:type="dxa"/>
            <w:vAlign w:val="bottom"/>
            <w:tcBorders>
              <w:bottom w:val="single" w:sz="8" w:color="1E1E1E"/>
            </w:tcBorders>
          </w:tcPr>
          <w:p>
            <w:pPr>
              <w:spacing w:after="0"/>
              <w:rPr>
                <w:sz w:val="17"/>
                <w:szCs w:val="17"/>
                <w:color w:val="auto"/>
              </w:rPr>
            </w:pPr>
          </w:p>
        </w:tc>
        <w:tc>
          <w:tcPr>
            <w:tcW w:w="420" w:type="dxa"/>
            <w:vAlign w:val="bottom"/>
            <w:tcBorders>
              <w:bottom w:val="single" w:sz="8" w:color="1E1E1E"/>
            </w:tcBorders>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1E1E1E"/>
            </w:tcBorders>
          </w:tcPr>
          <w:p>
            <w:pPr>
              <w:spacing w:after="0"/>
              <w:rPr>
                <w:sz w:val="19"/>
                <w:szCs w:val="19"/>
                <w:color w:val="auto"/>
              </w:rPr>
            </w:pPr>
          </w:p>
        </w:tc>
        <w:tc>
          <w:tcPr>
            <w:tcW w:w="2100" w:type="dxa"/>
            <w:vAlign w:val="bottom"/>
            <w:tcBorders>
              <w:bottom w:val="single" w:sz="8" w:color="1E1E1E"/>
            </w:tcBorders>
            <w:gridSpan w:val="4"/>
          </w:tcPr>
          <w:p>
            <w:pPr>
              <w:jc w:val="right"/>
              <w:ind w:right="640"/>
              <w:spacing w:after="0"/>
              <w:rPr>
                <w:sz w:val="20"/>
                <w:szCs w:val="20"/>
                <w:color w:val="auto"/>
              </w:rPr>
            </w:pPr>
            <w:r>
              <w:rPr>
                <w:rFonts w:ascii="Times New Roman" w:cs="Times New Roman" w:eastAsia="Times New Roman" w:hAnsi="Times New Roman"/>
                <w:sz w:val="16"/>
                <w:szCs w:val="16"/>
                <w:b w:val="1"/>
                <w:bCs w:val="1"/>
                <w:color w:val="1E1E1E"/>
              </w:rPr>
              <w:t>February 2, 2025</w:t>
            </w:r>
          </w:p>
        </w:tc>
        <w:tc>
          <w:tcPr>
            <w:tcW w:w="200" w:type="dxa"/>
            <w:vAlign w:val="bottom"/>
          </w:tcPr>
          <w:p>
            <w:pPr>
              <w:spacing w:after="0"/>
              <w:rPr>
                <w:sz w:val="19"/>
                <w:szCs w:val="19"/>
                <w:color w:val="auto"/>
              </w:rPr>
            </w:pPr>
          </w:p>
        </w:tc>
        <w:tc>
          <w:tcPr>
            <w:tcW w:w="580" w:type="dxa"/>
            <w:vAlign w:val="bottom"/>
            <w:tcBorders>
              <w:bottom w:val="single" w:sz="8" w:color="1E1E1E"/>
            </w:tcBorders>
          </w:tcPr>
          <w:p>
            <w:pPr>
              <w:spacing w:after="0"/>
              <w:rPr>
                <w:sz w:val="19"/>
                <w:szCs w:val="19"/>
                <w:color w:val="auto"/>
              </w:rPr>
            </w:pPr>
          </w:p>
        </w:tc>
        <w:tc>
          <w:tcPr>
            <w:tcW w:w="1240" w:type="dxa"/>
            <w:vAlign w:val="bottom"/>
            <w:tcBorders>
              <w:bottom w:val="single" w:sz="8" w:color="1E1E1E"/>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1E1E1E"/>
                <w:w w:val="99"/>
              </w:rPr>
              <w:t>January 28, 2024</w:t>
            </w:r>
          </w:p>
        </w:tc>
        <w:tc>
          <w:tcPr>
            <w:tcW w:w="420" w:type="dxa"/>
            <w:vAlign w:val="bottom"/>
            <w:tcBorders>
              <w:bottom w:val="single" w:sz="8" w:color="1E1E1E"/>
            </w:tcBorders>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1E1E1E"/>
              </w:rPr>
              <w:t>(in thousands)</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94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Federal taxes at statutory rate</w:t>
            </w:r>
          </w:p>
        </w:tc>
        <w:tc>
          <w:tcPr>
            <w:tcW w:w="220" w:type="dxa"/>
            <w:vAlign w:val="bottom"/>
            <w:tcBorders>
              <w:right w:val="single" w:sz="8" w:color="E2E2E2"/>
            </w:tcBorders>
            <w:shd w:val="clear" w:color="auto" w:fill="E2E2E2"/>
          </w:tcPr>
          <w:p>
            <w:pPr>
              <w:spacing w:after="0"/>
              <w:rPr>
                <w:sz w:val="19"/>
                <w:szCs w:val="19"/>
                <w:color w:val="auto"/>
              </w:rPr>
            </w:pPr>
          </w:p>
        </w:tc>
        <w:tc>
          <w:tcPr>
            <w:tcW w:w="340" w:type="dxa"/>
            <w:vAlign w:val="bottom"/>
            <w:shd w:val="clear" w:color="auto" w:fill="E2E2E2"/>
          </w:tcPr>
          <w:p>
            <w:pPr>
              <w:jc w:val="right"/>
              <w:ind w:right="174"/>
              <w:spacing w:after="0"/>
              <w:rPr>
                <w:sz w:val="20"/>
                <w:szCs w:val="20"/>
                <w:color w:val="auto"/>
              </w:rPr>
            </w:pPr>
            <w:r>
              <w:rPr>
                <w:rFonts w:ascii="Times New Roman" w:cs="Times New Roman" w:eastAsia="Times New Roman" w:hAnsi="Times New Roman"/>
                <w:sz w:val="17"/>
                <w:szCs w:val="17"/>
                <w:color w:val="1E1E1E"/>
                <w:w w:val="70"/>
              </w:rPr>
              <w:t>$</w:t>
            </w:r>
          </w:p>
        </w:tc>
        <w:tc>
          <w:tcPr>
            <w:tcW w:w="8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(8,672)</w:t>
            </w:r>
          </w:p>
        </w:tc>
        <w:tc>
          <w:tcPr>
            <w:tcW w:w="1220" w:type="dxa"/>
            <w:vAlign w:val="bottom"/>
            <w:gridSpan w:val="3"/>
            <w:shd w:val="clear" w:color="auto" w:fill="E2E2E2"/>
          </w:tcPr>
          <w:p>
            <w:pPr>
              <w:jc w:val="right"/>
              <w:ind w:right="40"/>
              <w:spacing w:after="0" w:line="226" w:lineRule="exact"/>
              <w:rPr>
                <w:sz w:val="20"/>
                <w:szCs w:val="20"/>
                <w:color w:val="auto"/>
              </w:rPr>
            </w:pPr>
            <w:r>
              <w:rPr>
                <w:rFonts w:ascii="Times New Roman" w:cs="Times New Roman" w:eastAsia="Times New Roman" w:hAnsi="Times New Roman"/>
                <w:sz w:val="20"/>
                <w:szCs w:val="20"/>
                <w:color w:val="1E1E1E"/>
              </w:rPr>
              <w:t>21.0 %</w:t>
            </w:r>
          </w:p>
        </w:tc>
        <w:tc>
          <w:tcPr>
            <w:tcW w:w="780" w:type="dxa"/>
            <w:vAlign w:val="bottom"/>
            <w:gridSpan w:val="2"/>
            <w:shd w:val="clear" w:color="auto" w:fill="E2E2E2"/>
          </w:tcPr>
          <w:p>
            <w:pPr>
              <w:jc w:val="right"/>
              <w:ind w:right="379"/>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66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(2,683)</w:t>
            </w:r>
          </w:p>
        </w:tc>
        <w:tc>
          <w:tcPr>
            <w:tcW w:w="200" w:type="dxa"/>
            <w:vAlign w:val="bottom"/>
            <w:tcBorders>
              <w:right w:val="single" w:sz="8" w:color="E2E2E2"/>
            </w:tcBorders>
            <w:shd w:val="clear" w:color="auto" w:fill="E2E2E2"/>
          </w:tcPr>
          <w:p>
            <w:pPr>
              <w:spacing w:after="0"/>
              <w:rPr>
                <w:sz w:val="19"/>
                <w:szCs w:val="19"/>
                <w:color w:val="auto"/>
              </w:rPr>
            </w:pPr>
          </w:p>
        </w:tc>
        <w:tc>
          <w:tcPr>
            <w:tcW w:w="380" w:type="dxa"/>
            <w:vAlign w:val="bottom"/>
            <w:shd w:val="clear" w:color="auto" w:fill="E2E2E2"/>
          </w:tcPr>
          <w:p>
            <w:pPr>
              <w:spacing w:after="0"/>
              <w:rPr>
                <w:sz w:val="19"/>
                <w:szCs w:val="19"/>
                <w:color w:val="auto"/>
              </w:rPr>
            </w:pPr>
          </w:p>
        </w:tc>
        <w:tc>
          <w:tcPr>
            <w:tcW w:w="42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w w:val="97"/>
              </w:rPr>
              <w:t>21.0</w:t>
            </w:r>
          </w:p>
        </w:tc>
        <w:tc>
          <w:tcPr>
            <w:tcW w:w="20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w w:val="95"/>
              </w:rPr>
              <w:t>%</w:t>
            </w:r>
          </w:p>
        </w:tc>
        <w:tc>
          <w:tcPr>
            <w:tcW w:w="0" w:type="dxa"/>
            <w:vAlign w:val="bottom"/>
          </w:tcPr>
          <w:p>
            <w:pPr>
              <w:spacing w:after="0"/>
              <w:rPr>
                <w:sz w:val="1"/>
                <w:szCs w:val="1"/>
                <w:color w:val="auto"/>
              </w:rPr>
            </w:pPr>
          </w:p>
        </w:tc>
      </w:tr>
      <w:tr>
        <w:trPr>
          <w:trHeight w:val="221"/>
        </w:trPr>
        <w:tc>
          <w:tcPr>
            <w:tcW w:w="4940" w:type="dxa"/>
            <w:vAlign w:val="bottom"/>
          </w:tcPr>
          <w:p>
            <w:pPr>
              <w:spacing w:after="0" w:line="221" w:lineRule="exact"/>
              <w:rPr>
                <w:sz w:val="20"/>
                <w:szCs w:val="20"/>
                <w:color w:val="auto"/>
              </w:rPr>
            </w:pPr>
            <w:r>
              <w:rPr>
                <w:rFonts w:ascii="Times New Roman" w:cs="Times New Roman" w:eastAsia="Times New Roman" w:hAnsi="Times New Roman"/>
                <w:sz w:val="20"/>
                <w:szCs w:val="20"/>
                <w:color w:val="1E1E1E"/>
              </w:rPr>
              <w:t>State and local income taxes, net of federal benefit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1E1E1E"/>
              </w:rPr>
              <w:t>(1,333)</w:t>
            </w:r>
          </w:p>
        </w:tc>
        <w:tc>
          <w:tcPr>
            <w:tcW w:w="1220" w:type="dxa"/>
            <w:vAlign w:val="bottom"/>
            <w:gridSpan w:val="3"/>
          </w:tcPr>
          <w:p>
            <w:pPr>
              <w:jc w:val="right"/>
              <w:ind w:right="40"/>
              <w:spacing w:after="0" w:line="221" w:lineRule="exact"/>
              <w:rPr>
                <w:sz w:val="20"/>
                <w:szCs w:val="20"/>
                <w:color w:val="auto"/>
              </w:rPr>
            </w:pPr>
            <w:r>
              <w:rPr>
                <w:rFonts w:ascii="Times New Roman" w:cs="Times New Roman" w:eastAsia="Times New Roman" w:hAnsi="Times New Roman"/>
                <w:sz w:val="20"/>
                <w:szCs w:val="20"/>
                <w:color w:val="1E1E1E"/>
              </w:rPr>
              <w:t>3.2 %</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1E1E1E"/>
              </w:rPr>
              <w:t>(409)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1E1E1E"/>
              </w:rPr>
              <w:t>3.2</w:t>
            </w:r>
          </w:p>
        </w:tc>
        <w:tc>
          <w:tcPr>
            <w:tcW w:w="2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1E1E1E"/>
                <w:w w:val="95"/>
              </w:rPr>
              <w:t>%</w:t>
            </w:r>
          </w:p>
        </w:tc>
        <w:tc>
          <w:tcPr>
            <w:tcW w:w="0" w:type="dxa"/>
            <w:vAlign w:val="bottom"/>
          </w:tcPr>
          <w:p>
            <w:pPr>
              <w:spacing w:after="0"/>
              <w:rPr>
                <w:sz w:val="1"/>
                <w:szCs w:val="1"/>
                <w:color w:val="auto"/>
              </w:rPr>
            </w:pPr>
          </w:p>
        </w:tc>
      </w:tr>
      <w:tr>
        <w:trPr>
          <w:trHeight w:val="226"/>
        </w:trPr>
        <w:tc>
          <w:tcPr>
            <w:tcW w:w="5160" w:type="dxa"/>
            <w:vAlign w:val="bottom"/>
            <w:tcBorders>
              <w:right w:val="single" w:sz="8" w:color="E2E2E2"/>
            </w:tcBorders>
            <w:gridSpan w:val="2"/>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Stock compensation price difference</w:t>
            </w:r>
          </w:p>
        </w:tc>
        <w:tc>
          <w:tcPr>
            <w:tcW w:w="340" w:type="dxa"/>
            <w:vAlign w:val="bottom"/>
            <w:shd w:val="clear" w:color="auto" w:fill="E2E2E2"/>
          </w:tcPr>
          <w:p>
            <w:pPr>
              <w:spacing w:after="0"/>
              <w:rPr>
                <w:sz w:val="19"/>
                <w:szCs w:val="19"/>
                <w:color w:val="auto"/>
              </w:rPr>
            </w:pPr>
          </w:p>
        </w:tc>
        <w:tc>
          <w:tcPr>
            <w:tcW w:w="8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638</w:t>
            </w:r>
          </w:p>
        </w:tc>
        <w:tc>
          <w:tcPr>
            <w:tcW w:w="1220" w:type="dxa"/>
            <w:vAlign w:val="bottom"/>
            <w:gridSpan w:val="3"/>
            <w:shd w:val="clear" w:color="auto" w:fill="E2E2E2"/>
          </w:tcPr>
          <w:p>
            <w:pPr>
              <w:jc w:val="right"/>
              <w:ind w:right="40"/>
              <w:spacing w:after="0" w:line="226" w:lineRule="exact"/>
              <w:rPr>
                <w:sz w:val="20"/>
                <w:szCs w:val="20"/>
                <w:color w:val="auto"/>
              </w:rPr>
            </w:pPr>
            <w:r>
              <w:rPr>
                <w:rFonts w:ascii="Times New Roman" w:cs="Times New Roman" w:eastAsia="Times New Roman" w:hAnsi="Times New Roman"/>
                <w:sz w:val="20"/>
                <w:szCs w:val="20"/>
                <w:color w:val="1E1E1E"/>
              </w:rPr>
              <w:t>(1.6)%</w:t>
            </w:r>
          </w:p>
        </w:tc>
        <w:tc>
          <w:tcPr>
            <w:tcW w:w="200" w:type="dxa"/>
            <w:vAlign w:val="bottom"/>
            <w:tcBorders>
              <w:right w:val="single" w:sz="8" w:color="E2E2E2"/>
            </w:tcBorders>
            <w:shd w:val="clear" w:color="auto" w:fill="E2E2E2"/>
          </w:tcPr>
          <w:p>
            <w:pPr>
              <w:spacing w:after="0"/>
              <w:rPr>
                <w:sz w:val="19"/>
                <w:szCs w:val="19"/>
                <w:color w:val="auto"/>
              </w:rPr>
            </w:pPr>
          </w:p>
        </w:tc>
        <w:tc>
          <w:tcPr>
            <w:tcW w:w="580" w:type="dxa"/>
            <w:vAlign w:val="bottom"/>
            <w:shd w:val="clear" w:color="auto" w:fill="E2E2E2"/>
          </w:tcPr>
          <w:p>
            <w:pPr>
              <w:spacing w:after="0"/>
              <w:rPr>
                <w:sz w:val="19"/>
                <w:szCs w:val="19"/>
                <w:color w:val="auto"/>
              </w:rPr>
            </w:pPr>
          </w:p>
        </w:tc>
        <w:tc>
          <w:tcPr>
            <w:tcW w:w="66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150</w:t>
            </w:r>
          </w:p>
        </w:tc>
        <w:tc>
          <w:tcPr>
            <w:tcW w:w="200" w:type="dxa"/>
            <w:vAlign w:val="bottom"/>
            <w:tcBorders>
              <w:right w:val="single" w:sz="8" w:color="E2E2E2"/>
            </w:tcBorders>
            <w:shd w:val="clear" w:color="auto" w:fill="E2E2E2"/>
          </w:tcPr>
          <w:p>
            <w:pPr>
              <w:spacing w:after="0"/>
              <w:rPr>
                <w:sz w:val="19"/>
                <w:szCs w:val="19"/>
                <w:color w:val="auto"/>
              </w:rPr>
            </w:pPr>
          </w:p>
        </w:tc>
        <w:tc>
          <w:tcPr>
            <w:tcW w:w="380" w:type="dxa"/>
            <w:vAlign w:val="bottom"/>
            <w:shd w:val="clear" w:color="auto" w:fill="E2E2E2"/>
          </w:tcPr>
          <w:p>
            <w:pPr>
              <w:spacing w:after="0"/>
              <w:rPr>
                <w:sz w:val="19"/>
                <w:szCs w:val="19"/>
                <w:color w:val="auto"/>
              </w:rPr>
            </w:pPr>
          </w:p>
        </w:tc>
        <w:tc>
          <w:tcPr>
            <w:tcW w:w="620" w:type="dxa"/>
            <w:vAlign w:val="bottom"/>
            <w:gridSpan w:val="2"/>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(1.2)%</w:t>
            </w:r>
          </w:p>
        </w:tc>
        <w:tc>
          <w:tcPr>
            <w:tcW w:w="0" w:type="dxa"/>
            <w:vAlign w:val="bottom"/>
          </w:tcPr>
          <w:p>
            <w:pPr>
              <w:spacing w:after="0"/>
              <w:rPr>
                <w:sz w:val="1"/>
                <w:szCs w:val="1"/>
                <w:color w:val="auto"/>
              </w:rPr>
            </w:pPr>
          </w:p>
        </w:tc>
      </w:tr>
      <w:tr>
        <w:trPr>
          <w:trHeight w:val="226"/>
        </w:trPr>
        <w:tc>
          <w:tcPr>
            <w:tcW w:w="516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1E1E1E"/>
              </w:rPr>
              <w:t>Research and development tax credits</w:t>
            </w:r>
          </w:p>
        </w:tc>
        <w:tc>
          <w:tcPr>
            <w:tcW w:w="340" w:type="dxa"/>
            <w:vAlign w:val="bottom"/>
          </w:tcPr>
          <w:p>
            <w:pPr>
              <w:spacing w:after="0"/>
              <w:rPr>
                <w:sz w:val="19"/>
                <w:szCs w:val="19"/>
                <w:color w:val="auto"/>
              </w:rPr>
            </w:pPr>
          </w:p>
        </w:tc>
        <w:tc>
          <w:tcPr>
            <w:tcW w:w="8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(120)</w:t>
            </w:r>
          </w:p>
        </w:tc>
        <w:tc>
          <w:tcPr>
            <w:tcW w:w="1220" w:type="dxa"/>
            <w:vAlign w:val="bottom"/>
            <w:gridSpan w:val="3"/>
          </w:tcPr>
          <w:p>
            <w:pPr>
              <w:jc w:val="right"/>
              <w:ind w:right="40"/>
              <w:spacing w:after="0" w:line="226" w:lineRule="exact"/>
              <w:rPr>
                <w:sz w:val="20"/>
                <w:szCs w:val="20"/>
                <w:color w:val="auto"/>
              </w:rPr>
            </w:pPr>
            <w:r>
              <w:rPr>
                <w:rFonts w:ascii="Times New Roman" w:cs="Times New Roman" w:eastAsia="Times New Roman" w:hAnsi="Times New Roman"/>
                <w:sz w:val="20"/>
                <w:szCs w:val="20"/>
                <w:color w:val="1E1E1E"/>
              </w:rPr>
              <w:t>0.3 %</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(283)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1E1E1E"/>
              </w:rPr>
              <w:t>2.4 %</w:t>
            </w:r>
          </w:p>
        </w:tc>
        <w:tc>
          <w:tcPr>
            <w:tcW w:w="0" w:type="dxa"/>
            <w:vAlign w:val="bottom"/>
          </w:tcPr>
          <w:p>
            <w:pPr>
              <w:spacing w:after="0"/>
              <w:rPr>
                <w:sz w:val="1"/>
                <w:szCs w:val="1"/>
                <w:color w:val="auto"/>
              </w:rPr>
            </w:pPr>
          </w:p>
        </w:tc>
      </w:tr>
      <w:tr>
        <w:trPr>
          <w:trHeight w:val="226"/>
        </w:trPr>
        <w:tc>
          <w:tcPr>
            <w:tcW w:w="494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Nondeductible compensation</w:t>
            </w:r>
          </w:p>
        </w:tc>
        <w:tc>
          <w:tcPr>
            <w:tcW w:w="220" w:type="dxa"/>
            <w:vAlign w:val="bottom"/>
            <w:tcBorders>
              <w:right w:val="single" w:sz="8" w:color="E2E2E2"/>
            </w:tcBorders>
            <w:shd w:val="clear" w:color="auto" w:fill="E2E2E2"/>
          </w:tcPr>
          <w:p>
            <w:pPr>
              <w:spacing w:after="0"/>
              <w:rPr>
                <w:sz w:val="19"/>
                <w:szCs w:val="19"/>
                <w:color w:val="auto"/>
              </w:rPr>
            </w:pPr>
          </w:p>
        </w:tc>
        <w:tc>
          <w:tcPr>
            <w:tcW w:w="340" w:type="dxa"/>
            <w:vAlign w:val="bottom"/>
            <w:shd w:val="clear" w:color="auto" w:fill="E2E2E2"/>
          </w:tcPr>
          <w:p>
            <w:pPr>
              <w:spacing w:after="0"/>
              <w:rPr>
                <w:sz w:val="19"/>
                <w:szCs w:val="19"/>
                <w:color w:val="auto"/>
              </w:rPr>
            </w:pPr>
          </w:p>
        </w:tc>
        <w:tc>
          <w:tcPr>
            <w:tcW w:w="8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(160)</w:t>
            </w:r>
          </w:p>
        </w:tc>
        <w:tc>
          <w:tcPr>
            <w:tcW w:w="1220" w:type="dxa"/>
            <w:vAlign w:val="bottom"/>
            <w:gridSpan w:val="3"/>
            <w:shd w:val="clear" w:color="auto" w:fill="E2E2E2"/>
          </w:tcPr>
          <w:p>
            <w:pPr>
              <w:jc w:val="right"/>
              <w:ind w:right="40"/>
              <w:spacing w:after="0" w:line="226" w:lineRule="exact"/>
              <w:rPr>
                <w:sz w:val="20"/>
                <w:szCs w:val="20"/>
                <w:color w:val="auto"/>
              </w:rPr>
            </w:pPr>
            <w:r>
              <w:rPr>
                <w:rFonts w:ascii="Times New Roman" w:cs="Times New Roman" w:eastAsia="Times New Roman" w:hAnsi="Times New Roman"/>
                <w:sz w:val="20"/>
                <w:szCs w:val="20"/>
                <w:color w:val="1E1E1E"/>
              </w:rPr>
              <w:t>0.4 %</w:t>
            </w:r>
          </w:p>
        </w:tc>
        <w:tc>
          <w:tcPr>
            <w:tcW w:w="200" w:type="dxa"/>
            <w:vAlign w:val="bottom"/>
            <w:tcBorders>
              <w:right w:val="single" w:sz="8" w:color="E2E2E2"/>
            </w:tcBorders>
            <w:shd w:val="clear" w:color="auto" w:fill="E2E2E2"/>
          </w:tcPr>
          <w:p>
            <w:pPr>
              <w:spacing w:after="0"/>
              <w:rPr>
                <w:sz w:val="19"/>
                <w:szCs w:val="19"/>
                <w:color w:val="auto"/>
              </w:rPr>
            </w:pPr>
          </w:p>
        </w:tc>
        <w:tc>
          <w:tcPr>
            <w:tcW w:w="580" w:type="dxa"/>
            <w:vAlign w:val="bottom"/>
            <w:shd w:val="clear" w:color="auto" w:fill="E2E2E2"/>
          </w:tcPr>
          <w:p>
            <w:pPr>
              <w:spacing w:after="0"/>
              <w:rPr>
                <w:sz w:val="19"/>
                <w:szCs w:val="19"/>
                <w:color w:val="auto"/>
              </w:rPr>
            </w:pPr>
          </w:p>
        </w:tc>
        <w:tc>
          <w:tcPr>
            <w:tcW w:w="66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384</w:t>
            </w:r>
          </w:p>
        </w:tc>
        <w:tc>
          <w:tcPr>
            <w:tcW w:w="200" w:type="dxa"/>
            <w:vAlign w:val="bottom"/>
            <w:tcBorders>
              <w:right w:val="single" w:sz="8" w:color="E2E2E2"/>
            </w:tcBorders>
            <w:shd w:val="clear" w:color="auto" w:fill="E2E2E2"/>
          </w:tcPr>
          <w:p>
            <w:pPr>
              <w:spacing w:after="0"/>
              <w:rPr>
                <w:sz w:val="19"/>
                <w:szCs w:val="19"/>
                <w:color w:val="auto"/>
              </w:rPr>
            </w:pPr>
          </w:p>
        </w:tc>
        <w:tc>
          <w:tcPr>
            <w:tcW w:w="380" w:type="dxa"/>
            <w:vAlign w:val="bottom"/>
            <w:shd w:val="clear" w:color="auto" w:fill="E2E2E2"/>
          </w:tcPr>
          <w:p>
            <w:pPr>
              <w:spacing w:after="0"/>
              <w:rPr>
                <w:sz w:val="19"/>
                <w:szCs w:val="19"/>
                <w:color w:val="auto"/>
              </w:rPr>
            </w:pPr>
          </w:p>
        </w:tc>
        <w:tc>
          <w:tcPr>
            <w:tcW w:w="620" w:type="dxa"/>
            <w:vAlign w:val="bottom"/>
            <w:gridSpan w:val="2"/>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(3.2)%</w:t>
            </w:r>
          </w:p>
        </w:tc>
        <w:tc>
          <w:tcPr>
            <w:tcW w:w="0" w:type="dxa"/>
            <w:vAlign w:val="bottom"/>
          </w:tcPr>
          <w:p>
            <w:pPr>
              <w:spacing w:after="0"/>
              <w:rPr>
                <w:sz w:val="1"/>
                <w:szCs w:val="1"/>
                <w:color w:val="auto"/>
              </w:rPr>
            </w:pPr>
          </w:p>
        </w:tc>
      </w:tr>
      <w:tr>
        <w:trPr>
          <w:trHeight w:val="226"/>
        </w:trPr>
        <w:tc>
          <w:tcPr>
            <w:tcW w:w="49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Adjustments to uncertain tax positions</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(4)</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line="226" w:lineRule="exact"/>
              <w:rPr>
                <w:sz w:val="20"/>
                <w:szCs w:val="20"/>
                <w:color w:val="auto"/>
              </w:rPr>
            </w:pPr>
            <w:r>
              <w:rPr>
                <w:rFonts w:ascii="Times New Roman" w:cs="Times New Roman" w:eastAsia="Times New Roman" w:hAnsi="Times New Roman"/>
                <w:sz w:val="20"/>
                <w:szCs w:val="20"/>
                <w:color w:val="1E1E1E"/>
              </w:rPr>
              <w:t>— %</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(164)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1.4</w:t>
            </w:r>
          </w:p>
        </w:tc>
        <w:tc>
          <w:tcPr>
            <w:tcW w:w="2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w w:val="95"/>
              </w:rPr>
              <w:t>%</w:t>
            </w:r>
          </w:p>
        </w:tc>
        <w:tc>
          <w:tcPr>
            <w:tcW w:w="0" w:type="dxa"/>
            <w:vAlign w:val="bottom"/>
          </w:tcPr>
          <w:p>
            <w:pPr>
              <w:spacing w:after="0"/>
              <w:rPr>
                <w:sz w:val="1"/>
                <w:szCs w:val="1"/>
                <w:color w:val="auto"/>
              </w:rPr>
            </w:pPr>
          </w:p>
        </w:tc>
      </w:tr>
      <w:tr>
        <w:trPr>
          <w:trHeight w:val="226"/>
        </w:trPr>
        <w:tc>
          <w:tcPr>
            <w:tcW w:w="5160" w:type="dxa"/>
            <w:vAlign w:val="bottom"/>
            <w:tcBorders>
              <w:right w:val="single" w:sz="8" w:color="E2E2E2"/>
            </w:tcBorders>
            <w:gridSpan w:val="2"/>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Valuation allowance</w:t>
            </w:r>
          </w:p>
        </w:tc>
        <w:tc>
          <w:tcPr>
            <w:tcW w:w="340" w:type="dxa"/>
            <w:vAlign w:val="bottom"/>
            <w:shd w:val="clear" w:color="auto" w:fill="E2E2E2"/>
          </w:tcPr>
          <w:p>
            <w:pPr>
              <w:spacing w:after="0"/>
              <w:rPr>
                <w:sz w:val="19"/>
                <w:szCs w:val="19"/>
                <w:color w:val="auto"/>
              </w:rPr>
            </w:pPr>
          </w:p>
        </w:tc>
        <w:tc>
          <w:tcPr>
            <w:tcW w:w="8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11,773</w:t>
            </w:r>
          </w:p>
        </w:tc>
        <w:tc>
          <w:tcPr>
            <w:tcW w:w="1220" w:type="dxa"/>
            <w:vAlign w:val="bottom"/>
            <w:gridSpan w:val="3"/>
            <w:shd w:val="clear" w:color="auto" w:fill="E2E2E2"/>
          </w:tcPr>
          <w:p>
            <w:pPr>
              <w:jc w:val="right"/>
              <w:ind w:right="40"/>
              <w:spacing w:after="0" w:line="226" w:lineRule="exact"/>
              <w:rPr>
                <w:sz w:val="20"/>
                <w:szCs w:val="20"/>
                <w:color w:val="auto"/>
              </w:rPr>
            </w:pPr>
            <w:r>
              <w:rPr>
                <w:rFonts w:ascii="Times New Roman" w:cs="Times New Roman" w:eastAsia="Times New Roman" w:hAnsi="Times New Roman"/>
                <w:sz w:val="20"/>
                <w:szCs w:val="20"/>
                <w:color w:val="1E1E1E"/>
              </w:rPr>
              <w:t>(28.5)%</w:t>
            </w:r>
          </w:p>
        </w:tc>
        <w:tc>
          <w:tcPr>
            <w:tcW w:w="200" w:type="dxa"/>
            <w:vAlign w:val="bottom"/>
            <w:tcBorders>
              <w:right w:val="single" w:sz="8" w:color="E2E2E2"/>
            </w:tcBorders>
            <w:shd w:val="clear" w:color="auto" w:fill="E2E2E2"/>
          </w:tcPr>
          <w:p>
            <w:pPr>
              <w:spacing w:after="0"/>
              <w:rPr>
                <w:sz w:val="19"/>
                <w:szCs w:val="19"/>
                <w:color w:val="auto"/>
              </w:rPr>
            </w:pPr>
          </w:p>
        </w:tc>
        <w:tc>
          <w:tcPr>
            <w:tcW w:w="580" w:type="dxa"/>
            <w:vAlign w:val="bottom"/>
            <w:shd w:val="clear" w:color="auto" w:fill="E2E2E2"/>
          </w:tcPr>
          <w:p>
            <w:pPr>
              <w:spacing w:after="0"/>
              <w:rPr>
                <w:sz w:val="19"/>
                <w:szCs w:val="19"/>
                <w:color w:val="auto"/>
              </w:rPr>
            </w:pPr>
          </w:p>
        </w:tc>
        <w:tc>
          <w:tcPr>
            <w:tcW w:w="1240" w:type="dxa"/>
            <w:vAlign w:val="bottom"/>
            <w:gridSpan w:val="3"/>
            <w:shd w:val="clear" w:color="auto" w:fill="E2E2E2"/>
          </w:tcPr>
          <w:p>
            <w:pPr>
              <w:jc w:val="right"/>
              <w:ind w:right="640"/>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620" w:type="dxa"/>
            <w:vAlign w:val="bottom"/>
            <w:gridSpan w:val="2"/>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 %</w:t>
            </w:r>
          </w:p>
        </w:tc>
        <w:tc>
          <w:tcPr>
            <w:tcW w:w="0" w:type="dxa"/>
            <w:vAlign w:val="bottom"/>
          </w:tcPr>
          <w:p>
            <w:pPr>
              <w:spacing w:after="0"/>
              <w:rPr>
                <w:sz w:val="1"/>
                <w:szCs w:val="1"/>
                <w:color w:val="auto"/>
              </w:rPr>
            </w:pPr>
          </w:p>
        </w:tc>
      </w:tr>
      <w:tr>
        <w:trPr>
          <w:trHeight w:val="226"/>
        </w:trPr>
        <w:tc>
          <w:tcPr>
            <w:tcW w:w="516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1E1E1E"/>
              </w:rPr>
              <w:t>Other</w:t>
            </w:r>
          </w:p>
        </w:tc>
        <w:tc>
          <w:tcPr>
            <w:tcW w:w="340" w:type="dxa"/>
            <w:vAlign w:val="bottom"/>
          </w:tcPr>
          <w:p>
            <w:pPr>
              <w:spacing w:after="0"/>
              <w:rPr>
                <w:sz w:val="19"/>
                <w:szCs w:val="19"/>
                <w:color w:val="auto"/>
              </w:rPr>
            </w:pPr>
          </w:p>
        </w:tc>
        <w:tc>
          <w:tcPr>
            <w:tcW w:w="8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248</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line="226" w:lineRule="exact"/>
              <w:rPr>
                <w:sz w:val="20"/>
                <w:szCs w:val="20"/>
                <w:color w:val="auto"/>
              </w:rPr>
            </w:pPr>
            <w:r>
              <w:rPr>
                <w:rFonts w:ascii="Times New Roman" w:cs="Times New Roman" w:eastAsia="Times New Roman" w:hAnsi="Times New Roman"/>
                <w:sz w:val="20"/>
                <w:szCs w:val="20"/>
                <w:color w:val="1E1E1E"/>
              </w:rPr>
              <w:t>(0.6)%</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143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(1.2)%</w:t>
            </w:r>
          </w:p>
        </w:tc>
        <w:tc>
          <w:tcPr>
            <w:tcW w:w="0" w:type="dxa"/>
            <w:vAlign w:val="bottom"/>
          </w:tcPr>
          <w:p>
            <w:pPr>
              <w:spacing w:after="0"/>
              <w:rPr>
                <w:sz w:val="1"/>
                <w:szCs w:val="1"/>
                <w:color w:val="auto"/>
              </w:rPr>
            </w:pPr>
          </w:p>
        </w:tc>
      </w:tr>
      <w:tr>
        <w:trPr>
          <w:trHeight w:val="20"/>
        </w:trPr>
        <w:tc>
          <w:tcPr>
            <w:tcW w:w="4940" w:type="dxa"/>
            <w:vAlign w:val="bottom"/>
            <w:vMerge w:val="restart"/>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Total income tax expense</w:t>
            </w:r>
          </w:p>
        </w:tc>
        <w:tc>
          <w:tcPr>
            <w:tcW w:w="220" w:type="dxa"/>
            <w:vAlign w:val="bottom"/>
            <w:tcBorders>
              <w:right w:val="single" w:sz="8" w:color="E2E2E2"/>
            </w:tcBorders>
            <w:shd w:val="clear" w:color="auto" w:fill="E2E2E2"/>
          </w:tcPr>
          <w:p>
            <w:pPr>
              <w:spacing w:after="0" w:line="20" w:lineRule="exact"/>
              <w:rPr>
                <w:sz w:val="1"/>
                <w:szCs w:val="1"/>
                <w:color w:val="auto"/>
              </w:rPr>
            </w:pPr>
          </w:p>
        </w:tc>
        <w:tc>
          <w:tcPr>
            <w:tcW w:w="340" w:type="dxa"/>
            <w:vAlign w:val="bottom"/>
            <w:shd w:val="clear" w:color="auto" w:fill="1E1E1E"/>
          </w:tcPr>
          <w:p>
            <w:pPr>
              <w:spacing w:after="0" w:line="20" w:lineRule="exact"/>
              <w:rPr>
                <w:sz w:val="1"/>
                <w:szCs w:val="1"/>
                <w:color w:val="auto"/>
              </w:rPr>
            </w:pPr>
          </w:p>
        </w:tc>
        <w:tc>
          <w:tcPr>
            <w:tcW w:w="880" w:type="dxa"/>
            <w:vAlign w:val="bottom"/>
            <w:shd w:val="clear" w:color="auto" w:fill="1E1E1E"/>
          </w:tcPr>
          <w:p>
            <w:pPr>
              <w:spacing w:after="0" w:line="20" w:lineRule="exact"/>
              <w:rPr>
                <w:sz w:val="1"/>
                <w:szCs w:val="1"/>
                <w:color w:val="auto"/>
              </w:rPr>
            </w:pPr>
          </w:p>
        </w:tc>
        <w:tc>
          <w:tcPr>
            <w:tcW w:w="200" w:type="dxa"/>
            <w:vAlign w:val="bottom"/>
            <w:shd w:val="clear" w:color="auto" w:fill="E2E2E2"/>
          </w:tcPr>
          <w:p>
            <w:pPr>
              <w:spacing w:after="0" w:line="20" w:lineRule="exact"/>
              <w:rPr>
                <w:sz w:val="1"/>
                <w:szCs w:val="1"/>
                <w:color w:val="auto"/>
              </w:rPr>
            </w:pPr>
          </w:p>
        </w:tc>
        <w:tc>
          <w:tcPr>
            <w:tcW w:w="800" w:type="dxa"/>
            <w:vAlign w:val="bottom"/>
            <w:shd w:val="clear" w:color="auto" w:fill="1E1E1E"/>
          </w:tcPr>
          <w:p>
            <w:pPr>
              <w:spacing w:after="0" w:line="20" w:lineRule="exact"/>
              <w:rPr>
                <w:sz w:val="1"/>
                <w:szCs w:val="1"/>
                <w:color w:val="auto"/>
              </w:rPr>
            </w:pPr>
          </w:p>
        </w:tc>
        <w:tc>
          <w:tcPr>
            <w:tcW w:w="220" w:type="dxa"/>
            <w:vAlign w:val="bottom"/>
            <w:shd w:val="clear" w:color="auto" w:fill="E2E2E2"/>
          </w:tcPr>
          <w:p>
            <w:pPr>
              <w:spacing w:after="0" w:line="20" w:lineRule="exact"/>
              <w:rPr>
                <w:sz w:val="1"/>
                <w:szCs w:val="1"/>
                <w:color w:val="auto"/>
              </w:rPr>
            </w:pPr>
          </w:p>
        </w:tc>
        <w:tc>
          <w:tcPr>
            <w:tcW w:w="200" w:type="dxa"/>
            <w:vAlign w:val="bottom"/>
            <w:tcBorders>
              <w:right w:val="single" w:sz="8" w:color="E2E2E2"/>
            </w:tcBorders>
            <w:shd w:val="clear" w:color="auto" w:fill="E2E2E2"/>
          </w:tcPr>
          <w:p>
            <w:pPr>
              <w:spacing w:after="0" w:line="20" w:lineRule="exact"/>
              <w:rPr>
                <w:sz w:val="1"/>
                <w:szCs w:val="1"/>
                <w:color w:val="auto"/>
              </w:rPr>
            </w:pPr>
          </w:p>
        </w:tc>
        <w:tc>
          <w:tcPr>
            <w:tcW w:w="580" w:type="dxa"/>
            <w:vAlign w:val="bottom"/>
            <w:shd w:val="clear" w:color="auto" w:fill="1E1E1E"/>
          </w:tcPr>
          <w:p>
            <w:pPr>
              <w:spacing w:after="0" w:line="20" w:lineRule="exact"/>
              <w:rPr>
                <w:sz w:val="1"/>
                <w:szCs w:val="1"/>
                <w:color w:val="auto"/>
              </w:rPr>
            </w:pPr>
          </w:p>
        </w:tc>
        <w:tc>
          <w:tcPr>
            <w:tcW w:w="660" w:type="dxa"/>
            <w:vAlign w:val="bottom"/>
            <w:shd w:val="clear" w:color="auto" w:fill="1E1E1E"/>
          </w:tcPr>
          <w:p>
            <w:pPr>
              <w:spacing w:after="0" w:line="20" w:lineRule="exact"/>
              <w:rPr>
                <w:sz w:val="1"/>
                <w:szCs w:val="1"/>
                <w:color w:val="auto"/>
              </w:rPr>
            </w:pPr>
          </w:p>
        </w:tc>
        <w:tc>
          <w:tcPr>
            <w:tcW w:w="200" w:type="dxa"/>
            <w:vAlign w:val="bottom"/>
            <w:tcBorders>
              <w:right w:val="single" w:sz="8" w:color="E2E2E2"/>
            </w:tcBorders>
            <w:shd w:val="clear" w:color="auto" w:fill="E2E2E2"/>
          </w:tcPr>
          <w:p>
            <w:pPr>
              <w:spacing w:after="0" w:line="20" w:lineRule="exact"/>
              <w:rPr>
                <w:sz w:val="1"/>
                <w:szCs w:val="1"/>
                <w:color w:val="auto"/>
              </w:rPr>
            </w:pPr>
          </w:p>
        </w:tc>
        <w:tc>
          <w:tcPr>
            <w:tcW w:w="380" w:type="dxa"/>
            <w:vAlign w:val="bottom"/>
            <w:shd w:val="clear" w:color="auto" w:fill="1E1E1E"/>
          </w:tcPr>
          <w:p>
            <w:pPr>
              <w:spacing w:after="0" w:line="20" w:lineRule="exact"/>
              <w:rPr>
                <w:sz w:val="1"/>
                <w:szCs w:val="1"/>
                <w:color w:val="auto"/>
              </w:rPr>
            </w:pPr>
          </w:p>
        </w:tc>
        <w:tc>
          <w:tcPr>
            <w:tcW w:w="420" w:type="dxa"/>
            <w:vAlign w:val="bottom"/>
            <w:shd w:val="clear" w:color="auto" w:fill="1E1E1E"/>
          </w:tcPr>
          <w:p>
            <w:pPr>
              <w:spacing w:after="0" w:line="20" w:lineRule="exact"/>
              <w:rPr>
                <w:sz w:val="1"/>
                <w:szCs w:val="1"/>
                <w:color w:val="auto"/>
              </w:rPr>
            </w:pPr>
          </w:p>
        </w:tc>
        <w:tc>
          <w:tcPr>
            <w:tcW w:w="200" w:type="dxa"/>
            <w:vAlign w:val="bottom"/>
            <w:vMerge w:val="restart"/>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w w:val="95"/>
              </w:rPr>
              <w:t>%</w:t>
            </w:r>
          </w:p>
        </w:tc>
        <w:tc>
          <w:tcPr>
            <w:tcW w:w="0" w:type="dxa"/>
            <w:vAlign w:val="bottom"/>
          </w:tcPr>
          <w:p>
            <w:pPr>
              <w:spacing w:after="0" w:line="20" w:lineRule="exact"/>
              <w:rPr>
                <w:sz w:val="1"/>
                <w:szCs w:val="1"/>
                <w:color w:val="auto"/>
              </w:rPr>
            </w:pPr>
          </w:p>
        </w:tc>
      </w:tr>
      <w:tr>
        <w:trPr>
          <w:trHeight w:val="206"/>
        </w:trPr>
        <w:tc>
          <w:tcPr>
            <w:tcW w:w="4940" w:type="dxa"/>
            <w:vAlign w:val="bottom"/>
            <w:vMerge w:val="continue"/>
            <w:shd w:val="clear" w:color="auto" w:fill="E2E2E2"/>
          </w:tcPr>
          <w:p>
            <w:pPr>
              <w:spacing w:after="0"/>
              <w:rPr>
                <w:sz w:val="17"/>
                <w:szCs w:val="17"/>
                <w:color w:val="auto"/>
              </w:rPr>
            </w:pPr>
          </w:p>
        </w:tc>
        <w:tc>
          <w:tcPr>
            <w:tcW w:w="220" w:type="dxa"/>
            <w:vAlign w:val="bottom"/>
            <w:tcBorders>
              <w:right w:val="single" w:sz="8" w:color="E2E2E2"/>
            </w:tcBorders>
            <w:shd w:val="clear" w:color="auto" w:fill="E2E2E2"/>
          </w:tcPr>
          <w:p>
            <w:pPr>
              <w:spacing w:after="0"/>
              <w:rPr>
                <w:sz w:val="17"/>
                <w:szCs w:val="17"/>
                <w:color w:val="auto"/>
              </w:rPr>
            </w:pPr>
          </w:p>
        </w:tc>
        <w:tc>
          <w:tcPr>
            <w:tcW w:w="340" w:type="dxa"/>
            <w:vAlign w:val="bottom"/>
            <w:shd w:val="clear" w:color="auto" w:fill="E2E2E2"/>
          </w:tcPr>
          <w:p>
            <w:pPr>
              <w:jc w:val="right"/>
              <w:ind w:right="174"/>
              <w:spacing w:after="0"/>
              <w:rPr>
                <w:sz w:val="20"/>
                <w:szCs w:val="20"/>
                <w:color w:val="auto"/>
              </w:rPr>
            </w:pPr>
            <w:r>
              <w:rPr>
                <w:rFonts w:ascii="Times New Roman" w:cs="Times New Roman" w:eastAsia="Times New Roman" w:hAnsi="Times New Roman"/>
                <w:sz w:val="17"/>
                <w:szCs w:val="17"/>
                <w:color w:val="1E1E1E"/>
                <w:w w:val="70"/>
              </w:rPr>
              <w:t>$</w:t>
            </w:r>
          </w:p>
        </w:tc>
        <w:tc>
          <w:tcPr>
            <w:tcW w:w="88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2,370</w:t>
            </w:r>
          </w:p>
        </w:tc>
        <w:tc>
          <w:tcPr>
            <w:tcW w:w="200" w:type="dxa"/>
            <w:vAlign w:val="bottom"/>
            <w:shd w:val="clear" w:color="auto" w:fill="E2E2E2"/>
          </w:tcPr>
          <w:p>
            <w:pPr>
              <w:spacing w:after="0"/>
              <w:rPr>
                <w:sz w:val="17"/>
                <w:szCs w:val="17"/>
                <w:color w:val="auto"/>
              </w:rPr>
            </w:pPr>
          </w:p>
        </w:tc>
        <w:tc>
          <w:tcPr>
            <w:tcW w:w="1020" w:type="dxa"/>
            <w:vAlign w:val="bottom"/>
            <w:gridSpan w:val="2"/>
            <w:shd w:val="clear" w:color="auto" w:fill="E2E2E2"/>
          </w:tcPr>
          <w:p>
            <w:pPr>
              <w:jc w:val="right"/>
              <w:ind w:right="40"/>
              <w:spacing w:after="0" w:line="206" w:lineRule="exact"/>
              <w:rPr>
                <w:sz w:val="20"/>
                <w:szCs w:val="20"/>
                <w:color w:val="auto"/>
              </w:rPr>
            </w:pPr>
            <w:r>
              <w:rPr>
                <w:rFonts w:ascii="Times New Roman" w:cs="Times New Roman" w:eastAsia="Times New Roman" w:hAnsi="Times New Roman"/>
                <w:sz w:val="20"/>
                <w:szCs w:val="20"/>
                <w:color w:val="1E1E1E"/>
              </w:rPr>
              <w:t>(5.8)%</w:t>
            </w:r>
          </w:p>
        </w:tc>
        <w:tc>
          <w:tcPr>
            <w:tcW w:w="200" w:type="dxa"/>
            <w:vAlign w:val="bottom"/>
            <w:tcBorders>
              <w:right w:val="single" w:sz="8" w:color="E2E2E2"/>
            </w:tcBorders>
            <w:shd w:val="clear" w:color="auto" w:fill="E2E2E2"/>
          </w:tcPr>
          <w:p>
            <w:pPr>
              <w:spacing w:after="0"/>
              <w:rPr>
                <w:sz w:val="17"/>
                <w:szCs w:val="17"/>
                <w:color w:val="auto"/>
              </w:rPr>
            </w:pPr>
          </w:p>
        </w:tc>
        <w:tc>
          <w:tcPr>
            <w:tcW w:w="580" w:type="dxa"/>
            <w:vAlign w:val="bottom"/>
            <w:shd w:val="clear" w:color="auto" w:fill="E2E2E2"/>
          </w:tcPr>
          <w:p>
            <w:pPr>
              <w:jc w:val="right"/>
              <w:ind w:right="379"/>
              <w:spacing w:after="0" w:line="206" w:lineRule="exact"/>
              <w:rPr>
                <w:sz w:val="20"/>
                <w:szCs w:val="20"/>
                <w:color w:val="auto"/>
              </w:rPr>
            </w:pPr>
            <w:r>
              <w:rPr>
                <w:rFonts w:ascii="Times New Roman" w:cs="Times New Roman" w:eastAsia="Times New Roman" w:hAnsi="Times New Roman"/>
                <w:sz w:val="20"/>
                <w:szCs w:val="20"/>
                <w:color w:val="1E1E1E"/>
                <w:w w:val="79"/>
              </w:rPr>
              <w:t>$</w:t>
            </w:r>
          </w:p>
        </w:tc>
        <w:tc>
          <w:tcPr>
            <w:tcW w:w="66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(2,862)</w:t>
            </w:r>
          </w:p>
        </w:tc>
        <w:tc>
          <w:tcPr>
            <w:tcW w:w="200" w:type="dxa"/>
            <w:vAlign w:val="bottom"/>
            <w:tcBorders>
              <w:right w:val="single" w:sz="8" w:color="E2E2E2"/>
            </w:tcBorders>
            <w:shd w:val="clear" w:color="auto" w:fill="E2E2E2"/>
          </w:tcPr>
          <w:p>
            <w:pPr>
              <w:spacing w:after="0"/>
              <w:rPr>
                <w:sz w:val="17"/>
                <w:szCs w:val="17"/>
                <w:color w:val="auto"/>
              </w:rPr>
            </w:pPr>
          </w:p>
        </w:tc>
        <w:tc>
          <w:tcPr>
            <w:tcW w:w="380" w:type="dxa"/>
            <w:vAlign w:val="bottom"/>
            <w:shd w:val="clear" w:color="auto" w:fill="E2E2E2"/>
          </w:tcPr>
          <w:p>
            <w:pPr>
              <w:spacing w:after="0"/>
              <w:rPr>
                <w:sz w:val="17"/>
                <w:szCs w:val="17"/>
                <w:color w:val="auto"/>
              </w:rPr>
            </w:pPr>
          </w:p>
        </w:tc>
        <w:tc>
          <w:tcPr>
            <w:tcW w:w="42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w w:val="97"/>
              </w:rPr>
              <w:t>22.4</w:t>
            </w:r>
          </w:p>
        </w:tc>
        <w:tc>
          <w:tcPr>
            <w:tcW w:w="200" w:type="dxa"/>
            <w:vAlign w:val="bottom"/>
            <w:vMerge w:val="continue"/>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4940" w:type="dxa"/>
            <w:vAlign w:val="bottom"/>
          </w:tcPr>
          <w:p>
            <w:pPr>
              <w:spacing w:after="0"/>
              <w:rPr>
                <w:sz w:val="2"/>
                <w:szCs w:val="2"/>
                <w:color w:val="auto"/>
              </w:rPr>
            </w:pPr>
          </w:p>
        </w:tc>
        <w:tc>
          <w:tcPr>
            <w:tcW w:w="220" w:type="dxa"/>
            <w:vAlign w:val="bottom"/>
            <w:tcBorders>
              <w:right w:val="single" w:sz="8" w:color="1E1E1E"/>
            </w:tcBorders>
          </w:tcPr>
          <w:p>
            <w:pPr>
              <w:spacing w:after="0"/>
              <w:rPr>
                <w:sz w:val="2"/>
                <w:szCs w:val="2"/>
                <w:color w:val="auto"/>
              </w:rPr>
            </w:pPr>
          </w:p>
        </w:tc>
        <w:tc>
          <w:tcPr>
            <w:tcW w:w="340" w:type="dxa"/>
            <w:vAlign w:val="bottom"/>
            <w:shd w:val="clear" w:color="auto" w:fill="1E1E1E"/>
          </w:tcPr>
          <w:p>
            <w:pPr>
              <w:spacing w:after="0"/>
              <w:rPr>
                <w:sz w:val="2"/>
                <w:szCs w:val="2"/>
                <w:color w:val="auto"/>
              </w:rPr>
            </w:pPr>
          </w:p>
        </w:tc>
        <w:tc>
          <w:tcPr>
            <w:tcW w:w="880" w:type="dxa"/>
            <w:vAlign w:val="bottom"/>
            <w:shd w:val="clear" w:color="auto" w:fill="1E1E1E"/>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1E1E1E"/>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right w:val="single" w:sz="8" w:color="1E1E1E"/>
            </w:tcBorders>
          </w:tcPr>
          <w:p>
            <w:pPr>
              <w:spacing w:after="0"/>
              <w:rPr>
                <w:sz w:val="2"/>
                <w:szCs w:val="2"/>
                <w:color w:val="auto"/>
              </w:rPr>
            </w:pPr>
          </w:p>
        </w:tc>
        <w:tc>
          <w:tcPr>
            <w:tcW w:w="580" w:type="dxa"/>
            <w:vAlign w:val="bottom"/>
            <w:shd w:val="clear" w:color="auto" w:fill="1E1E1E"/>
          </w:tcPr>
          <w:p>
            <w:pPr>
              <w:spacing w:after="0"/>
              <w:rPr>
                <w:sz w:val="2"/>
                <w:szCs w:val="2"/>
                <w:color w:val="auto"/>
              </w:rPr>
            </w:pPr>
          </w:p>
        </w:tc>
        <w:tc>
          <w:tcPr>
            <w:tcW w:w="660" w:type="dxa"/>
            <w:vAlign w:val="bottom"/>
            <w:shd w:val="clear" w:color="auto" w:fill="1E1E1E"/>
          </w:tcPr>
          <w:p>
            <w:pPr>
              <w:spacing w:after="0"/>
              <w:rPr>
                <w:sz w:val="2"/>
                <w:szCs w:val="2"/>
                <w:color w:val="auto"/>
              </w:rPr>
            </w:pPr>
          </w:p>
        </w:tc>
        <w:tc>
          <w:tcPr>
            <w:tcW w:w="200" w:type="dxa"/>
            <w:vAlign w:val="bottom"/>
            <w:tcBorders>
              <w:right w:val="single" w:sz="8" w:color="1E1E1E"/>
            </w:tcBorders>
          </w:tcPr>
          <w:p>
            <w:pPr>
              <w:spacing w:after="0"/>
              <w:rPr>
                <w:sz w:val="2"/>
                <w:szCs w:val="2"/>
                <w:color w:val="auto"/>
              </w:rPr>
            </w:pPr>
          </w:p>
        </w:tc>
        <w:tc>
          <w:tcPr>
            <w:tcW w:w="380" w:type="dxa"/>
            <w:vAlign w:val="bottom"/>
            <w:shd w:val="clear" w:color="auto" w:fill="1E1E1E"/>
          </w:tcPr>
          <w:p>
            <w:pPr>
              <w:spacing w:after="0"/>
              <w:rPr>
                <w:sz w:val="2"/>
                <w:szCs w:val="2"/>
                <w:color w:val="auto"/>
              </w:rPr>
            </w:pPr>
          </w:p>
        </w:tc>
        <w:tc>
          <w:tcPr>
            <w:tcW w:w="420" w:type="dxa"/>
            <w:vAlign w:val="bottom"/>
            <w:shd w:val="clear" w:color="auto" w:fill="1E1E1E"/>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20" w:firstLine="490"/>
        <w:spacing w:after="0" w:line="281" w:lineRule="auto"/>
        <w:rPr>
          <w:sz w:val="20"/>
          <w:szCs w:val="20"/>
          <w:color w:val="auto"/>
        </w:rPr>
      </w:pPr>
      <w:r>
        <w:rPr>
          <w:rFonts w:ascii="Times New Roman" w:cs="Times New Roman" w:eastAsia="Times New Roman" w:hAnsi="Times New Roman"/>
          <w:sz w:val="20"/>
          <w:szCs w:val="20"/>
          <w:color w:val="1E1E1E"/>
        </w:rPr>
        <w:t>Deferred income taxes reflect the net tax effects of temporary differences between U.S. GAAP and tax bases of assets and liabilities. Significant components of deferred tax assets and liabilities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1760" w:type="dxa"/>
            <w:vAlign w:val="bottom"/>
            <w:tcBorders>
              <w:bottom w:val="single" w:sz="8" w:color="1E1E1E"/>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1E1E1E"/>
              </w:rPr>
              <w:t>February 2, 2025</w:t>
            </w:r>
          </w:p>
        </w:tc>
        <w:tc>
          <w:tcPr>
            <w:tcW w:w="240" w:type="dxa"/>
            <w:vAlign w:val="bottom"/>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1780" w:type="dxa"/>
            <w:vAlign w:val="bottom"/>
            <w:tcBorders>
              <w:bottom w:val="single" w:sz="8" w:color="1E1E1E"/>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1E1E1E"/>
              </w:rPr>
              <w:t>January 28, 2024</w:t>
            </w:r>
          </w:p>
        </w:tc>
      </w:tr>
      <w:tr>
        <w:trPr>
          <w:trHeight w:val="206"/>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1E1E1E"/>
              </w:rPr>
              <w:t>(in thousands)</w:t>
            </w: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26"/>
        </w:trPr>
        <w:tc>
          <w:tcPr>
            <w:tcW w:w="5720" w:type="dxa"/>
            <w:vAlign w:val="bottom"/>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Deferred tax assets:</w:t>
            </w:r>
          </w:p>
        </w:tc>
        <w:tc>
          <w:tcPr>
            <w:tcW w:w="240" w:type="dxa"/>
            <w:vAlign w:val="bottom"/>
            <w:shd w:val="clear" w:color="auto" w:fill="E2E2E2"/>
          </w:tcPr>
          <w:p>
            <w:pPr>
              <w:spacing w:after="0"/>
              <w:rPr>
                <w:sz w:val="19"/>
                <w:szCs w:val="19"/>
                <w:color w:val="auto"/>
              </w:rPr>
            </w:pPr>
          </w:p>
        </w:tc>
        <w:tc>
          <w:tcPr>
            <w:tcW w:w="260" w:type="dxa"/>
            <w:vAlign w:val="bottom"/>
            <w:shd w:val="clear" w:color="auto" w:fill="E2E2E2"/>
          </w:tcPr>
          <w:p>
            <w:pPr>
              <w:spacing w:after="0"/>
              <w:rPr>
                <w:sz w:val="19"/>
                <w:szCs w:val="19"/>
                <w:color w:val="auto"/>
              </w:rPr>
            </w:pPr>
          </w:p>
        </w:tc>
        <w:tc>
          <w:tcPr>
            <w:tcW w:w="176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1780" w:type="dxa"/>
            <w:vAlign w:val="bottom"/>
            <w:shd w:val="clear" w:color="auto" w:fill="E2E2E2"/>
          </w:tcPr>
          <w:p>
            <w:pPr>
              <w:spacing w:after="0"/>
              <w:rPr>
                <w:sz w:val="19"/>
                <w:szCs w:val="19"/>
                <w:color w:val="auto"/>
              </w:rPr>
            </w:pPr>
          </w:p>
        </w:tc>
      </w:tr>
      <w:tr>
        <w:trPr>
          <w:trHeight w:val="226"/>
        </w:trPr>
        <w:tc>
          <w:tcPr>
            <w:tcW w:w="572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1E1E1E"/>
              </w:rPr>
              <w:t>Returns allowance</w:t>
            </w:r>
          </w:p>
        </w:tc>
        <w:tc>
          <w:tcPr>
            <w:tcW w:w="240" w:type="dxa"/>
            <w:vAlign w:val="bottom"/>
          </w:tcPr>
          <w:p>
            <w:pPr>
              <w:spacing w:after="0"/>
              <w:rPr>
                <w:sz w:val="19"/>
                <w:szCs w:val="19"/>
                <w:color w:val="auto"/>
              </w:rPr>
            </w:pPr>
          </w:p>
        </w:tc>
        <w:tc>
          <w:tcPr>
            <w:tcW w:w="260" w:type="dxa"/>
            <w:vAlign w:val="bottom"/>
          </w:tcPr>
          <w:p>
            <w:pPr>
              <w:jc w:val="right"/>
              <w:ind w:right="59"/>
              <w:spacing w:after="0" w:line="226" w:lineRule="exact"/>
              <w:rPr>
                <w:sz w:val="20"/>
                <w:szCs w:val="20"/>
                <w:color w:val="auto"/>
              </w:rPr>
            </w:pPr>
            <w:r>
              <w:rPr>
                <w:rFonts w:ascii="Times New Roman" w:cs="Times New Roman" w:eastAsia="Times New Roman" w:hAnsi="Times New Roman"/>
                <w:sz w:val="20"/>
                <w:szCs w:val="20"/>
                <w:color w:val="1E1E1E"/>
                <w:w w:val="79"/>
              </w:rPr>
              <w:t>$</w:t>
            </w:r>
          </w:p>
        </w:tc>
        <w:tc>
          <w:tcPr>
            <w:tcW w:w="17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1,153</w:t>
            </w:r>
          </w:p>
        </w:tc>
        <w:tc>
          <w:tcPr>
            <w:tcW w:w="480" w:type="dxa"/>
            <w:vAlign w:val="bottom"/>
            <w:gridSpan w:val="2"/>
          </w:tcPr>
          <w:p>
            <w:pPr>
              <w:jc w:val="right"/>
              <w:ind w:right="140"/>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7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1,402</w:t>
            </w:r>
          </w:p>
        </w:tc>
      </w:tr>
      <w:tr>
        <w:trPr>
          <w:trHeight w:val="221"/>
        </w:trPr>
        <w:tc>
          <w:tcPr>
            <w:tcW w:w="5720" w:type="dxa"/>
            <w:vAlign w:val="bottom"/>
            <w:shd w:val="clear" w:color="auto" w:fill="E2E2E2"/>
          </w:tcPr>
          <w:p>
            <w:pPr>
              <w:ind w:left="120"/>
              <w:spacing w:after="0" w:line="221" w:lineRule="exact"/>
              <w:rPr>
                <w:sz w:val="20"/>
                <w:szCs w:val="20"/>
                <w:color w:val="auto"/>
              </w:rPr>
            </w:pPr>
            <w:r>
              <w:rPr>
                <w:rFonts w:ascii="Times New Roman" w:cs="Times New Roman" w:eastAsia="Times New Roman" w:hAnsi="Times New Roman"/>
                <w:sz w:val="20"/>
                <w:szCs w:val="20"/>
                <w:color w:val="1E1E1E"/>
              </w:rPr>
              <w:t>Uniform inventory capitalization</w:t>
            </w:r>
          </w:p>
        </w:tc>
        <w:tc>
          <w:tcPr>
            <w:tcW w:w="240" w:type="dxa"/>
            <w:vAlign w:val="bottom"/>
            <w:shd w:val="clear" w:color="auto" w:fill="E2E2E2"/>
          </w:tcPr>
          <w:p>
            <w:pPr>
              <w:spacing w:after="0"/>
              <w:rPr>
                <w:sz w:val="19"/>
                <w:szCs w:val="19"/>
                <w:color w:val="auto"/>
              </w:rPr>
            </w:pPr>
          </w:p>
        </w:tc>
        <w:tc>
          <w:tcPr>
            <w:tcW w:w="260" w:type="dxa"/>
            <w:vAlign w:val="bottom"/>
            <w:shd w:val="clear" w:color="auto" w:fill="E2E2E2"/>
          </w:tcPr>
          <w:p>
            <w:pPr>
              <w:spacing w:after="0"/>
              <w:rPr>
                <w:sz w:val="19"/>
                <w:szCs w:val="19"/>
                <w:color w:val="auto"/>
              </w:rPr>
            </w:pPr>
          </w:p>
        </w:tc>
        <w:tc>
          <w:tcPr>
            <w:tcW w:w="1760" w:type="dxa"/>
            <w:vAlign w:val="bottom"/>
            <w:shd w:val="clear" w:color="auto" w:fill="E2E2E2"/>
          </w:tcPr>
          <w:p>
            <w:pPr>
              <w:jc w:val="right"/>
              <w:spacing w:after="0" w:line="221" w:lineRule="exact"/>
              <w:rPr>
                <w:sz w:val="20"/>
                <w:szCs w:val="20"/>
                <w:color w:val="auto"/>
              </w:rPr>
            </w:pPr>
            <w:r>
              <w:rPr>
                <w:rFonts w:ascii="Times New Roman" w:cs="Times New Roman" w:eastAsia="Times New Roman" w:hAnsi="Times New Roman"/>
                <w:sz w:val="20"/>
                <w:szCs w:val="20"/>
                <w:color w:val="1E1E1E"/>
              </w:rPr>
              <w:t>4,361</w:t>
            </w: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1780" w:type="dxa"/>
            <w:vAlign w:val="bottom"/>
            <w:shd w:val="clear" w:color="auto" w:fill="E2E2E2"/>
          </w:tcPr>
          <w:p>
            <w:pPr>
              <w:jc w:val="right"/>
              <w:spacing w:after="0" w:line="221" w:lineRule="exact"/>
              <w:rPr>
                <w:sz w:val="20"/>
                <w:szCs w:val="20"/>
                <w:color w:val="auto"/>
              </w:rPr>
            </w:pPr>
            <w:r>
              <w:rPr>
                <w:rFonts w:ascii="Times New Roman" w:cs="Times New Roman" w:eastAsia="Times New Roman" w:hAnsi="Times New Roman"/>
                <w:sz w:val="20"/>
                <w:szCs w:val="20"/>
                <w:color w:val="1E1E1E"/>
              </w:rPr>
              <w:t>3,637</w:t>
            </w:r>
          </w:p>
        </w:tc>
      </w:tr>
      <w:tr>
        <w:trPr>
          <w:trHeight w:val="226"/>
        </w:trPr>
        <w:tc>
          <w:tcPr>
            <w:tcW w:w="572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1E1E1E"/>
              </w:rPr>
              <w:t>Goodwill and intangibles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29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w:t>
            </w:r>
          </w:p>
        </w:tc>
      </w:tr>
      <w:tr>
        <w:trPr>
          <w:trHeight w:val="226"/>
        </w:trPr>
        <w:tc>
          <w:tcPr>
            <w:tcW w:w="5960" w:type="dxa"/>
            <w:vAlign w:val="bottom"/>
            <w:gridSpan w:val="2"/>
            <w:shd w:val="clear" w:color="auto" w:fill="E2E2E2"/>
          </w:tcPr>
          <w:p>
            <w:pPr>
              <w:ind w:left="120"/>
              <w:spacing w:after="0" w:line="226" w:lineRule="exact"/>
              <w:rPr>
                <w:sz w:val="20"/>
                <w:szCs w:val="20"/>
                <w:color w:val="auto"/>
              </w:rPr>
            </w:pPr>
            <w:r>
              <w:rPr>
                <w:rFonts w:ascii="Times New Roman" w:cs="Times New Roman" w:eastAsia="Times New Roman" w:hAnsi="Times New Roman"/>
                <w:sz w:val="20"/>
                <w:szCs w:val="20"/>
                <w:color w:val="1E1E1E"/>
              </w:rPr>
              <w:t>Unrealized loss on investment</w:t>
            </w:r>
          </w:p>
        </w:tc>
        <w:tc>
          <w:tcPr>
            <w:tcW w:w="260" w:type="dxa"/>
            <w:vAlign w:val="bottom"/>
            <w:shd w:val="clear" w:color="auto" w:fill="E2E2E2"/>
          </w:tcPr>
          <w:p>
            <w:pPr>
              <w:spacing w:after="0"/>
              <w:rPr>
                <w:sz w:val="19"/>
                <w:szCs w:val="19"/>
                <w:color w:val="auto"/>
              </w:rPr>
            </w:pPr>
          </w:p>
        </w:tc>
        <w:tc>
          <w:tcPr>
            <w:tcW w:w="176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218</w:t>
            </w: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17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144</w:t>
            </w:r>
          </w:p>
        </w:tc>
      </w:tr>
      <w:tr>
        <w:trPr>
          <w:trHeight w:val="226"/>
        </w:trPr>
        <w:tc>
          <w:tcPr>
            <w:tcW w:w="5960" w:type="dxa"/>
            <w:vAlign w:val="bottom"/>
            <w:gridSpan w:val="2"/>
          </w:tcPr>
          <w:p>
            <w:pPr>
              <w:ind w:left="120"/>
              <w:spacing w:after="0" w:line="226" w:lineRule="exact"/>
              <w:rPr>
                <w:sz w:val="20"/>
                <w:szCs w:val="20"/>
                <w:color w:val="auto"/>
              </w:rPr>
            </w:pPr>
            <w:r>
              <w:rPr>
                <w:rFonts w:ascii="Times New Roman" w:cs="Times New Roman" w:eastAsia="Times New Roman" w:hAnsi="Times New Roman"/>
                <w:sz w:val="20"/>
                <w:szCs w:val="20"/>
                <w:color w:val="1E1E1E"/>
              </w:rPr>
              <w:t>Federal and state credit</w:t>
            </w:r>
          </w:p>
        </w:tc>
        <w:tc>
          <w:tcPr>
            <w:tcW w:w="260" w:type="dxa"/>
            <w:vAlign w:val="bottom"/>
          </w:tcPr>
          <w:p>
            <w:pPr>
              <w:spacing w:after="0"/>
              <w:rPr>
                <w:sz w:val="19"/>
                <w:szCs w:val="19"/>
                <w:color w:val="auto"/>
              </w:rPr>
            </w:pPr>
          </w:p>
        </w:tc>
        <w:tc>
          <w:tcPr>
            <w:tcW w:w="17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414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426</w:t>
            </w:r>
          </w:p>
        </w:tc>
      </w:tr>
      <w:tr>
        <w:trPr>
          <w:trHeight w:val="226"/>
        </w:trPr>
        <w:tc>
          <w:tcPr>
            <w:tcW w:w="5720" w:type="dxa"/>
            <w:vAlign w:val="bottom"/>
            <w:shd w:val="clear" w:color="auto" w:fill="E2E2E2"/>
          </w:tcPr>
          <w:p>
            <w:pPr>
              <w:ind w:left="120"/>
              <w:spacing w:after="0" w:line="226" w:lineRule="exact"/>
              <w:rPr>
                <w:sz w:val="20"/>
                <w:szCs w:val="20"/>
                <w:color w:val="auto"/>
              </w:rPr>
            </w:pPr>
            <w:r>
              <w:rPr>
                <w:rFonts w:ascii="Times New Roman" w:cs="Times New Roman" w:eastAsia="Times New Roman" w:hAnsi="Times New Roman"/>
                <w:sz w:val="20"/>
                <w:szCs w:val="20"/>
                <w:color w:val="1E1E1E"/>
              </w:rPr>
              <w:t>Lease liability</w:t>
            </w:r>
          </w:p>
        </w:tc>
        <w:tc>
          <w:tcPr>
            <w:tcW w:w="240" w:type="dxa"/>
            <w:vAlign w:val="bottom"/>
            <w:shd w:val="clear" w:color="auto" w:fill="E2E2E2"/>
          </w:tcPr>
          <w:p>
            <w:pPr>
              <w:spacing w:after="0"/>
              <w:rPr>
                <w:sz w:val="19"/>
                <w:szCs w:val="19"/>
                <w:color w:val="auto"/>
              </w:rPr>
            </w:pPr>
          </w:p>
        </w:tc>
        <w:tc>
          <w:tcPr>
            <w:tcW w:w="260" w:type="dxa"/>
            <w:vAlign w:val="bottom"/>
            <w:shd w:val="clear" w:color="auto" w:fill="E2E2E2"/>
          </w:tcPr>
          <w:p>
            <w:pPr>
              <w:spacing w:after="0"/>
              <w:rPr>
                <w:sz w:val="19"/>
                <w:szCs w:val="19"/>
                <w:color w:val="auto"/>
              </w:rPr>
            </w:pPr>
          </w:p>
        </w:tc>
        <w:tc>
          <w:tcPr>
            <w:tcW w:w="176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46,412</w:t>
            </w: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17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52,642</w:t>
            </w:r>
          </w:p>
        </w:tc>
      </w:tr>
      <w:tr>
        <w:trPr>
          <w:trHeight w:val="226"/>
        </w:trPr>
        <w:tc>
          <w:tcPr>
            <w:tcW w:w="572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1E1E1E"/>
              </w:rPr>
              <w:t>Accruals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1,355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389</w:t>
            </w:r>
          </w:p>
        </w:tc>
      </w:tr>
      <w:tr>
        <w:trPr>
          <w:trHeight w:val="226"/>
        </w:trPr>
        <w:tc>
          <w:tcPr>
            <w:tcW w:w="5960" w:type="dxa"/>
            <w:vAlign w:val="bottom"/>
            <w:gridSpan w:val="2"/>
            <w:shd w:val="clear" w:color="auto" w:fill="E2E2E2"/>
          </w:tcPr>
          <w:p>
            <w:pPr>
              <w:ind w:left="120"/>
              <w:spacing w:after="0" w:line="226" w:lineRule="exact"/>
              <w:rPr>
                <w:sz w:val="20"/>
                <w:szCs w:val="20"/>
                <w:color w:val="auto"/>
              </w:rPr>
            </w:pPr>
            <w:r>
              <w:rPr>
                <w:rFonts w:ascii="Times New Roman" w:cs="Times New Roman" w:eastAsia="Times New Roman" w:hAnsi="Times New Roman"/>
                <w:sz w:val="20"/>
                <w:szCs w:val="20"/>
                <w:color w:val="1E1E1E"/>
              </w:rPr>
              <w:t>Stock-based compensation</w:t>
            </w:r>
          </w:p>
        </w:tc>
        <w:tc>
          <w:tcPr>
            <w:tcW w:w="260" w:type="dxa"/>
            <w:vAlign w:val="bottom"/>
            <w:shd w:val="clear" w:color="auto" w:fill="E2E2E2"/>
          </w:tcPr>
          <w:p>
            <w:pPr>
              <w:spacing w:after="0"/>
              <w:rPr>
                <w:sz w:val="19"/>
                <w:szCs w:val="19"/>
                <w:color w:val="auto"/>
              </w:rPr>
            </w:pPr>
          </w:p>
        </w:tc>
        <w:tc>
          <w:tcPr>
            <w:tcW w:w="176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433</w:t>
            </w: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17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491</w:t>
            </w:r>
          </w:p>
        </w:tc>
      </w:tr>
      <w:tr>
        <w:trPr>
          <w:trHeight w:val="226"/>
        </w:trPr>
        <w:tc>
          <w:tcPr>
            <w:tcW w:w="5960" w:type="dxa"/>
            <w:vAlign w:val="bottom"/>
            <w:gridSpan w:val="2"/>
          </w:tcPr>
          <w:p>
            <w:pPr>
              <w:ind w:left="120"/>
              <w:spacing w:after="0" w:line="226" w:lineRule="exact"/>
              <w:rPr>
                <w:sz w:val="20"/>
                <w:szCs w:val="20"/>
                <w:color w:val="auto"/>
              </w:rPr>
            </w:pPr>
            <w:r>
              <w:rPr>
                <w:rFonts w:ascii="Times New Roman" w:cs="Times New Roman" w:eastAsia="Times New Roman" w:hAnsi="Times New Roman"/>
                <w:sz w:val="20"/>
                <w:szCs w:val="20"/>
                <w:color w:val="1E1E1E"/>
              </w:rPr>
              <w:t>Advance payments</w:t>
            </w:r>
          </w:p>
        </w:tc>
        <w:tc>
          <w:tcPr>
            <w:tcW w:w="260" w:type="dxa"/>
            <w:vAlign w:val="bottom"/>
          </w:tcPr>
          <w:p>
            <w:pPr>
              <w:spacing w:after="0"/>
              <w:rPr>
                <w:sz w:val="19"/>
                <w:szCs w:val="19"/>
                <w:color w:val="auto"/>
              </w:rPr>
            </w:pPr>
          </w:p>
        </w:tc>
        <w:tc>
          <w:tcPr>
            <w:tcW w:w="17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411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687</w:t>
            </w:r>
          </w:p>
        </w:tc>
      </w:tr>
      <w:tr>
        <w:trPr>
          <w:trHeight w:val="221"/>
        </w:trPr>
        <w:tc>
          <w:tcPr>
            <w:tcW w:w="5720" w:type="dxa"/>
            <w:vAlign w:val="bottom"/>
            <w:shd w:val="clear" w:color="auto" w:fill="E2E2E2"/>
          </w:tcPr>
          <w:p>
            <w:pPr>
              <w:ind w:left="120"/>
              <w:spacing w:after="0" w:line="221" w:lineRule="exact"/>
              <w:rPr>
                <w:sz w:val="20"/>
                <w:szCs w:val="20"/>
                <w:color w:val="auto"/>
              </w:rPr>
            </w:pPr>
            <w:r>
              <w:rPr>
                <w:rFonts w:ascii="Times New Roman" w:cs="Times New Roman" w:eastAsia="Times New Roman" w:hAnsi="Times New Roman"/>
                <w:sz w:val="20"/>
                <w:szCs w:val="20"/>
                <w:color w:val="1E1E1E"/>
              </w:rPr>
              <w:t>Business Interest limitation</w:t>
            </w:r>
          </w:p>
        </w:tc>
        <w:tc>
          <w:tcPr>
            <w:tcW w:w="240" w:type="dxa"/>
            <w:vAlign w:val="bottom"/>
            <w:shd w:val="clear" w:color="auto" w:fill="E2E2E2"/>
          </w:tcPr>
          <w:p>
            <w:pPr>
              <w:spacing w:after="0"/>
              <w:rPr>
                <w:sz w:val="19"/>
                <w:szCs w:val="19"/>
                <w:color w:val="auto"/>
              </w:rPr>
            </w:pPr>
          </w:p>
        </w:tc>
        <w:tc>
          <w:tcPr>
            <w:tcW w:w="260" w:type="dxa"/>
            <w:vAlign w:val="bottom"/>
            <w:shd w:val="clear" w:color="auto" w:fill="E2E2E2"/>
          </w:tcPr>
          <w:p>
            <w:pPr>
              <w:spacing w:after="0"/>
              <w:rPr>
                <w:sz w:val="19"/>
                <w:szCs w:val="19"/>
                <w:color w:val="auto"/>
              </w:rPr>
            </w:pPr>
          </w:p>
        </w:tc>
        <w:tc>
          <w:tcPr>
            <w:tcW w:w="1760" w:type="dxa"/>
            <w:vAlign w:val="bottom"/>
            <w:shd w:val="clear" w:color="auto" w:fill="E2E2E2"/>
          </w:tcPr>
          <w:p>
            <w:pPr>
              <w:jc w:val="right"/>
              <w:spacing w:after="0" w:line="221" w:lineRule="exact"/>
              <w:rPr>
                <w:sz w:val="20"/>
                <w:szCs w:val="20"/>
                <w:color w:val="auto"/>
              </w:rPr>
            </w:pPr>
            <w:r>
              <w:rPr>
                <w:rFonts w:ascii="Times New Roman" w:cs="Times New Roman" w:eastAsia="Times New Roman" w:hAnsi="Times New Roman"/>
                <w:sz w:val="20"/>
                <w:szCs w:val="20"/>
                <w:color w:val="1E1E1E"/>
              </w:rPr>
              <w:t>475</w:t>
            </w: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1780" w:type="dxa"/>
            <w:vAlign w:val="bottom"/>
            <w:shd w:val="clear" w:color="auto" w:fill="E2E2E2"/>
          </w:tcPr>
          <w:p>
            <w:pPr>
              <w:jc w:val="right"/>
              <w:spacing w:after="0" w:line="221" w:lineRule="exact"/>
              <w:rPr>
                <w:sz w:val="20"/>
                <w:szCs w:val="20"/>
                <w:color w:val="auto"/>
              </w:rPr>
            </w:pPr>
            <w:r>
              <w:rPr>
                <w:rFonts w:ascii="Times New Roman" w:cs="Times New Roman" w:eastAsia="Times New Roman" w:hAnsi="Times New Roman"/>
                <w:sz w:val="20"/>
                <w:szCs w:val="20"/>
                <w:color w:val="1E1E1E"/>
              </w:rPr>
              <w:t>127</w:t>
            </w:r>
          </w:p>
        </w:tc>
      </w:tr>
      <w:tr>
        <w:trPr>
          <w:trHeight w:val="226"/>
        </w:trPr>
        <w:tc>
          <w:tcPr>
            <w:tcW w:w="5960" w:type="dxa"/>
            <w:vAlign w:val="bottom"/>
            <w:gridSpan w:val="2"/>
          </w:tcPr>
          <w:p>
            <w:pPr>
              <w:ind w:left="120"/>
              <w:spacing w:after="0" w:line="226" w:lineRule="exact"/>
              <w:rPr>
                <w:sz w:val="20"/>
                <w:szCs w:val="20"/>
                <w:color w:val="auto"/>
              </w:rPr>
            </w:pPr>
            <w:r>
              <w:rPr>
                <w:rFonts w:ascii="Times New Roman" w:cs="Times New Roman" w:eastAsia="Times New Roman" w:hAnsi="Times New Roman"/>
                <w:sz w:val="20"/>
                <w:szCs w:val="20"/>
                <w:color w:val="1E1E1E"/>
              </w:rPr>
              <w:t>Sales tax accrual</w:t>
            </w:r>
          </w:p>
        </w:tc>
        <w:tc>
          <w:tcPr>
            <w:tcW w:w="260" w:type="dxa"/>
            <w:vAlign w:val="bottom"/>
          </w:tcPr>
          <w:p>
            <w:pPr>
              <w:spacing w:after="0"/>
              <w:rPr>
                <w:sz w:val="19"/>
                <w:szCs w:val="19"/>
                <w:color w:val="auto"/>
              </w:rPr>
            </w:pPr>
          </w:p>
        </w:tc>
        <w:tc>
          <w:tcPr>
            <w:tcW w:w="17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931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757</w:t>
            </w:r>
          </w:p>
        </w:tc>
      </w:tr>
      <w:tr>
        <w:trPr>
          <w:trHeight w:val="226"/>
        </w:trPr>
        <w:tc>
          <w:tcPr>
            <w:tcW w:w="5960" w:type="dxa"/>
            <w:vAlign w:val="bottom"/>
            <w:gridSpan w:val="2"/>
            <w:shd w:val="clear" w:color="auto" w:fill="E2E2E2"/>
          </w:tcPr>
          <w:p>
            <w:pPr>
              <w:ind w:left="120"/>
              <w:spacing w:after="0" w:line="226" w:lineRule="exact"/>
              <w:rPr>
                <w:sz w:val="20"/>
                <w:szCs w:val="20"/>
                <w:color w:val="auto"/>
              </w:rPr>
            </w:pPr>
            <w:r>
              <w:rPr>
                <w:rFonts w:ascii="Times New Roman" w:cs="Times New Roman" w:eastAsia="Times New Roman" w:hAnsi="Times New Roman"/>
                <w:sz w:val="20"/>
                <w:szCs w:val="20"/>
                <w:color w:val="1E1E1E"/>
              </w:rPr>
              <w:t>Unrecognized tax benefits</w:t>
            </w:r>
          </w:p>
        </w:tc>
        <w:tc>
          <w:tcPr>
            <w:tcW w:w="260" w:type="dxa"/>
            <w:vAlign w:val="bottom"/>
            <w:shd w:val="clear" w:color="auto" w:fill="E2E2E2"/>
          </w:tcPr>
          <w:p>
            <w:pPr>
              <w:spacing w:after="0"/>
              <w:rPr>
                <w:sz w:val="19"/>
                <w:szCs w:val="19"/>
                <w:color w:val="auto"/>
              </w:rPr>
            </w:pPr>
          </w:p>
        </w:tc>
        <w:tc>
          <w:tcPr>
            <w:tcW w:w="176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8</w:t>
            </w: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17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3</w:t>
            </w:r>
          </w:p>
        </w:tc>
      </w:tr>
      <w:tr>
        <w:trPr>
          <w:trHeight w:val="226"/>
        </w:trPr>
        <w:tc>
          <w:tcPr>
            <w:tcW w:w="5960" w:type="dxa"/>
            <w:vAlign w:val="bottom"/>
            <w:gridSpan w:val="2"/>
          </w:tcPr>
          <w:p>
            <w:pPr>
              <w:ind w:left="120"/>
              <w:spacing w:after="0" w:line="226" w:lineRule="exact"/>
              <w:rPr>
                <w:sz w:val="20"/>
                <w:szCs w:val="20"/>
                <w:color w:val="auto"/>
              </w:rPr>
            </w:pPr>
            <w:r>
              <w:rPr>
                <w:rFonts w:ascii="Times New Roman" w:cs="Times New Roman" w:eastAsia="Times New Roman" w:hAnsi="Times New Roman"/>
                <w:sz w:val="20"/>
                <w:szCs w:val="20"/>
                <w:color w:val="1E1E1E"/>
              </w:rPr>
              <w:t>Charitable contributions</w:t>
            </w:r>
          </w:p>
        </w:tc>
        <w:tc>
          <w:tcPr>
            <w:tcW w:w="260" w:type="dxa"/>
            <w:vAlign w:val="bottom"/>
          </w:tcPr>
          <w:p>
            <w:pPr>
              <w:spacing w:after="0"/>
              <w:rPr>
                <w:sz w:val="19"/>
                <w:szCs w:val="19"/>
                <w:color w:val="auto"/>
              </w:rPr>
            </w:pPr>
          </w:p>
        </w:tc>
        <w:tc>
          <w:tcPr>
            <w:tcW w:w="17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280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181</w:t>
            </w:r>
          </w:p>
        </w:tc>
      </w:tr>
      <w:tr>
        <w:trPr>
          <w:trHeight w:val="226"/>
        </w:trPr>
        <w:tc>
          <w:tcPr>
            <w:tcW w:w="5720" w:type="dxa"/>
            <w:vAlign w:val="bottom"/>
            <w:shd w:val="clear" w:color="auto" w:fill="E2E2E2"/>
          </w:tcPr>
          <w:p>
            <w:pPr>
              <w:ind w:left="120"/>
              <w:spacing w:after="0" w:line="226" w:lineRule="exact"/>
              <w:rPr>
                <w:sz w:val="20"/>
                <w:szCs w:val="20"/>
                <w:color w:val="auto"/>
              </w:rPr>
            </w:pPr>
            <w:r>
              <w:rPr>
                <w:rFonts w:ascii="Times New Roman" w:cs="Times New Roman" w:eastAsia="Times New Roman" w:hAnsi="Times New Roman"/>
                <w:sz w:val="20"/>
                <w:szCs w:val="20"/>
                <w:color w:val="1E1E1E"/>
              </w:rPr>
              <w:t>Research and development</w:t>
            </w:r>
          </w:p>
        </w:tc>
        <w:tc>
          <w:tcPr>
            <w:tcW w:w="240" w:type="dxa"/>
            <w:vAlign w:val="bottom"/>
            <w:shd w:val="clear" w:color="auto" w:fill="E2E2E2"/>
          </w:tcPr>
          <w:p>
            <w:pPr>
              <w:spacing w:after="0"/>
              <w:rPr>
                <w:sz w:val="19"/>
                <w:szCs w:val="19"/>
                <w:color w:val="auto"/>
              </w:rPr>
            </w:pPr>
          </w:p>
        </w:tc>
        <w:tc>
          <w:tcPr>
            <w:tcW w:w="260" w:type="dxa"/>
            <w:vAlign w:val="bottom"/>
            <w:shd w:val="clear" w:color="auto" w:fill="E2E2E2"/>
          </w:tcPr>
          <w:p>
            <w:pPr>
              <w:spacing w:after="0"/>
              <w:rPr>
                <w:sz w:val="19"/>
                <w:szCs w:val="19"/>
                <w:color w:val="auto"/>
              </w:rPr>
            </w:pPr>
          </w:p>
        </w:tc>
        <w:tc>
          <w:tcPr>
            <w:tcW w:w="176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1,790</w:t>
            </w: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17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1,723</w:t>
            </w:r>
          </w:p>
        </w:tc>
      </w:tr>
      <w:tr>
        <w:trPr>
          <w:trHeight w:val="226"/>
        </w:trPr>
        <w:tc>
          <w:tcPr>
            <w:tcW w:w="5720" w:type="dxa"/>
            <w:vAlign w:val="bottom"/>
            <w:tcBorders>
              <w:bottom w:val="single" w:sz="8" w:color="E2E2E2"/>
            </w:tcBorders>
          </w:tcPr>
          <w:p>
            <w:pPr>
              <w:ind w:left="120"/>
              <w:spacing w:after="0" w:line="226" w:lineRule="exact"/>
              <w:rPr>
                <w:sz w:val="20"/>
                <w:szCs w:val="20"/>
                <w:color w:val="auto"/>
              </w:rPr>
            </w:pPr>
            <w:r>
              <w:rPr>
                <w:rFonts w:ascii="Times New Roman" w:cs="Times New Roman" w:eastAsia="Times New Roman" w:hAnsi="Times New Roman"/>
                <w:sz w:val="20"/>
                <w:szCs w:val="20"/>
                <w:color w:val="1E1E1E"/>
              </w:rPr>
              <w:t>Federal and state NOL</w:t>
            </w:r>
          </w:p>
        </w:tc>
        <w:tc>
          <w:tcPr>
            <w:tcW w:w="240" w:type="dxa"/>
            <w:vAlign w:val="bottom"/>
            <w:tcBorders>
              <w:bottom w:val="single" w:sz="8" w:color="E2E2E2"/>
            </w:tcBorders>
          </w:tcPr>
          <w:p>
            <w:pPr>
              <w:spacing w:after="0"/>
              <w:rPr>
                <w:sz w:val="19"/>
                <w:szCs w:val="19"/>
                <w:color w:val="auto"/>
              </w:rPr>
            </w:pPr>
          </w:p>
        </w:tc>
        <w:tc>
          <w:tcPr>
            <w:tcW w:w="260" w:type="dxa"/>
            <w:vAlign w:val="bottom"/>
            <w:tcBorders>
              <w:bottom w:val="single" w:sz="8" w:color="1E1E1E"/>
            </w:tcBorders>
          </w:tcPr>
          <w:p>
            <w:pPr>
              <w:spacing w:after="0"/>
              <w:rPr>
                <w:sz w:val="19"/>
                <w:szCs w:val="19"/>
                <w:color w:val="auto"/>
              </w:rPr>
            </w:pPr>
          </w:p>
        </w:tc>
        <w:tc>
          <w:tcPr>
            <w:tcW w:w="176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7,519</w:t>
            </w:r>
          </w:p>
        </w:tc>
        <w:tc>
          <w:tcPr>
            <w:tcW w:w="240" w:type="dxa"/>
            <w:vAlign w:val="bottom"/>
            <w:tcBorders>
              <w:bottom w:val="single" w:sz="8" w:color="E2E2E2"/>
            </w:tcBorders>
          </w:tcPr>
          <w:p>
            <w:pPr>
              <w:spacing w:after="0"/>
              <w:rPr>
                <w:sz w:val="19"/>
                <w:szCs w:val="19"/>
                <w:color w:val="auto"/>
              </w:rPr>
            </w:pPr>
          </w:p>
        </w:tc>
        <w:tc>
          <w:tcPr>
            <w:tcW w:w="240" w:type="dxa"/>
            <w:vAlign w:val="bottom"/>
            <w:tcBorders>
              <w:bottom w:val="single" w:sz="8" w:color="1E1E1E"/>
            </w:tcBorders>
          </w:tcPr>
          <w:p>
            <w:pPr>
              <w:spacing w:after="0"/>
              <w:rPr>
                <w:sz w:val="19"/>
                <w:szCs w:val="19"/>
                <w:color w:val="auto"/>
              </w:rPr>
            </w:pPr>
          </w:p>
        </w:tc>
        <w:tc>
          <w:tcPr>
            <w:tcW w:w="178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5,183</w:t>
            </w:r>
          </w:p>
        </w:tc>
      </w:tr>
      <w:tr>
        <w:trPr>
          <w:trHeight w:val="206"/>
        </w:trPr>
        <w:tc>
          <w:tcPr>
            <w:tcW w:w="5720" w:type="dxa"/>
            <w:vAlign w:val="bottom"/>
            <w:shd w:val="clear" w:color="auto" w:fill="E2E2E2"/>
          </w:tcPr>
          <w:p>
            <w:pPr>
              <w:ind w:left="120"/>
              <w:spacing w:after="0" w:line="206" w:lineRule="exact"/>
              <w:rPr>
                <w:sz w:val="20"/>
                <w:szCs w:val="20"/>
                <w:color w:val="auto"/>
              </w:rPr>
            </w:pPr>
            <w:r>
              <w:rPr>
                <w:rFonts w:ascii="Times New Roman" w:cs="Times New Roman" w:eastAsia="Times New Roman" w:hAnsi="Times New Roman"/>
                <w:sz w:val="20"/>
                <w:szCs w:val="20"/>
                <w:color w:val="1E1E1E"/>
              </w:rPr>
              <w:t>Gross deferred tax assets</w:t>
            </w:r>
          </w:p>
        </w:tc>
        <w:tc>
          <w:tcPr>
            <w:tcW w:w="240" w:type="dxa"/>
            <w:vAlign w:val="bottom"/>
            <w:shd w:val="clear" w:color="auto" w:fill="E2E2E2"/>
          </w:tcPr>
          <w:p>
            <w:pPr>
              <w:spacing w:after="0"/>
              <w:rPr>
                <w:sz w:val="17"/>
                <w:szCs w:val="17"/>
                <w:color w:val="auto"/>
              </w:rPr>
            </w:pPr>
          </w:p>
        </w:tc>
        <w:tc>
          <w:tcPr>
            <w:tcW w:w="260" w:type="dxa"/>
            <w:vAlign w:val="bottom"/>
            <w:shd w:val="clear" w:color="auto" w:fill="E2E2E2"/>
          </w:tcPr>
          <w:p>
            <w:pPr>
              <w:spacing w:after="0"/>
              <w:rPr>
                <w:sz w:val="17"/>
                <w:szCs w:val="17"/>
                <w:color w:val="auto"/>
              </w:rPr>
            </w:pPr>
          </w:p>
        </w:tc>
        <w:tc>
          <w:tcPr>
            <w:tcW w:w="176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65,789</w:t>
            </w:r>
          </w:p>
        </w:tc>
        <w:tc>
          <w:tcPr>
            <w:tcW w:w="240" w:type="dxa"/>
            <w:vAlign w:val="bottom"/>
            <w:shd w:val="clear" w:color="auto" w:fill="E2E2E2"/>
          </w:tcPr>
          <w:p>
            <w:pPr>
              <w:spacing w:after="0"/>
              <w:rPr>
                <w:sz w:val="17"/>
                <w:szCs w:val="17"/>
                <w:color w:val="auto"/>
              </w:rPr>
            </w:pPr>
          </w:p>
        </w:tc>
        <w:tc>
          <w:tcPr>
            <w:tcW w:w="240" w:type="dxa"/>
            <w:vAlign w:val="bottom"/>
            <w:shd w:val="clear" w:color="auto" w:fill="E2E2E2"/>
          </w:tcPr>
          <w:p>
            <w:pPr>
              <w:spacing w:after="0"/>
              <w:rPr>
                <w:sz w:val="17"/>
                <w:szCs w:val="17"/>
                <w:color w:val="auto"/>
              </w:rPr>
            </w:pPr>
          </w:p>
        </w:tc>
        <w:tc>
          <w:tcPr>
            <w:tcW w:w="1780" w:type="dxa"/>
            <w:vAlign w:val="bottom"/>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67,792</w:t>
            </w:r>
          </w:p>
        </w:tc>
      </w:tr>
      <w:tr>
        <w:trPr>
          <w:trHeight w:val="226"/>
        </w:trPr>
        <w:tc>
          <w:tcPr>
            <w:tcW w:w="5960" w:type="dxa"/>
            <w:vAlign w:val="bottom"/>
            <w:tcBorders>
              <w:bottom w:val="single" w:sz="8" w:color="E2E2E2"/>
            </w:tcBorders>
            <w:gridSpan w:val="2"/>
          </w:tcPr>
          <w:p>
            <w:pPr>
              <w:ind w:left="120"/>
              <w:spacing w:after="0" w:line="226" w:lineRule="exact"/>
              <w:rPr>
                <w:sz w:val="20"/>
                <w:szCs w:val="20"/>
                <w:color w:val="auto"/>
              </w:rPr>
            </w:pPr>
            <w:r>
              <w:rPr>
                <w:rFonts w:ascii="Times New Roman" w:cs="Times New Roman" w:eastAsia="Times New Roman" w:hAnsi="Times New Roman"/>
                <w:sz w:val="20"/>
                <w:szCs w:val="20"/>
                <w:color w:val="1E1E1E"/>
              </w:rPr>
              <w:t>Valuation allowance</w:t>
            </w:r>
          </w:p>
        </w:tc>
        <w:tc>
          <w:tcPr>
            <w:tcW w:w="260" w:type="dxa"/>
            <w:vAlign w:val="bottom"/>
            <w:tcBorders>
              <w:bottom w:val="single" w:sz="8" w:color="1E1E1E"/>
            </w:tcBorders>
          </w:tcPr>
          <w:p>
            <w:pPr>
              <w:spacing w:after="0"/>
              <w:rPr>
                <w:sz w:val="19"/>
                <w:szCs w:val="19"/>
                <w:color w:val="auto"/>
              </w:rPr>
            </w:pPr>
          </w:p>
        </w:tc>
        <w:tc>
          <w:tcPr>
            <w:tcW w:w="176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(11,847)</w:t>
            </w:r>
          </w:p>
        </w:tc>
        <w:tc>
          <w:tcPr>
            <w:tcW w:w="240" w:type="dxa"/>
            <w:vAlign w:val="bottom"/>
            <w:tcBorders>
              <w:bottom w:val="single" w:sz="8" w:color="E2E2E2"/>
            </w:tcBorders>
          </w:tcPr>
          <w:p>
            <w:pPr>
              <w:spacing w:after="0"/>
              <w:rPr>
                <w:sz w:val="19"/>
                <w:szCs w:val="19"/>
                <w:color w:val="auto"/>
              </w:rPr>
            </w:pPr>
          </w:p>
        </w:tc>
        <w:tc>
          <w:tcPr>
            <w:tcW w:w="240" w:type="dxa"/>
            <w:vAlign w:val="bottom"/>
            <w:tcBorders>
              <w:bottom w:val="single" w:sz="8" w:color="1E1E1E"/>
            </w:tcBorders>
          </w:tcPr>
          <w:p>
            <w:pPr>
              <w:spacing w:after="0"/>
              <w:rPr>
                <w:sz w:val="19"/>
                <w:szCs w:val="19"/>
                <w:color w:val="auto"/>
              </w:rPr>
            </w:pPr>
          </w:p>
        </w:tc>
        <w:tc>
          <w:tcPr>
            <w:tcW w:w="178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w:t>
            </w:r>
          </w:p>
        </w:tc>
      </w:tr>
      <w:tr>
        <w:trPr>
          <w:trHeight w:val="201"/>
        </w:trPr>
        <w:tc>
          <w:tcPr>
            <w:tcW w:w="5720" w:type="dxa"/>
            <w:vAlign w:val="bottom"/>
            <w:shd w:val="clear" w:color="auto" w:fill="E2E2E2"/>
          </w:tcPr>
          <w:p>
            <w:pPr>
              <w:spacing w:after="0" w:line="201" w:lineRule="exact"/>
              <w:rPr>
                <w:sz w:val="20"/>
                <w:szCs w:val="20"/>
                <w:color w:val="auto"/>
              </w:rPr>
            </w:pPr>
            <w:r>
              <w:rPr>
                <w:rFonts w:ascii="Times New Roman" w:cs="Times New Roman" w:eastAsia="Times New Roman" w:hAnsi="Times New Roman"/>
                <w:sz w:val="20"/>
                <w:szCs w:val="20"/>
                <w:color w:val="1E1E1E"/>
              </w:rPr>
              <w:t>Total deferred tax assets</w:t>
            </w:r>
          </w:p>
        </w:tc>
        <w:tc>
          <w:tcPr>
            <w:tcW w:w="240" w:type="dxa"/>
            <w:vAlign w:val="bottom"/>
            <w:shd w:val="clear" w:color="auto" w:fill="E2E2E2"/>
          </w:tcPr>
          <w:p>
            <w:pPr>
              <w:spacing w:after="0"/>
              <w:rPr>
                <w:sz w:val="17"/>
                <w:szCs w:val="17"/>
                <w:color w:val="auto"/>
              </w:rPr>
            </w:pPr>
          </w:p>
        </w:tc>
        <w:tc>
          <w:tcPr>
            <w:tcW w:w="260" w:type="dxa"/>
            <w:vAlign w:val="bottom"/>
            <w:shd w:val="clear" w:color="auto" w:fill="E2E2E2"/>
          </w:tcPr>
          <w:p>
            <w:pPr>
              <w:spacing w:after="0"/>
              <w:rPr>
                <w:sz w:val="17"/>
                <w:szCs w:val="17"/>
                <w:color w:val="auto"/>
              </w:rPr>
            </w:pPr>
          </w:p>
        </w:tc>
        <w:tc>
          <w:tcPr>
            <w:tcW w:w="1760" w:type="dxa"/>
            <w:vAlign w:val="bottom"/>
            <w:shd w:val="clear" w:color="auto" w:fill="E2E2E2"/>
          </w:tcPr>
          <w:p>
            <w:pPr>
              <w:jc w:val="right"/>
              <w:spacing w:after="0" w:line="201" w:lineRule="exact"/>
              <w:rPr>
                <w:sz w:val="20"/>
                <w:szCs w:val="20"/>
                <w:color w:val="auto"/>
              </w:rPr>
            </w:pPr>
            <w:r>
              <w:rPr>
                <w:rFonts w:ascii="Times New Roman" w:cs="Times New Roman" w:eastAsia="Times New Roman" w:hAnsi="Times New Roman"/>
                <w:sz w:val="20"/>
                <w:szCs w:val="20"/>
                <w:color w:val="1E1E1E"/>
              </w:rPr>
              <w:t>53,942</w:t>
            </w:r>
          </w:p>
        </w:tc>
        <w:tc>
          <w:tcPr>
            <w:tcW w:w="240" w:type="dxa"/>
            <w:vAlign w:val="bottom"/>
            <w:shd w:val="clear" w:color="auto" w:fill="E2E2E2"/>
          </w:tcPr>
          <w:p>
            <w:pPr>
              <w:spacing w:after="0"/>
              <w:rPr>
                <w:sz w:val="17"/>
                <w:szCs w:val="17"/>
                <w:color w:val="auto"/>
              </w:rPr>
            </w:pPr>
          </w:p>
        </w:tc>
        <w:tc>
          <w:tcPr>
            <w:tcW w:w="240" w:type="dxa"/>
            <w:vAlign w:val="bottom"/>
            <w:shd w:val="clear" w:color="auto" w:fill="E2E2E2"/>
          </w:tcPr>
          <w:p>
            <w:pPr>
              <w:spacing w:after="0"/>
              <w:rPr>
                <w:sz w:val="17"/>
                <w:szCs w:val="17"/>
                <w:color w:val="auto"/>
              </w:rPr>
            </w:pPr>
          </w:p>
        </w:tc>
        <w:tc>
          <w:tcPr>
            <w:tcW w:w="1780" w:type="dxa"/>
            <w:vAlign w:val="bottom"/>
            <w:shd w:val="clear" w:color="auto" w:fill="E2E2E2"/>
          </w:tcPr>
          <w:p>
            <w:pPr>
              <w:jc w:val="right"/>
              <w:spacing w:after="0" w:line="201" w:lineRule="exact"/>
              <w:rPr>
                <w:sz w:val="20"/>
                <w:szCs w:val="20"/>
                <w:color w:val="auto"/>
              </w:rPr>
            </w:pPr>
            <w:r>
              <w:rPr>
                <w:rFonts w:ascii="Times New Roman" w:cs="Times New Roman" w:eastAsia="Times New Roman" w:hAnsi="Times New Roman"/>
                <w:sz w:val="20"/>
                <w:szCs w:val="20"/>
                <w:color w:val="1E1E1E"/>
              </w:rPr>
              <w:t>67,792</w:t>
            </w:r>
          </w:p>
        </w:tc>
      </w:tr>
      <w:tr>
        <w:trPr>
          <w:trHeight w:val="226"/>
        </w:trPr>
        <w:tc>
          <w:tcPr>
            <w:tcW w:w="596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6"/>
        </w:trPr>
        <w:tc>
          <w:tcPr>
            <w:tcW w:w="5960" w:type="dxa"/>
            <w:vAlign w:val="bottom"/>
            <w:gridSpan w:val="2"/>
            <w:shd w:val="clear" w:color="auto" w:fill="E2E2E2"/>
          </w:tcPr>
          <w:p>
            <w:pPr>
              <w:spacing w:after="0" w:line="226" w:lineRule="exact"/>
              <w:rPr>
                <w:sz w:val="20"/>
                <w:szCs w:val="20"/>
                <w:color w:val="auto"/>
              </w:rPr>
            </w:pPr>
            <w:r>
              <w:rPr>
                <w:rFonts w:ascii="Times New Roman" w:cs="Times New Roman" w:eastAsia="Times New Roman" w:hAnsi="Times New Roman"/>
                <w:sz w:val="20"/>
                <w:szCs w:val="20"/>
                <w:color w:val="1E1E1E"/>
              </w:rPr>
              <w:t>Deferred tax liabilities:</w:t>
            </w:r>
          </w:p>
        </w:tc>
        <w:tc>
          <w:tcPr>
            <w:tcW w:w="260" w:type="dxa"/>
            <w:vAlign w:val="bottom"/>
            <w:shd w:val="clear" w:color="auto" w:fill="E2E2E2"/>
          </w:tcPr>
          <w:p>
            <w:pPr>
              <w:spacing w:after="0"/>
              <w:rPr>
                <w:sz w:val="19"/>
                <w:szCs w:val="19"/>
                <w:color w:val="auto"/>
              </w:rPr>
            </w:pPr>
          </w:p>
        </w:tc>
        <w:tc>
          <w:tcPr>
            <w:tcW w:w="176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240" w:type="dxa"/>
            <w:vAlign w:val="bottom"/>
            <w:shd w:val="clear" w:color="auto" w:fill="E2E2E2"/>
          </w:tcPr>
          <w:p>
            <w:pPr>
              <w:spacing w:after="0"/>
              <w:rPr>
                <w:sz w:val="19"/>
                <w:szCs w:val="19"/>
                <w:color w:val="auto"/>
              </w:rPr>
            </w:pPr>
          </w:p>
        </w:tc>
        <w:tc>
          <w:tcPr>
            <w:tcW w:w="1780" w:type="dxa"/>
            <w:vAlign w:val="bottom"/>
            <w:shd w:val="clear" w:color="auto" w:fill="E2E2E2"/>
          </w:tcPr>
          <w:p>
            <w:pPr>
              <w:spacing w:after="0"/>
              <w:rPr>
                <w:sz w:val="19"/>
                <w:szCs w:val="19"/>
                <w:color w:val="auto"/>
              </w:rPr>
            </w:pPr>
          </w:p>
        </w:tc>
      </w:tr>
      <w:tr>
        <w:trPr>
          <w:trHeight w:val="226"/>
        </w:trPr>
        <w:tc>
          <w:tcPr>
            <w:tcW w:w="5960" w:type="dxa"/>
            <w:vAlign w:val="bottom"/>
            <w:gridSpan w:val="2"/>
          </w:tcPr>
          <w:p>
            <w:pPr>
              <w:ind w:left="120"/>
              <w:spacing w:after="0" w:line="226" w:lineRule="exact"/>
              <w:rPr>
                <w:sz w:val="20"/>
                <w:szCs w:val="20"/>
                <w:color w:val="auto"/>
              </w:rPr>
            </w:pPr>
            <w:r>
              <w:rPr>
                <w:rFonts w:ascii="Times New Roman" w:cs="Times New Roman" w:eastAsia="Times New Roman" w:hAnsi="Times New Roman"/>
                <w:sz w:val="20"/>
                <w:szCs w:val="20"/>
                <w:color w:val="1E1E1E"/>
              </w:rPr>
              <w:t>Property and equipment</w:t>
            </w:r>
          </w:p>
        </w:tc>
        <w:tc>
          <w:tcPr>
            <w:tcW w:w="260" w:type="dxa"/>
            <w:vAlign w:val="bottom"/>
          </w:tcPr>
          <w:p>
            <w:pPr>
              <w:spacing w:after="0"/>
              <w:rPr>
                <w:sz w:val="19"/>
                <w:szCs w:val="19"/>
                <w:color w:val="auto"/>
              </w:rPr>
            </w:pPr>
          </w:p>
        </w:tc>
        <w:tc>
          <w:tcPr>
            <w:tcW w:w="17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8,002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12,641</w:t>
            </w:r>
          </w:p>
        </w:tc>
      </w:tr>
      <w:tr>
        <w:trPr>
          <w:trHeight w:val="211"/>
        </w:trPr>
        <w:tc>
          <w:tcPr>
            <w:tcW w:w="5720" w:type="dxa"/>
            <w:vAlign w:val="bottom"/>
            <w:shd w:val="clear" w:color="auto" w:fill="E2E2E2"/>
          </w:tcPr>
          <w:p>
            <w:pPr>
              <w:ind w:left="120"/>
              <w:spacing w:after="0" w:line="211" w:lineRule="exact"/>
              <w:rPr>
                <w:sz w:val="20"/>
                <w:szCs w:val="20"/>
                <w:color w:val="auto"/>
              </w:rPr>
            </w:pPr>
            <w:r>
              <w:rPr>
                <w:rFonts w:ascii="Times New Roman" w:cs="Times New Roman" w:eastAsia="Times New Roman" w:hAnsi="Times New Roman"/>
                <w:sz w:val="20"/>
                <w:szCs w:val="20"/>
                <w:color w:val="1E1E1E"/>
              </w:rPr>
              <w:t>Prepaid expenses</w:t>
            </w:r>
          </w:p>
        </w:tc>
        <w:tc>
          <w:tcPr>
            <w:tcW w:w="240" w:type="dxa"/>
            <w:vAlign w:val="bottom"/>
            <w:shd w:val="clear" w:color="auto" w:fill="E2E2E2"/>
          </w:tcPr>
          <w:p>
            <w:pPr>
              <w:spacing w:after="0"/>
              <w:rPr>
                <w:sz w:val="18"/>
                <w:szCs w:val="18"/>
                <w:color w:val="auto"/>
              </w:rPr>
            </w:pPr>
          </w:p>
        </w:tc>
        <w:tc>
          <w:tcPr>
            <w:tcW w:w="260" w:type="dxa"/>
            <w:vAlign w:val="bottom"/>
            <w:shd w:val="clear" w:color="auto" w:fill="E2E2E2"/>
          </w:tcPr>
          <w:p>
            <w:pPr>
              <w:spacing w:after="0"/>
              <w:rPr>
                <w:sz w:val="18"/>
                <w:szCs w:val="18"/>
                <w:color w:val="auto"/>
              </w:rPr>
            </w:pPr>
          </w:p>
        </w:tc>
        <w:tc>
          <w:tcPr>
            <w:tcW w:w="1760" w:type="dxa"/>
            <w:vAlign w:val="bottom"/>
            <w:shd w:val="clear" w:color="auto" w:fill="E2E2E2"/>
          </w:tcPr>
          <w:p>
            <w:pPr>
              <w:jc w:val="right"/>
              <w:spacing w:after="0" w:line="211" w:lineRule="exact"/>
              <w:rPr>
                <w:sz w:val="20"/>
                <w:szCs w:val="20"/>
                <w:color w:val="auto"/>
              </w:rPr>
            </w:pPr>
            <w:r>
              <w:rPr>
                <w:rFonts w:ascii="Times New Roman" w:cs="Times New Roman" w:eastAsia="Times New Roman" w:hAnsi="Times New Roman"/>
                <w:sz w:val="20"/>
                <w:szCs w:val="20"/>
                <w:color w:val="1E1E1E"/>
              </w:rPr>
              <w:t>970</w:t>
            </w:r>
          </w:p>
        </w:tc>
        <w:tc>
          <w:tcPr>
            <w:tcW w:w="240" w:type="dxa"/>
            <w:vAlign w:val="bottom"/>
            <w:shd w:val="clear" w:color="auto" w:fill="E2E2E2"/>
          </w:tcPr>
          <w:p>
            <w:pPr>
              <w:spacing w:after="0"/>
              <w:rPr>
                <w:sz w:val="18"/>
                <w:szCs w:val="18"/>
                <w:color w:val="auto"/>
              </w:rPr>
            </w:pPr>
          </w:p>
        </w:tc>
        <w:tc>
          <w:tcPr>
            <w:tcW w:w="240" w:type="dxa"/>
            <w:vAlign w:val="bottom"/>
            <w:shd w:val="clear" w:color="auto" w:fill="E2E2E2"/>
          </w:tcPr>
          <w:p>
            <w:pPr>
              <w:spacing w:after="0"/>
              <w:rPr>
                <w:sz w:val="18"/>
                <w:szCs w:val="18"/>
                <w:color w:val="auto"/>
              </w:rPr>
            </w:pPr>
          </w:p>
        </w:tc>
        <w:tc>
          <w:tcPr>
            <w:tcW w:w="1780" w:type="dxa"/>
            <w:vAlign w:val="bottom"/>
            <w:shd w:val="clear" w:color="auto" w:fill="E2E2E2"/>
          </w:tcPr>
          <w:p>
            <w:pPr>
              <w:jc w:val="right"/>
              <w:spacing w:after="0" w:line="211" w:lineRule="exact"/>
              <w:rPr>
                <w:sz w:val="20"/>
                <w:szCs w:val="20"/>
                <w:color w:val="auto"/>
              </w:rPr>
            </w:pPr>
            <w:r>
              <w:rPr>
                <w:rFonts w:ascii="Times New Roman" w:cs="Times New Roman" w:eastAsia="Times New Roman" w:hAnsi="Times New Roman"/>
                <w:sz w:val="20"/>
                <w:szCs w:val="20"/>
                <w:color w:val="1E1E1E"/>
              </w:rPr>
              <w:t>949</w:t>
            </w:r>
          </w:p>
        </w:tc>
      </w:tr>
      <w:tr>
        <w:trPr>
          <w:trHeight w:val="270"/>
        </w:trPr>
        <w:tc>
          <w:tcPr>
            <w:tcW w:w="572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Right-of-use asset</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44,928</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52,006</w:t>
            </w:r>
          </w:p>
        </w:tc>
      </w:tr>
    </w:tbl>
    <w:p>
      <w:pPr>
        <w:spacing w:after="0" w:line="190" w:lineRule="exact"/>
        <w:rPr>
          <w:sz w:val="20"/>
          <w:szCs w:val="20"/>
          <w:color w:val="auto"/>
        </w:rPr>
      </w:pPr>
    </w:p>
    <w:p>
      <w:pPr>
        <w:sectPr>
          <w:pgSz w:w="11880" w:h="15480" w:orient="portrait"/>
          <w:cols w:equalWidth="0" w:num="1">
            <w:col w:w="10240"/>
          </w:cols>
          <w:pgMar w:left="820" w:top="226" w:right="820" w:bottom="0" w:gutter="0" w:footer="0" w:header="0"/>
        </w:sectPr>
      </w:pPr>
    </w:p>
    <w:p>
      <w:pPr>
        <w:jc w:val="center"/>
        <w:spacing w:after="0"/>
        <w:rPr>
          <w:sz w:val="20"/>
          <w:szCs w:val="20"/>
          <w:color w:val="auto"/>
        </w:rPr>
      </w:pPr>
      <w:r>
        <w:rPr>
          <w:rFonts w:ascii="Times New Roman" w:cs="Times New Roman" w:eastAsia="Times New Roman" w:hAnsi="Times New Roman"/>
          <w:sz w:val="16"/>
          <w:szCs w:val="16"/>
          <w:color w:val="1E1E1E"/>
        </w:rPr>
        <w:t>59</w:t>
      </w:r>
    </w:p>
    <w:p>
      <w:pPr>
        <w:sectPr>
          <w:pgSz w:w="11880" w:h="15480" w:orient="portrait"/>
          <w:cols w:equalWidth="0" w:num="1">
            <w:col w:w="10240"/>
          </w:cols>
          <w:pgMar w:left="820" w:top="226" w:right="820" w:bottom="0"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1E1E1E"/>
        </w:rPr>
        <w:t>DULUTH HOLDINGS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6"/>
        </w:trPr>
        <w:tc>
          <w:tcPr>
            <w:tcW w:w="5720" w:type="dxa"/>
            <w:vAlign w:val="bottom"/>
            <w:shd w:val="clear" w:color="auto" w:fill="E2E2E2"/>
          </w:tcPr>
          <w:p>
            <w:pPr>
              <w:ind w:left="120"/>
              <w:spacing w:after="0" w:line="226" w:lineRule="exact"/>
              <w:rPr>
                <w:sz w:val="20"/>
                <w:szCs w:val="20"/>
                <w:color w:val="auto"/>
              </w:rPr>
            </w:pPr>
            <w:r>
              <w:rPr>
                <w:rFonts w:ascii="Times New Roman" w:cs="Times New Roman" w:eastAsia="Times New Roman" w:hAnsi="Times New Roman"/>
                <w:sz w:val="20"/>
                <w:szCs w:val="20"/>
                <w:color w:val="1E1E1E"/>
              </w:rPr>
              <w:t>Goodwill and intangibles</w:t>
            </w:r>
          </w:p>
        </w:tc>
        <w:tc>
          <w:tcPr>
            <w:tcW w:w="22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760" w:type="dxa"/>
            <w:vAlign w:val="bottom"/>
            <w:shd w:val="clear" w:color="auto" w:fill="E2E2E2"/>
          </w:tcPr>
          <w:p>
            <w:pPr>
              <w:spacing w:after="0"/>
              <w:rPr>
                <w:sz w:val="19"/>
                <w:szCs w:val="19"/>
                <w:color w:val="auto"/>
              </w:rPr>
            </w:pPr>
          </w:p>
        </w:tc>
        <w:tc>
          <w:tcPr>
            <w:tcW w:w="126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22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760" w:type="dxa"/>
            <w:vAlign w:val="bottom"/>
            <w:shd w:val="clear" w:color="auto" w:fill="E2E2E2"/>
          </w:tcPr>
          <w:p>
            <w:pPr>
              <w:spacing w:after="0"/>
              <w:rPr>
                <w:sz w:val="19"/>
                <w:szCs w:val="19"/>
                <w:color w:val="auto"/>
              </w:rPr>
            </w:pPr>
          </w:p>
        </w:tc>
        <w:tc>
          <w:tcPr>
            <w:tcW w:w="126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71</w:t>
            </w:r>
          </w:p>
        </w:tc>
      </w:tr>
      <w:tr>
        <w:trPr>
          <w:trHeight w:val="254"/>
        </w:trPr>
        <w:tc>
          <w:tcPr>
            <w:tcW w:w="5720" w:type="dxa"/>
            <w:vAlign w:val="bottom"/>
            <w:tcBorders>
              <w:bottom w:val="single" w:sz="8" w:color="E2E2E2"/>
            </w:tcBorders>
          </w:tcPr>
          <w:p>
            <w:pPr>
              <w:ind w:left="120"/>
              <w:spacing w:after="0"/>
              <w:rPr>
                <w:sz w:val="20"/>
                <w:szCs w:val="20"/>
                <w:color w:val="auto"/>
              </w:rPr>
            </w:pPr>
            <w:r>
              <w:rPr>
                <w:rFonts w:ascii="Times New Roman" w:cs="Times New Roman" w:eastAsia="Times New Roman" w:hAnsi="Times New Roman"/>
                <w:sz w:val="20"/>
                <w:szCs w:val="20"/>
                <w:color w:val="1E1E1E"/>
              </w:rPr>
              <w:t>Inventory reserve</w:t>
            </w:r>
          </w:p>
        </w:tc>
        <w:tc>
          <w:tcPr>
            <w:tcW w:w="220" w:type="dxa"/>
            <w:vAlign w:val="bottom"/>
            <w:tcBorders>
              <w:bottom w:val="single" w:sz="8" w:color="E2E2E2"/>
            </w:tcBorders>
          </w:tcPr>
          <w:p>
            <w:pPr>
              <w:spacing w:after="0"/>
              <w:rPr>
                <w:sz w:val="22"/>
                <w:szCs w:val="22"/>
                <w:color w:val="auto"/>
              </w:rPr>
            </w:pPr>
          </w:p>
        </w:tc>
        <w:tc>
          <w:tcPr>
            <w:tcW w:w="20" w:type="dxa"/>
            <w:vAlign w:val="bottom"/>
            <w:tcBorders>
              <w:bottom w:val="single" w:sz="8" w:color="E2E2E2"/>
            </w:tcBorders>
          </w:tcPr>
          <w:p>
            <w:pPr>
              <w:spacing w:after="0"/>
              <w:rPr>
                <w:sz w:val="22"/>
                <w:szCs w:val="22"/>
                <w:color w:val="auto"/>
              </w:rPr>
            </w:pPr>
          </w:p>
        </w:tc>
        <w:tc>
          <w:tcPr>
            <w:tcW w:w="760" w:type="dxa"/>
            <w:vAlign w:val="bottom"/>
            <w:tcBorders>
              <w:bottom w:val="single" w:sz="8" w:color="1E1E1E"/>
            </w:tcBorders>
          </w:tcPr>
          <w:p>
            <w:pPr>
              <w:spacing w:after="0"/>
              <w:rPr>
                <w:sz w:val="22"/>
                <w:szCs w:val="22"/>
                <w:color w:val="auto"/>
              </w:rPr>
            </w:pPr>
          </w:p>
        </w:tc>
        <w:tc>
          <w:tcPr>
            <w:tcW w:w="12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42</w:t>
            </w:r>
          </w:p>
        </w:tc>
        <w:tc>
          <w:tcPr>
            <w:tcW w:w="220" w:type="dxa"/>
            <w:vAlign w:val="bottom"/>
            <w:tcBorders>
              <w:bottom w:val="single" w:sz="8" w:color="E2E2E2"/>
            </w:tcBorders>
          </w:tcPr>
          <w:p>
            <w:pPr>
              <w:spacing w:after="0"/>
              <w:rPr>
                <w:sz w:val="22"/>
                <w:szCs w:val="22"/>
                <w:color w:val="auto"/>
              </w:rPr>
            </w:pPr>
          </w:p>
        </w:tc>
        <w:tc>
          <w:tcPr>
            <w:tcW w:w="20" w:type="dxa"/>
            <w:vAlign w:val="bottom"/>
            <w:tcBorders>
              <w:bottom w:val="single" w:sz="8" w:color="E2E2E2"/>
            </w:tcBorders>
          </w:tcPr>
          <w:p>
            <w:pPr>
              <w:spacing w:after="0"/>
              <w:rPr>
                <w:sz w:val="22"/>
                <w:szCs w:val="22"/>
                <w:color w:val="auto"/>
              </w:rPr>
            </w:pPr>
          </w:p>
        </w:tc>
        <w:tc>
          <w:tcPr>
            <w:tcW w:w="760" w:type="dxa"/>
            <w:vAlign w:val="bottom"/>
            <w:tcBorders>
              <w:bottom w:val="single" w:sz="8" w:color="1E1E1E"/>
            </w:tcBorders>
          </w:tcPr>
          <w:p>
            <w:pPr>
              <w:spacing w:after="0"/>
              <w:rPr>
                <w:sz w:val="22"/>
                <w:szCs w:val="22"/>
                <w:color w:val="auto"/>
              </w:rPr>
            </w:pPr>
          </w:p>
        </w:tc>
        <w:tc>
          <w:tcPr>
            <w:tcW w:w="12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358</w:t>
            </w:r>
          </w:p>
        </w:tc>
      </w:tr>
      <w:tr>
        <w:trPr>
          <w:trHeight w:val="206"/>
        </w:trPr>
        <w:tc>
          <w:tcPr>
            <w:tcW w:w="5720" w:type="dxa"/>
            <w:vAlign w:val="bottom"/>
            <w:shd w:val="clear" w:color="auto" w:fill="E2E2E2"/>
          </w:tcPr>
          <w:p>
            <w:pPr>
              <w:spacing w:after="0" w:line="206" w:lineRule="exact"/>
              <w:rPr>
                <w:sz w:val="20"/>
                <w:szCs w:val="20"/>
                <w:color w:val="auto"/>
              </w:rPr>
            </w:pPr>
            <w:r>
              <w:rPr>
                <w:rFonts w:ascii="Times New Roman" w:cs="Times New Roman" w:eastAsia="Times New Roman" w:hAnsi="Times New Roman"/>
                <w:sz w:val="20"/>
                <w:szCs w:val="20"/>
                <w:color w:val="1E1E1E"/>
              </w:rPr>
              <w:t>Total deferred tax liabilities</w:t>
            </w:r>
          </w:p>
        </w:tc>
        <w:tc>
          <w:tcPr>
            <w:tcW w:w="22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760" w:type="dxa"/>
            <w:vAlign w:val="bottom"/>
            <w:tcBorders>
              <w:bottom w:val="single" w:sz="8" w:color="1E1E1E"/>
            </w:tcBorders>
            <w:shd w:val="clear" w:color="auto" w:fill="E2E2E2"/>
          </w:tcPr>
          <w:p>
            <w:pPr>
              <w:spacing w:after="0"/>
              <w:rPr>
                <w:sz w:val="17"/>
                <w:szCs w:val="17"/>
                <w:color w:val="auto"/>
              </w:rPr>
            </w:pPr>
          </w:p>
        </w:tc>
        <w:tc>
          <w:tcPr>
            <w:tcW w:w="126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53,942</w:t>
            </w:r>
          </w:p>
        </w:tc>
        <w:tc>
          <w:tcPr>
            <w:tcW w:w="22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760" w:type="dxa"/>
            <w:vAlign w:val="bottom"/>
            <w:tcBorders>
              <w:bottom w:val="single" w:sz="8" w:color="1E1E1E"/>
            </w:tcBorders>
            <w:shd w:val="clear" w:color="auto" w:fill="E2E2E2"/>
          </w:tcPr>
          <w:p>
            <w:pPr>
              <w:spacing w:after="0"/>
              <w:rPr>
                <w:sz w:val="17"/>
                <w:szCs w:val="17"/>
                <w:color w:val="auto"/>
              </w:rPr>
            </w:pPr>
          </w:p>
        </w:tc>
        <w:tc>
          <w:tcPr>
            <w:tcW w:w="126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66,025</w:t>
            </w:r>
          </w:p>
        </w:tc>
      </w:tr>
      <w:tr>
        <w:trPr>
          <w:trHeight w:val="214"/>
        </w:trPr>
        <w:tc>
          <w:tcPr>
            <w:tcW w:w="5720" w:type="dxa"/>
            <w:vAlign w:val="bottom"/>
          </w:tcPr>
          <w:p>
            <w:pPr>
              <w:spacing w:after="0" w:line="206" w:lineRule="exact"/>
              <w:rPr>
                <w:sz w:val="20"/>
                <w:szCs w:val="20"/>
                <w:color w:val="auto"/>
              </w:rPr>
            </w:pPr>
            <w:r>
              <w:rPr>
                <w:rFonts w:ascii="Times New Roman" w:cs="Times New Roman" w:eastAsia="Times New Roman" w:hAnsi="Times New Roman"/>
                <w:sz w:val="20"/>
                <w:szCs w:val="20"/>
                <w:color w:val="1E1E1E"/>
              </w:rPr>
              <w:t>Net deferred tax assets (liabilities)</w:t>
            </w:r>
          </w:p>
        </w:tc>
        <w:tc>
          <w:tcPr>
            <w:tcW w:w="220" w:type="dxa"/>
            <w:vAlign w:val="bottom"/>
          </w:tcPr>
          <w:p>
            <w:pPr>
              <w:spacing w:after="0"/>
              <w:rPr>
                <w:sz w:val="18"/>
                <w:szCs w:val="18"/>
                <w:color w:val="auto"/>
              </w:rPr>
            </w:pPr>
          </w:p>
        </w:tc>
        <w:tc>
          <w:tcPr>
            <w:tcW w:w="20" w:type="dxa"/>
            <w:vAlign w:val="bottom"/>
            <w:tcBorders>
              <w:bottom w:val="single" w:sz="8" w:color="1E1E1E"/>
            </w:tcBorders>
          </w:tcPr>
          <w:p>
            <w:pPr>
              <w:spacing w:after="0"/>
              <w:rPr>
                <w:sz w:val="18"/>
                <w:szCs w:val="18"/>
                <w:color w:val="auto"/>
              </w:rPr>
            </w:pPr>
          </w:p>
        </w:tc>
        <w:tc>
          <w:tcPr>
            <w:tcW w:w="760" w:type="dxa"/>
            <w:vAlign w:val="bottom"/>
            <w:tcBorders>
              <w:bottom w:val="single" w:sz="8" w:color="1E1E1E"/>
            </w:tcBorders>
          </w:tcPr>
          <w:p>
            <w:pPr>
              <w:jc w:val="right"/>
              <w:ind w:right="559"/>
              <w:spacing w:after="0" w:line="206" w:lineRule="exact"/>
              <w:rPr>
                <w:sz w:val="20"/>
                <w:szCs w:val="20"/>
                <w:color w:val="auto"/>
              </w:rPr>
            </w:pPr>
            <w:r>
              <w:rPr>
                <w:rFonts w:ascii="Times New Roman" w:cs="Times New Roman" w:eastAsia="Times New Roman" w:hAnsi="Times New Roman"/>
                <w:sz w:val="20"/>
                <w:szCs w:val="20"/>
                <w:color w:val="1E1E1E"/>
                <w:w w:val="79"/>
              </w:rPr>
              <w:t>$</w:t>
            </w:r>
          </w:p>
        </w:tc>
        <w:tc>
          <w:tcPr>
            <w:tcW w:w="1260" w:type="dxa"/>
            <w:vAlign w:val="bottom"/>
            <w:tcBorders>
              <w:bottom w:val="single" w:sz="8" w:color="1E1E1E"/>
            </w:tcBorders>
          </w:tcPr>
          <w:p>
            <w:pPr>
              <w:jc w:val="right"/>
              <w:spacing w:after="0" w:line="206" w:lineRule="exact"/>
              <w:rPr>
                <w:sz w:val="20"/>
                <w:szCs w:val="20"/>
                <w:color w:val="auto"/>
              </w:rPr>
            </w:pPr>
            <w:r>
              <w:rPr>
                <w:rFonts w:ascii="Times New Roman" w:cs="Times New Roman" w:eastAsia="Times New Roman" w:hAnsi="Times New Roman"/>
                <w:sz w:val="20"/>
                <w:szCs w:val="20"/>
                <w:color w:val="1E1E1E"/>
              </w:rPr>
              <w:t>—</w:t>
            </w:r>
          </w:p>
        </w:tc>
        <w:tc>
          <w:tcPr>
            <w:tcW w:w="220" w:type="dxa"/>
            <w:vAlign w:val="bottom"/>
          </w:tcPr>
          <w:p>
            <w:pPr>
              <w:spacing w:after="0"/>
              <w:rPr>
                <w:sz w:val="18"/>
                <w:szCs w:val="18"/>
                <w:color w:val="auto"/>
              </w:rPr>
            </w:pPr>
          </w:p>
        </w:tc>
        <w:tc>
          <w:tcPr>
            <w:tcW w:w="20" w:type="dxa"/>
            <w:vAlign w:val="bottom"/>
            <w:tcBorders>
              <w:bottom w:val="single" w:sz="8" w:color="1E1E1E"/>
            </w:tcBorders>
          </w:tcPr>
          <w:p>
            <w:pPr>
              <w:spacing w:after="0"/>
              <w:rPr>
                <w:sz w:val="18"/>
                <w:szCs w:val="18"/>
                <w:color w:val="auto"/>
              </w:rPr>
            </w:pPr>
          </w:p>
        </w:tc>
        <w:tc>
          <w:tcPr>
            <w:tcW w:w="760" w:type="dxa"/>
            <w:vAlign w:val="bottom"/>
            <w:tcBorders>
              <w:bottom w:val="single" w:sz="8" w:color="1E1E1E"/>
            </w:tcBorders>
          </w:tcPr>
          <w:p>
            <w:pPr>
              <w:jc w:val="right"/>
              <w:ind w:right="559"/>
              <w:spacing w:after="0" w:line="206" w:lineRule="exact"/>
              <w:rPr>
                <w:sz w:val="20"/>
                <w:szCs w:val="20"/>
                <w:color w:val="auto"/>
              </w:rPr>
            </w:pPr>
            <w:r>
              <w:rPr>
                <w:rFonts w:ascii="Times New Roman" w:cs="Times New Roman" w:eastAsia="Times New Roman" w:hAnsi="Times New Roman"/>
                <w:sz w:val="20"/>
                <w:szCs w:val="20"/>
                <w:color w:val="1E1E1E"/>
                <w:w w:val="79"/>
              </w:rPr>
              <w:t>$</w:t>
            </w:r>
          </w:p>
        </w:tc>
        <w:tc>
          <w:tcPr>
            <w:tcW w:w="1260" w:type="dxa"/>
            <w:vAlign w:val="bottom"/>
            <w:tcBorders>
              <w:bottom w:val="single" w:sz="8" w:color="1E1E1E"/>
            </w:tcBorders>
          </w:tcPr>
          <w:p>
            <w:pPr>
              <w:jc w:val="right"/>
              <w:spacing w:after="0" w:line="206" w:lineRule="exact"/>
              <w:rPr>
                <w:sz w:val="20"/>
                <w:szCs w:val="20"/>
                <w:color w:val="auto"/>
              </w:rPr>
            </w:pPr>
            <w:r>
              <w:rPr>
                <w:rFonts w:ascii="Times New Roman" w:cs="Times New Roman" w:eastAsia="Times New Roman" w:hAnsi="Times New Roman"/>
                <w:sz w:val="20"/>
                <w:szCs w:val="20"/>
                <w:color w:val="1E1E1E"/>
              </w:rPr>
              <w:t>1,767</w:t>
            </w:r>
          </w:p>
        </w:tc>
      </w:tr>
    </w:tbl>
    <w:p>
      <w:pPr>
        <w:spacing w:after="0" w:line="174" w:lineRule="exact"/>
        <w:rPr>
          <w:sz w:val="20"/>
          <w:szCs w:val="20"/>
          <w:color w:val="auto"/>
        </w:rPr>
      </w:pPr>
    </w:p>
    <w:p>
      <w:pPr>
        <w:ind w:right="400" w:firstLine="490"/>
        <w:spacing w:after="0" w:line="254" w:lineRule="auto"/>
        <w:rPr>
          <w:sz w:val="20"/>
          <w:szCs w:val="20"/>
          <w:color w:val="auto"/>
        </w:rPr>
      </w:pPr>
      <w:r>
        <w:rPr>
          <w:rFonts w:ascii="Times New Roman" w:cs="Times New Roman" w:eastAsia="Times New Roman" w:hAnsi="Times New Roman"/>
          <w:sz w:val="20"/>
          <w:szCs w:val="20"/>
          <w:color w:val="1E1E1E"/>
        </w:rPr>
        <w:t>As of February 2, 2025, we had state net operating losses (“NOL”) of approximately $23.2 million, with deferred tax assets of $1.2 million related to these state NOLs. These state net operating loss carryforwards expire at various periods beginning in 2029. The federal NOL is approximately $30.1 million, with deferred tax asset of $6.3 million related to the federal NOL.</w:t>
      </w:r>
    </w:p>
    <w:p>
      <w:pPr>
        <w:sectPr>
          <w:pgSz w:w="11880" w:h="15480" w:orient="portrait"/>
          <w:cols w:equalWidth="0" w:num="1">
            <w:col w:w="10240"/>
          </w:cols>
          <w:pgMar w:left="820" w:top="226" w:right="820" w:bottom="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Uncertain Tax Positions</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E1E1E"/>
        </w:rPr>
        <w:t>A reconciliation of the beginning and ending amount of unrecognized tax benefits is as follows: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1760" w:type="dxa"/>
            <w:vAlign w:val="bottom"/>
            <w:tcBorders>
              <w:bottom w:val="single" w:sz="8" w:color="1E1E1E"/>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1E1E1E"/>
              </w:rPr>
              <w:t>February 2, 2025</w:t>
            </w:r>
          </w:p>
        </w:tc>
        <w:tc>
          <w:tcPr>
            <w:tcW w:w="240" w:type="dxa"/>
            <w:vAlign w:val="bottom"/>
          </w:tcPr>
          <w:p>
            <w:pPr>
              <w:spacing w:after="0"/>
              <w:rPr>
                <w:sz w:val="17"/>
                <w:szCs w:val="17"/>
                <w:color w:val="auto"/>
              </w:rPr>
            </w:pPr>
          </w:p>
        </w:tc>
      </w:tr>
      <w:tr>
        <w:trPr>
          <w:trHeight w:val="239"/>
        </w:trPr>
        <w:tc>
          <w:tcPr>
            <w:tcW w:w="596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1E1E1E"/>
              </w:rPr>
              <w:t>(in thousands)</w:t>
            </w: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54"/>
        </w:trPr>
        <w:tc>
          <w:tcPr>
            <w:tcW w:w="57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Balance beginning of year</w:t>
            </w:r>
          </w:p>
        </w:tc>
        <w:tc>
          <w:tcPr>
            <w:tcW w:w="22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60" w:type="dxa"/>
            <w:vAlign w:val="bottom"/>
            <w:shd w:val="clear" w:color="auto" w:fill="E2E2E2"/>
          </w:tcPr>
          <w:p>
            <w:pPr>
              <w:jc w:val="right"/>
              <w:ind w:right="59"/>
              <w:spacing w:after="0"/>
              <w:rPr>
                <w:sz w:val="20"/>
                <w:szCs w:val="20"/>
                <w:color w:val="auto"/>
              </w:rPr>
            </w:pPr>
            <w:r>
              <w:rPr>
                <w:rFonts w:ascii="Times New Roman" w:cs="Times New Roman" w:eastAsia="Times New Roman" w:hAnsi="Times New Roman"/>
                <w:sz w:val="20"/>
                <w:szCs w:val="20"/>
                <w:color w:val="1E1E1E"/>
                <w:w w:val="79"/>
              </w:rPr>
              <w:t>$</w:t>
            </w:r>
          </w:p>
        </w:tc>
        <w:tc>
          <w:tcPr>
            <w:tcW w:w="1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119</w:t>
            </w:r>
          </w:p>
        </w:tc>
        <w:tc>
          <w:tcPr>
            <w:tcW w:w="240" w:type="dxa"/>
            <w:vAlign w:val="bottom"/>
            <w:shd w:val="clear" w:color="auto" w:fill="E2E2E2"/>
          </w:tcPr>
          <w:p>
            <w:pPr>
              <w:spacing w:after="0"/>
              <w:rPr>
                <w:sz w:val="22"/>
                <w:szCs w:val="22"/>
                <w:color w:val="auto"/>
              </w:rPr>
            </w:pPr>
          </w:p>
        </w:tc>
      </w:tr>
      <w:tr>
        <w:trPr>
          <w:trHeight w:val="254"/>
        </w:trPr>
        <w:tc>
          <w:tcPr>
            <w:tcW w:w="596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Additions for tax positions in prior years</w:t>
            </w:r>
          </w:p>
        </w:tc>
        <w:tc>
          <w:tcPr>
            <w:tcW w:w="26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w:t>
            </w:r>
          </w:p>
        </w:tc>
        <w:tc>
          <w:tcPr>
            <w:tcW w:w="240" w:type="dxa"/>
            <w:vAlign w:val="bottom"/>
          </w:tcPr>
          <w:p>
            <w:pPr>
              <w:spacing w:after="0"/>
              <w:rPr>
                <w:sz w:val="22"/>
                <w:szCs w:val="22"/>
                <w:color w:val="auto"/>
              </w:rPr>
            </w:pPr>
          </w:p>
        </w:tc>
      </w:tr>
      <w:tr>
        <w:trPr>
          <w:trHeight w:val="254"/>
        </w:trPr>
        <w:tc>
          <w:tcPr>
            <w:tcW w:w="596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20"/>
                <w:szCs w:val="20"/>
                <w:color w:val="1E1E1E"/>
              </w:rPr>
              <w:t>Additions for tax positions in current year</w:t>
            </w:r>
          </w:p>
        </w:tc>
        <w:tc>
          <w:tcPr>
            <w:tcW w:w="260" w:type="dxa"/>
            <w:vAlign w:val="bottom"/>
            <w:shd w:val="clear" w:color="auto" w:fill="E2E2E2"/>
          </w:tcPr>
          <w:p>
            <w:pPr>
              <w:spacing w:after="0"/>
              <w:rPr>
                <w:sz w:val="22"/>
                <w:szCs w:val="22"/>
                <w:color w:val="auto"/>
              </w:rPr>
            </w:pPr>
          </w:p>
        </w:tc>
        <w:tc>
          <w:tcPr>
            <w:tcW w:w="1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w:t>
            </w:r>
          </w:p>
        </w:tc>
        <w:tc>
          <w:tcPr>
            <w:tcW w:w="240" w:type="dxa"/>
            <w:vAlign w:val="bottom"/>
            <w:shd w:val="clear" w:color="auto" w:fill="E2E2E2"/>
          </w:tcPr>
          <w:p>
            <w:pPr>
              <w:spacing w:after="0"/>
              <w:rPr>
                <w:sz w:val="22"/>
                <w:szCs w:val="22"/>
                <w:color w:val="auto"/>
              </w:rPr>
            </w:pPr>
          </w:p>
        </w:tc>
      </w:tr>
      <w:tr>
        <w:trPr>
          <w:trHeight w:val="254"/>
        </w:trPr>
        <w:tc>
          <w:tcPr>
            <w:tcW w:w="5960" w:type="dxa"/>
            <w:vAlign w:val="bottom"/>
            <w:tcBorders>
              <w:bottom w:val="single" w:sz="8" w:color="E2E2E2"/>
            </w:tcBorders>
            <w:gridSpan w:val="3"/>
          </w:tcPr>
          <w:p>
            <w:pPr>
              <w:spacing w:after="0"/>
              <w:rPr>
                <w:sz w:val="20"/>
                <w:szCs w:val="20"/>
                <w:color w:val="auto"/>
              </w:rPr>
            </w:pPr>
            <w:r>
              <w:rPr>
                <w:rFonts w:ascii="Times New Roman" w:cs="Times New Roman" w:eastAsia="Times New Roman" w:hAnsi="Times New Roman"/>
                <w:sz w:val="20"/>
                <w:szCs w:val="20"/>
                <w:color w:val="1E1E1E"/>
              </w:rPr>
              <w:t>Statute of limitations</w:t>
            </w:r>
          </w:p>
        </w:tc>
        <w:tc>
          <w:tcPr>
            <w:tcW w:w="260" w:type="dxa"/>
            <w:vAlign w:val="bottom"/>
            <w:tcBorders>
              <w:bottom w:val="single" w:sz="8" w:color="1E1E1E"/>
            </w:tcBorders>
          </w:tcPr>
          <w:p>
            <w:pPr>
              <w:spacing w:after="0"/>
              <w:rPr>
                <w:sz w:val="22"/>
                <w:szCs w:val="22"/>
                <w:color w:val="auto"/>
              </w:rPr>
            </w:pPr>
          </w:p>
        </w:tc>
        <w:tc>
          <w:tcPr>
            <w:tcW w:w="17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(38)</w:t>
            </w:r>
          </w:p>
        </w:tc>
        <w:tc>
          <w:tcPr>
            <w:tcW w:w="240" w:type="dxa"/>
            <w:vAlign w:val="bottom"/>
            <w:tcBorders>
              <w:bottom w:val="single" w:sz="8" w:color="E2E2E2"/>
            </w:tcBorders>
          </w:tcPr>
          <w:p>
            <w:pPr>
              <w:spacing w:after="0"/>
              <w:rPr>
                <w:sz w:val="22"/>
                <w:szCs w:val="22"/>
                <w:color w:val="auto"/>
              </w:rPr>
            </w:pPr>
          </w:p>
        </w:tc>
      </w:tr>
      <w:tr>
        <w:trPr>
          <w:trHeight w:val="243"/>
        </w:trPr>
        <w:tc>
          <w:tcPr>
            <w:tcW w:w="57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Balance at end of year</w:t>
            </w:r>
          </w:p>
        </w:tc>
        <w:tc>
          <w:tcPr>
            <w:tcW w:w="220" w:type="dxa"/>
            <w:vAlign w:val="bottom"/>
            <w:shd w:val="clear" w:color="auto" w:fill="E2E2E2"/>
          </w:tcPr>
          <w:p>
            <w:pPr>
              <w:spacing w:after="0"/>
              <w:rPr>
                <w:sz w:val="21"/>
                <w:szCs w:val="21"/>
                <w:color w:val="auto"/>
              </w:rPr>
            </w:pPr>
          </w:p>
        </w:tc>
        <w:tc>
          <w:tcPr>
            <w:tcW w:w="20" w:type="dxa"/>
            <w:vAlign w:val="bottom"/>
            <w:tcBorders>
              <w:bottom w:val="single" w:sz="8" w:color="1E1E1E"/>
            </w:tcBorders>
            <w:shd w:val="clear" w:color="auto" w:fill="E2E2E2"/>
          </w:tcPr>
          <w:p>
            <w:pPr>
              <w:spacing w:after="0"/>
              <w:rPr>
                <w:sz w:val="21"/>
                <w:szCs w:val="21"/>
                <w:color w:val="auto"/>
              </w:rPr>
            </w:pPr>
          </w:p>
        </w:tc>
        <w:tc>
          <w:tcPr>
            <w:tcW w:w="260" w:type="dxa"/>
            <w:vAlign w:val="bottom"/>
            <w:tcBorders>
              <w:bottom w:val="single" w:sz="8" w:color="1E1E1E"/>
            </w:tcBorders>
            <w:shd w:val="clear" w:color="auto" w:fill="E2E2E2"/>
          </w:tcPr>
          <w:p>
            <w:pPr>
              <w:jc w:val="right"/>
              <w:ind w:right="59"/>
              <w:spacing w:after="0"/>
              <w:rPr>
                <w:sz w:val="20"/>
                <w:szCs w:val="20"/>
                <w:color w:val="auto"/>
              </w:rPr>
            </w:pPr>
            <w:r>
              <w:rPr>
                <w:rFonts w:ascii="Times New Roman" w:cs="Times New Roman" w:eastAsia="Times New Roman" w:hAnsi="Times New Roman"/>
                <w:sz w:val="20"/>
                <w:szCs w:val="20"/>
                <w:color w:val="1E1E1E"/>
                <w:w w:val="79"/>
              </w:rPr>
              <w:t>$</w:t>
            </w:r>
          </w:p>
        </w:tc>
        <w:tc>
          <w:tcPr>
            <w:tcW w:w="17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114</w:t>
            </w:r>
          </w:p>
        </w:tc>
        <w:tc>
          <w:tcPr>
            <w:tcW w:w="240" w:type="dxa"/>
            <w:vAlign w:val="bottom"/>
            <w:shd w:val="clear" w:color="auto" w:fill="E2E2E2"/>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-825500</wp:posOffset>
            </wp:positionV>
            <wp:extent cx="2724785" cy="161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24785" cy="16129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-502285</wp:posOffset>
            </wp:positionV>
            <wp:extent cx="2877185" cy="161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77185" cy="16129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-179070</wp:posOffset>
            </wp:positionV>
            <wp:extent cx="2877185" cy="161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77185" cy="161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color w:val="1E1E1E"/>
        </w:rPr>
        <w:t>January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1286510" cy="4763"/>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6510" cy="4763"/>
                    </a:xfrm>
                    <a:prstGeom prst="rect">
                      <a:avLst/>
                    </a:prstGeom>
                    <a:noFill/>
                  </pic:spPr>
                </pic:pic>
              </a:graphicData>
            </a:graphic>
          </wp:anchor>
        </w:drawing>
      </w:r>
    </w:p>
    <w:p>
      <w:pPr>
        <w:spacing w:after="0" w:line="258"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0"/>
          <w:szCs w:val="20"/>
          <w:color w:val="1E1E1E"/>
        </w:rPr>
        <w:t>$</w:t>
      </w:r>
      <w:r>
        <w:rPr>
          <w:sz w:val="20"/>
          <w:szCs w:val="20"/>
          <w:color w:val="auto"/>
        </w:rPr>
        <w:tab/>
      </w:r>
      <w:r>
        <w:rPr>
          <w:rFonts w:ascii="Times New Roman" w:cs="Times New Roman" w:eastAsia="Times New Roman" w:hAnsi="Times New Roman"/>
          <w:sz w:val="20"/>
          <w:szCs w:val="20"/>
          <w:color w:val="1E1E1E"/>
        </w:rPr>
        <w:t>287</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1E1E1E"/>
        </w:rPr>
        <w:t>(74)</w:t>
      </w:r>
    </w:p>
    <w:p>
      <w:pPr>
        <w:spacing w:after="0" w:line="2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1E1E1E"/>
        </w:rPr>
        <w:t>37</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1E1E1E"/>
        </w:rPr>
        <w:t>(131)</w:t>
      </w:r>
    </w:p>
    <w:p>
      <w:pPr>
        <w:spacing w:after="0" w:line="24"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0"/>
          <w:szCs w:val="20"/>
          <w:color w:val="1E1E1E"/>
        </w:rPr>
        <w:t>$</w:t>
      </w:r>
      <w:r>
        <w:rPr>
          <w:sz w:val="20"/>
          <w:szCs w:val="20"/>
          <w:color w:val="auto"/>
        </w:rPr>
        <w:tab/>
      </w:r>
      <w:r>
        <w:rPr>
          <w:rFonts w:ascii="Times New Roman" w:cs="Times New Roman" w:eastAsia="Times New Roman" w:hAnsi="Times New Roman"/>
          <w:sz w:val="20"/>
          <w:szCs w:val="20"/>
          <w:color w:val="1E1E1E"/>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26670</wp:posOffset>
            </wp:positionV>
            <wp:extent cx="12954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95400" cy="6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14605</wp:posOffset>
            </wp:positionV>
            <wp:extent cx="12954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95400" cy="6350"/>
                    </a:xfrm>
                    <a:prstGeom prst="rect">
                      <a:avLst/>
                    </a:prstGeom>
                    <a:noFill/>
                  </pic:spPr>
                </pic:pic>
              </a:graphicData>
            </a:graphic>
          </wp:anchor>
        </w:drawing>
      </w:r>
    </w:p>
    <w:p>
      <w:pPr>
        <w:spacing w:after="0" w:line="230" w:lineRule="exact"/>
        <w:rPr>
          <w:sz w:val="20"/>
          <w:szCs w:val="20"/>
          <w:color w:val="auto"/>
        </w:rPr>
      </w:pPr>
    </w:p>
    <w:p>
      <w:pPr>
        <w:sectPr>
          <w:pgSz w:w="11880" w:h="15480" w:orient="portrait"/>
          <w:cols w:equalWidth="0" w:num="2">
            <w:col w:w="8220" w:space="0"/>
            <w:col w:w="2020"/>
          </w:cols>
          <w:pgMar w:left="820" w:top="226" w:right="820" w:bottom="0" w:gutter="0" w:footer="0" w:header="0"/>
          <w:type w:val="continuous"/>
        </w:sectPr>
      </w:pPr>
    </w:p>
    <w:p>
      <w:pPr>
        <w:ind w:right="320" w:firstLine="490"/>
        <w:spacing w:after="0" w:line="250" w:lineRule="auto"/>
        <w:rPr>
          <w:sz w:val="20"/>
          <w:szCs w:val="20"/>
          <w:color w:val="auto"/>
        </w:rPr>
      </w:pPr>
      <w:r>
        <w:rPr>
          <w:rFonts w:ascii="Times New Roman" w:cs="Times New Roman" w:eastAsia="Times New Roman" w:hAnsi="Times New Roman"/>
          <w:sz w:val="20"/>
          <w:szCs w:val="20"/>
          <w:color w:val="1E1E1E"/>
        </w:rPr>
        <w:t>If recognized, $0.1 million of the Company’s unrecognized tax benefits as of February 2, 2025, would affect the Company’s effective tax rate. The Company does not anticipate that there will be a material change in the balance of the unrecognized tax benefits in the next 12 months. Any interest and penalties related to uncertain tax positions are recorded in income tax expense. There were no material amounts recorded as tax expense for interest or penalties for the years ended February 2, 2025 or January 28, 2024.</w:t>
      </w:r>
    </w:p>
    <w:p>
      <w:pPr>
        <w:spacing w:after="0" w:line="151" w:lineRule="exact"/>
        <w:rPr>
          <w:sz w:val="20"/>
          <w:szCs w:val="20"/>
          <w:color w:val="auto"/>
        </w:rPr>
      </w:pPr>
    </w:p>
    <w:p>
      <w:pPr>
        <w:ind w:right="160" w:firstLine="490"/>
        <w:spacing w:after="0" w:line="309" w:lineRule="auto"/>
        <w:rPr>
          <w:sz w:val="20"/>
          <w:szCs w:val="20"/>
          <w:color w:val="auto"/>
        </w:rPr>
      </w:pPr>
      <w:r>
        <w:rPr>
          <w:rFonts w:ascii="Times New Roman" w:cs="Times New Roman" w:eastAsia="Times New Roman" w:hAnsi="Times New Roman"/>
          <w:sz w:val="19"/>
          <w:szCs w:val="19"/>
          <w:color w:val="1E1E1E"/>
        </w:rPr>
        <w:t>The Company files income tax returns in the United States federal jurisdiction and in various state jurisdictions. Federal tax returns for tax years 2021 through 2023, and state tax returns for tax years 2020 through 2023, are open for examination.</w:t>
      </w:r>
    </w:p>
    <w:p>
      <w:pPr>
        <w:spacing w:after="0" w:line="32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b w:val="1"/>
          <w:bCs w:val="1"/>
          <w:color w:val="1E1E1E"/>
        </w:rPr>
        <w:t>10.</w:t>
      </w:r>
      <w:r>
        <w:rPr>
          <w:sz w:val="20"/>
          <w:szCs w:val="20"/>
          <w:color w:val="auto"/>
        </w:rPr>
        <w:tab/>
      </w:r>
      <w:r>
        <w:rPr>
          <w:rFonts w:ascii="Times New Roman" w:cs="Times New Roman" w:eastAsia="Times New Roman" w:hAnsi="Times New Roman"/>
          <w:sz w:val="19"/>
          <w:szCs w:val="19"/>
          <w:b w:val="1"/>
          <w:bCs w:val="1"/>
          <w:color w:val="1E1E1E"/>
        </w:rPr>
        <w:t>RETIREMENT PLAN</w:t>
      </w:r>
    </w:p>
    <w:p>
      <w:pPr>
        <w:spacing w:after="0" w:line="20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The Company has a contributory 401(k) profit sharing plan (the “Plan”) which covers all employees who have attained age 21 and who have met minimum service requirements. The Company makes quarterly non-discretionary “safe harbor” matching contributions to the Plan equal to 100% of the basic contribution made by each participant on the first 3% of his or her compensation plus 50% of the basic contribution made by each participant on the next 2% of his or her compensation. As of January 1, 2025, the Company updated the non-discretionary “safe harbor” matching contributions to the Plan to 100% of the basic contribution made by each participant on the first 1% of his or her compensation plus 50% of the basic contribution made by each participant on the next 5% of his or her compensation.</w:t>
      </w:r>
    </w:p>
    <w:p>
      <w:pPr>
        <w:spacing w:after="0" w:line="153" w:lineRule="exact"/>
        <w:rPr>
          <w:sz w:val="20"/>
          <w:szCs w:val="20"/>
          <w:color w:val="auto"/>
        </w:rPr>
      </w:pPr>
    </w:p>
    <w:p>
      <w:pPr>
        <w:ind w:right="560" w:firstLine="490"/>
        <w:spacing w:after="0" w:line="281" w:lineRule="auto"/>
        <w:rPr>
          <w:sz w:val="20"/>
          <w:szCs w:val="20"/>
          <w:color w:val="auto"/>
        </w:rPr>
      </w:pPr>
      <w:r>
        <w:rPr>
          <w:rFonts w:ascii="Times New Roman" w:cs="Times New Roman" w:eastAsia="Times New Roman" w:hAnsi="Times New Roman"/>
          <w:sz w:val="20"/>
          <w:szCs w:val="20"/>
          <w:color w:val="1E1E1E"/>
        </w:rPr>
        <w:t>The Company is also permitted to make discretionary profit sharing contributions to the Plan. There were no profit sharing contributions for the plan year ended December 31, 2024.</w:t>
      </w:r>
    </w:p>
    <w:p>
      <w:pPr>
        <w:spacing w:after="0" w:line="124" w:lineRule="exact"/>
        <w:rPr>
          <w:sz w:val="20"/>
          <w:szCs w:val="20"/>
          <w:color w:val="auto"/>
        </w:rPr>
      </w:pPr>
    </w:p>
    <w:p>
      <w:pPr>
        <w:ind w:right="720" w:firstLine="490"/>
        <w:spacing w:after="0" w:line="281" w:lineRule="auto"/>
        <w:rPr>
          <w:sz w:val="20"/>
          <w:szCs w:val="20"/>
          <w:color w:val="auto"/>
        </w:rPr>
      </w:pPr>
      <w:r>
        <w:rPr>
          <w:rFonts w:ascii="Times New Roman" w:cs="Times New Roman" w:eastAsia="Times New Roman" w:hAnsi="Times New Roman"/>
          <w:sz w:val="20"/>
          <w:szCs w:val="20"/>
          <w:color w:val="1E1E1E"/>
        </w:rPr>
        <w:t>The Company’s total expenses under the Plan were $2.3 million and $2.2 million for fiscal 2024 and fiscal 2023, respectively.</w:t>
      </w:r>
    </w:p>
    <w:p>
      <w:pPr>
        <w:spacing w:after="0" w:line="34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b w:val="1"/>
          <w:bCs w:val="1"/>
          <w:color w:val="1E1E1E"/>
        </w:rPr>
        <w:t>11.</w:t>
      </w:r>
      <w:r>
        <w:rPr>
          <w:sz w:val="20"/>
          <w:szCs w:val="20"/>
          <w:color w:val="auto"/>
        </w:rPr>
        <w:tab/>
      </w:r>
      <w:r>
        <w:rPr>
          <w:rFonts w:ascii="Times New Roman" w:cs="Times New Roman" w:eastAsia="Times New Roman" w:hAnsi="Times New Roman"/>
          <w:sz w:val="19"/>
          <w:szCs w:val="19"/>
          <w:b w:val="1"/>
          <w:bCs w:val="1"/>
          <w:color w:val="1E1E1E"/>
        </w:rPr>
        <w:t>COMMITMENTS AND CONTINGENCIES</w:t>
      </w:r>
    </w:p>
    <w:p>
      <w:pPr>
        <w:spacing w:after="0" w:line="205"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1E1E1E"/>
        </w:rPr>
        <w:t>From time to time, the Company becomes involved in lawsuits and other claims arising from its ordinary course of business. Because of the uncertainties related to the incurrence, amount and range of loss on any pending litigation or claim, management is currently unable to predict the ultimate outcome of any litigation or claim, determine whether a liability has been incurred or make an estimate of the reasonably possible liability that could result from an unfavorable outcome. Management believes, after considering a number of factors and the nature of any outstanding litigation or claims, that the outcome will not have a material effect upon the Company’s results of operations, financial condition or cash flows. However, because of the unpredictable nature of these matters, the Company cannot provide any assurances regarding the outcome of any litigation or claim to which it is a party or the impact on it of an adverse ruling in such matters.</w:t>
      </w:r>
    </w:p>
    <w:p>
      <w:pPr>
        <w:sectPr>
          <w:pgSz w:w="11880" w:h="15480" w:orient="portrait"/>
          <w:cols w:equalWidth="0" w:num="1">
            <w:col w:w="10240"/>
          </w:cols>
          <w:pgMar w:left="820" w:top="226" w:right="820" w:bottom="0" w:gutter="0" w:footer="0" w:header="0"/>
          <w:type w:val="continuous"/>
        </w:sect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60</w:t>
      </w:r>
    </w:p>
    <w:p>
      <w:pPr>
        <w:sectPr>
          <w:pgSz w:w="11880" w:h="15480" w:orient="portrait"/>
          <w:cols w:equalWidth="0" w:num="1">
            <w:col w:w="10240"/>
          </w:cols>
          <w:pgMar w:left="820" w:top="226" w:right="820" w:bottom="0"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20"/>
          <w:szCs w:val="20"/>
          <w:b w:val="1"/>
          <w:bCs w:val="1"/>
          <w:color w:val="1E1E1E"/>
        </w:rPr>
        <w:t>DULUTH HOLDINGS INC.</w:t>
      </w: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w:t>
      </w:r>
    </w:p>
    <w:p>
      <w:pPr>
        <w:spacing w:after="0" w:line="200" w:lineRule="exact"/>
        <w:rPr>
          <w:sz w:val="20"/>
          <w:szCs w:val="20"/>
          <w:color w:val="auto"/>
        </w:rPr>
      </w:pPr>
    </w:p>
    <w:p>
      <w:pPr>
        <w:spacing w:after="0" w:line="26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b w:val="1"/>
          <w:bCs w:val="1"/>
          <w:color w:val="1E1E1E"/>
        </w:rPr>
        <w:t>12.</w:t>
      </w:r>
      <w:r>
        <w:rPr>
          <w:sz w:val="20"/>
          <w:szCs w:val="20"/>
          <w:color w:val="auto"/>
        </w:rPr>
        <w:tab/>
      </w:r>
      <w:r>
        <w:rPr>
          <w:rFonts w:ascii="Times New Roman" w:cs="Times New Roman" w:eastAsia="Times New Roman" w:hAnsi="Times New Roman"/>
          <w:sz w:val="19"/>
          <w:szCs w:val="19"/>
          <w:b w:val="1"/>
          <w:bCs w:val="1"/>
          <w:color w:val="1E1E1E"/>
        </w:rPr>
        <w:t>SEGMENT REPORTING</w:t>
      </w:r>
    </w:p>
    <w:p>
      <w:pPr>
        <w:spacing w:after="0" w:line="200" w:lineRule="exact"/>
        <w:rPr>
          <w:sz w:val="20"/>
          <w:szCs w:val="20"/>
          <w:color w:val="auto"/>
        </w:rPr>
      </w:pPr>
    </w:p>
    <w:p>
      <w:pPr>
        <w:ind w:right="80" w:firstLine="490"/>
        <w:spacing w:after="0" w:line="248" w:lineRule="auto"/>
        <w:rPr>
          <w:sz w:val="20"/>
          <w:szCs w:val="20"/>
          <w:color w:val="auto"/>
        </w:rPr>
      </w:pPr>
      <w:r>
        <w:rPr>
          <w:rFonts w:ascii="Times New Roman" w:cs="Times New Roman" w:eastAsia="Times New Roman" w:hAnsi="Times New Roman"/>
          <w:sz w:val="20"/>
          <w:szCs w:val="20"/>
          <w:color w:val="1E1E1E"/>
        </w:rPr>
        <w:t>As of February 2, 2025 and January 28, 2024, we had one reportable segment. The Company’s operating segment is based on how the Chief Operating Decision Maker (“CODM”) makes decisions about allocating resources and assessing performance. Our CODM is our Chief Executive Officer and the CODM receives discrete financial information for the Company’s gross margin and a summarized comprehensive statement of income monthly that categorizes selling, general and administrative expenses into four line items with remaining expenses and expenditures for long-lived assets being consolidated as an omnichannel business.</w:t>
      </w:r>
    </w:p>
    <w:p>
      <w:pPr>
        <w:spacing w:after="0" w:line="1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E1E1E"/>
        </w:rPr>
        <w:t>The following table summarizes the Company’s gross margin and selling, general and administrative expenses.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3560" w:type="dxa"/>
            <w:vAlign w:val="bottom"/>
            <w:tcBorders>
              <w:bottom w:val="single" w:sz="8" w:color="1E1E1E"/>
            </w:tcBorders>
            <w:gridSpan w:val="4"/>
          </w:tcPr>
          <w:p>
            <w:pPr>
              <w:jc w:val="right"/>
              <w:ind w:right="1163"/>
              <w:spacing w:after="0"/>
              <w:rPr>
                <w:sz w:val="20"/>
                <w:szCs w:val="20"/>
                <w:color w:val="auto"/>
              </w:rPr>
            </w:pPr>
            <w:r>
              <w:rPr>
                <w:rFonts w:ascii="Times New Roman" w:cs="Times New Roman" w:eastAsia="Times New Roman" w:hAnsi="Times New Roman"/>
                <w:sz w:val="16"/>
                <w:szCs w:val="16"/>
                <w:b w:val="1"/>
                <w:bCs w:val="1"/>
                <w:color w:val="1E1E1E"/>
              </w:rPr>
              <w:t>Fiscal Year Ended</w:t>
            </w:r>
          </w:p>
        </w:tc>
      </w:tr>
      <w:tr>
        <w:trPr>
          <w:trHeight w:val="222"/>
        </w:trPr>
        <w:tc>
          <w:tcPr>
            <w:tcW w:w="6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225"/>
              <w:spacing w:after="0"/>
              <w:rPr>
                <w:sz w:val="20"/>
                <w:szCs w:val="20"/>
                <w:color w:val="auto"/>
              </w:rPr>
            </w:pPr>
            <w:r>
              <w:rPr>
                <w:rFonts w:ascii="Times New Roman" w:cs="Times New Roman" w:eastAsia="Times New Roman" w:hAnsi="Times New Roman"/>
                <w:sz w:val="16"/>
                <w:szCs w:val="16"/>
                <w:b w:val="1"/>
                <w:bCs w:val="1"/>
                <w:color w:val="1E1E1E"/>
              </w:rPr>
              <w:t>February 2, 2025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1E1E1E"/>
              </w:rPr>
              <w:t>January 28, 2024</w:t>
            </w:r>
          </w:p>
        </w:tc>
      </w:tr>
      <w:tr>
        <w:trPr>
          <w:trHeight w:val="209"/>
        </w:trPr>
        <w:tc>
          <w:tcPr>
            <w:tcW w:w="6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580" w:type="dxa"/>
            <w:vAlign w:val="bottom"/>
            <w:tcBorders>
              <w:bottom w:val="single" w:sz="8" w:color="1E1E1E"/>
            </w:tcBorders>
          </w:tcPr>
          <w:p>
            <w:pPr>
              <w:jc w:val="right"/>
              <w:ind w:right="445"/>
              <w:spacing w:after="0"/>
              <w:rPr>
                <w:sz w:val="20"/>
                <w:szCs w:val="20"/>
                <w:color w:val="auto"/>
              </w:rPr>
            </w:pPr>
            <w:r>
              <w:rPr>
                <w:rFonts w:ascii="Times New Roman" w:cs="Times New Roman" w:eastAsia="Times New Roman" w:hAnsi="Times New Roman"/>
                <w:sz w:val="16"/>
                <w:szCs w:val="16"/>
                <w:b w:val="1"/>
                <w:bCs w:val="1"/>
                <w:color w:val="1E1E1E"/>
              </w:rPr>
              <w:t>(53 weeks)</w:t>
            </w:r>
          </w:p>
        </w:tc>
        <w:tc>
          <w:tcPr>
            <w:tcW w:w="200" w:type="dxa"/>
            <w:vAlign w:val="bottom"/>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1560" w:type="dxa"/>
            <w:vAlign w:val="bottom"/>
            <w:tcBorders>
              <w:bottom w:val="single" w:sz="8" w:color="1E1E1E"/>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1E1E1E"/>
              </w:rPr>
              <w:t>(52 weeks)</w:t>
            </w:r>
          </w:p>
        </w:tc>
      </w:tr>
      <w:tr>
        <w:trPr>
          <w:trHeight w:val="220"/>
        </w:trPr>
        <w:tc>
          <w:tcPr>
            <w:tcW w:w="648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1E1E1E"/>
              </w:rPr>
              <w:t>(in thousands)</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40"/>
        </w:trPr>
        <w:tc>
          <w:tcPr>
            <w:tcW w:w="64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02"/>
        </w:trPr>
        <w:tc>
          <w:tcPr>
            <w:tcW w:w="62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Net sales</w:t>
            </w:r>
          </w:p>
        </w:tc>
        <w:tc>
          <w:tcPr>
            <w:tcW w:w="20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200" w:type="dxa"/>
            <w:vAlign w:val="bottom"/>
            <w:shd w:val="clear" w:color="auto" w:fill="E2E2E2"/>
          </w:tcPr>
          <w:p>
            <w:pPr>
              <w:jc w:val="right"/>
              <w:ind w:right="34"/>
              <w:spacing w:after="0"/>
              <w:rPr>
                <w:sz w:val="20"/>
                <w:szCs w:val="20"/>
                <w:color w:val="auto"/>
              </w:rPr>
            </w:pPr>
            <w:r>
              <w:rPr>
                <w:rFonts w:ascii="Times New Roman" w:cs="Times New Roman" w:eastAsia="Times New Roman" w:hAnsi="Times New Roman"/>
                <w:sz w:val="17"/>
                <w:szCs w:val="17"/>
                <w:color w:val="1E1E1E"/>
                <w:w w:val="70"/>
              </w:rPr>
              <w:t>$</w:t>
            </w:r>
          </w:p>
        </w:tc>
        <w:tc>
          <w:tcPr>
            <w:tcW w:w="1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626,629</w:t>
            </w:r>
          </w:p>
        </w:tc>
        <w:tc>
          <w:tcPr>
            <w:tcW w:w="200" w:type="dxa"/>
            <w:vAlign w:val="bottom"/>
            <w:shd w:val="clear" w:color="auto" w:fill="E2E2E2"/>
          </w:tcPr>
          <w:p>
            <w:pPr>
              <w:spacing w:after="0"/>
              <w:rPr>
                <w:sz w:val="24"/>
                <w:szCs w:val="24"/>
                <w:color w:val="auto"/>
              </w:rPr>
            </w:pPr>
          </w:p>
        </w:tc>
        <w:tc>
          <w:tcPr>
            <w:tcW w:w="220" w:type="dxa"/>
            <w:vAlign w:val="bottom"/>
            <w:shd w:val="clear" w:color="auto" w:fill="E2E2E2"/>
          </w:tcPr>
          <w:p>
            <w:pPr>
              <w:jc w:val="right"/>
              <w:ind w:right="19"/>
              <w:spacing w:after="0"/>
              <w:rPr>
                <w:sz w:val="20"/>
                <w:szCs w:val="20"/>
                <w:color w:val="auto"/>
              </w:rPr>
            </w:pPr>
            <w:r>
              <w:rPr>
                <w:rFonts w:ascii="Times New Roman" w:cs="Times New Roman" w:eastAsia="Times New Roman" w:hAnsi="Times New Roman"/>
                <w:sz w:val="20"/>
                <w:szCs w:val="20"/>
                <w:color w:val="1E1E1E"/>
                <w:w w:val="79"/>
              </w:rPr>
              <w:t>$</w:t>
            </w:r>
          </w:p>
        </w:tc>
        <w:tc>
          <w:tcPr>
            <w:tcW w:w="1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646,681</w:t>
            </w:r>
          </w:p>
        </w:tc>
      </w:tr>
      <w:tr>
        <w:trPr>
          <w:trHeight w:val="240"/>
        </w:trPr>
        <w:tc>
          <w:tcPr>
            <w:tcW w:w="626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1E1E1E"/>
              </w:rPr>
              <w:t>Cost of goods sold</w:t>
            </w:r>
          </w:p>
        </w:tc>
        <w:tc>
          <w:tcPr>
            <w:tcW w:w="200" w:type="dxa"/>
            <w:vAlign w:val="bottom"/>
            <w:tcBorders>
              <w:bottom w:val="single" w:sz="8" w:color="E2E2E2"/>
            </w:tcBorders>
          </w:tcPr>
          <w:p>
            <w:pPr>
              <w:spacing w:after="0"/>
              <w:rPr>
                <w:sz w:val="20"/>
                <w:szCs w:val="20"/>
                <w:color w:val="auto"/>
              </w:rPr>
            </w:pPr>
          </w:p>
        </w:tc>
        <w:tc>
          <w:tcPr>
            <w:tcW w:w="20" w:type="dxa"/>
            <w:vAlign w:val="bottom"/>
            <w:tcBorders>
              <w:bottom w:val="single" w:sz="8" w:color="E2E2E2"/>
            </w:tcBorders>
          </w:tcPr>
          <w:p>
            <w:pPr>
              <w:spacing w:after="0"/>
              <w:rPr>
                <w:sz w:val="20"/>
                <w:szCs w:val="20"/>
                <w:color w:val="auto"/>
              </w:rPr>
            </w:pPr>
          </w:p>
        </w:tc>
        <w:tc>
          <w:tcPr>
            <w:tcW w:w="200" w:type="dxa"/>
            <w:vAlign w:val="bottom"/>
            <w:tcBorders>
              <w:bottom w:val="single" w:sz="8" w:color="1E1E1E"/>
            </w:tcBorders>
          </w:tcPr>
          <w:p>
            <w:pPr>
              <w:spacing w:after="0"/>
              <w:rPr>
                <w:sz w:val="20"/>
                <w:szCs w:val="20"/>
                <w:color w:val="auto"/>
              </w:rPr>
            </w:pPr>
          </w:p>
        </w:tc>
        <w:tc>
          <w:tcPr>
            <w:tcW w:w="15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318,119</w:t>
            </w:r>
          </w:p>
        </w:tc>
        <w:tc>
          <w:tcPr>
            <w:tcW w:w="200" w:type="dxa"/>
            <w:vAlign w:val="bottom"/>
            <w:tcBorders>
              <w:bottom w:val="single" w:sz="8" w:color="E2E2E2"/>
            </w:tcBorders>
          </w:tcPr>
          <w:p>
            <w:pPr>
              <w:spacing w:after="0"/>
              <w:rPr>
                <w:sz w:val="20"/>
                <w:szCs w:val="20"/>
                <w:color w:val="auto"/>
              </w:rPr>
            </w:pPr>
          </w:p>
        </w:tc>
        <w:tc>
          <w:tcPr>
            <w:tcW w:w="220" w:type="dxa"/>
            <w:vAlign w:val="bottom"/>
            <w:tcBorders>
              <w:bottom w:val="single" w:sz="8" w:color="1E1E1E"/>
            </w:tcBorders>
          </w:tcPr>
          <w:p>
            <w:pPr>
              <w:spacing w:after="0"/>
              <w:rPr>
                <w:sz w:val="20"/>
                <w:szCs w:val="20"/>
                <w:color w:val="auto"/>
              </w:rPr>
            </w:pPr>
          </w:p>
        </w:tc>
        <w:tc>
          <w:tcPr>
            <w:tcW w:w="15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321,710</w:t>
            </w:r>
          </w:p>
        </w:tc>
      </w:tr>
      <w:tr>
        <w:trPr>
          <w:trHeight w:val="201"/>
        </w:trPr>
        <w:tc>
          <w:tcPr>
            <w:tcW w:w="6260" w:type="dxa"/>
            <w:vAlign w:val="bottom"/>
            <w:shd w:val="clear" w:color="auto" w:fill="E2E2E2"/>
          </w:tcPr>
          <w:p>
            <w:pPr>
              <w:ind w:left="120"/>
              <w:spacing w:after="0" w:line="201" w:lineRule="exact"/>
              <w:rPr>
                <w:sz w:val="20"/>
                <w:szCs w:val="20"/>
                <w:color w:val="auto"/>
              </w:rPr>
            </w:pPr>
            <w:r>
              <w:rPr>
                <w:rFonts w:ascii="Times New Roman" w:cs="Times New Roman" w:eastAsia="Times New Roman" w:hAnsi="Times New Roman"/>
                <w:sz w:val="20"/>
                <w:szCs w:val="20"/>
                <w:color w:val="1E1E1E"/>
              </w:rPr>
              <w:t>Gross margin</w:t>
            </w:r>
          </w:p>
        </w:tc>
        <w:tc>
          <w:tcPr>
            <w:tcW w:w="20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200" w:type="dxa"/>
            <w:vAlign w:val="bottom"/>
            <w:shd w:val="clear" w:color="auto" w:fill="E2E2E2"/>
          </w:tcPr>
          <w:p>
            <w:pPr>
              <w:spacing w:after="0"/>
              <w:rPr>
                <w:sz w:val="17"/>
                <w:szCs w:val="17"/>
                <w:color w:val="auto"/>
              </w:rPr>
            </w:pPr>
          </w:p>
        </w:tc>
        <w:tc>
          <w:tcPr>
            <w:tcW w:w="1580" w:type="dxa"/>
            <w:vAlign w:val="bottom"/>
            <w:shd w:val="clear" w:color="auto" w:fill="E2E2E2"/>
          </w:tcPr>
          <w:p>
            <w:pPr>
              <w:jc w:val="right"/>
              <w:spacing w:after="0" w:line="201" w:lineRule="exact"/>
              <w:rPr>
                <w:sz w:val="20"/>
                <w:szCs w:val="20"/>
                <w:color w:val="auto"/>
              </w:rPr>
            </w:pPr>
            <w:r>
              <w:rPr>
                <w:rFonts w:ascii="Times New Roman" w:cs="Times New Roman" w:eastAsia="Times New Roman" w:hAnsi="Times New Roman"/>
                <w:sz w:val="20"/>
                <w:szCs w:val="20"/>
                <w:color w:val="1E1E1E"/>
              </w:rPr>
              <w:t>308,510</w:t>
            </w:r>
          </w:p>
        </w:tc>
        <w:tc>
          <w:tcPr>
            <w:tcW w:w="200" w:type="dxa"/>
            <w:vAlign w:val="bottom"/>
            <w:shd w:val="clear" w:color="auto" w:fill="E2E2E2"/>
          </w:tcPr>
          <w:p>
            <w:pPr>
              <w:spacing w:after="0"/>
              <w:rPr>
                <w:sz w:val="17"/>
                <w:szCs w:val="17"/>
                <w:color w:val="auto"/>
              </w:rPr>
            </w:pPr>
          </w:p>
        </w:tc>
        <w:tc>
          <w:tcPr>
            <w:tcW w:w="220" w:type="dxa"/>
            <w:vAlign w:val="bottom"/>
            <w:shd w:val="clear" w:color="auto" w:fill="E2E2E2"/>
          </w:tcPr>
          <w:p>
            <w:pPr>
              <w:spacing w:after="0"/>
              <w:rPr>
                <w:sz w:val="17"/>
                <w:szCs w:val="17"/>
                <w:color w:val="auto"/>
              </w:rPr>
            </w:pPr>
          </w:p>
        </w:tc>
        <w:tc>
          <w:tcPr>
            <w:tcW w:w="1560" w:type="dxa"/>
            <w:vAlign w:val="bottom"/>
            <w:shd w:val="clear" w:color="auto" w:fill="E2E2E2"/>
          </w:tcPr>
          <w:p>
            <w:pPr>
              <w:jc w:val="right"/>
              <w:spacing w:after="0" w:line="201" w:lineRule="exact"/>
              <w:rPr>
                <w:sz w:val="20"/>
                <w:szCs w:val="20"/>
                <w:color w:val="auto"/>
              </w:rPr>
            </w:pPr>
            <w:r>
              <w:rPr>
                <w:rFonts w:ascii="Times New Roman" w:cs="Times New Roman" w:eastAsia="Times New Roman" w:hAnsi="Times New Roman"/>
                <w:sz w:val="20"/>
                <w:szCs w:val="20"/>
                <w:color w:val="1E1E1E"/>
              </w:rPr>
              <w:t>324,971</w:t>
            </w:r>
          </w:p>
        </w:tc>
      </w:tr>
      <w:tr>
        <w:trPr>
          <w:trHeight w:val="302"/>
        </w:trPr>
        <w:tc>
          <w:tcPr>
            <w:tcW w:w="64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1E1E1E"/>
              </w:rPr>
              <w:t>Less:</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98"/>
        </w:trPr>
        <w:tc>
          <w:tcPr>
            <w:tcW w:w="62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Outbound shipping expenses</w:t>
            </w:r>
          </w:p>
        </w:tc>
        <w:tc>
          <w:tcPr>
            <w:tcW w:w="20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43,664</w:t>
            </w:r>
          </w:p>
        </w:tc>
        <w:tc>
          <w:tcPr>
            <w:tcW w:w="2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47,185</w:t>
            </w:r>
          </w:p>
        </w:tc>
      </w:tr>
      <w:tr>
        <w:trPr>
          <w:trHeight w:val="302"/>
        </w:trPr>
        <w:tc>
          <w:tcPr>
            <w:tcW w:w="648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Advertising expenses</w:t>
            </w:r>
          </w:p>
        </w:tc>
        <w:tc>
          <w:tcPr>
            <w:tcW w:w="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67,518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69,049</w:t>
            </w:r>
          </w:p>
        </w:tc>
      </w:tr>
      <w:tr>
        <w:trPr>
          <w:trHeight w:val="298"/>
        </w:trPr>
        <w:tc>
          <w:tcPr>
            <w:tcW w:w="62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Variable expenses</w:t>
            </w:r>
          </w:p>
        </w:tc>
        <w:tc>
          <w:tcPr>
            <w:tcW w:w="20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56,055</w:t>
            </w:r>
          </w:p>
        </w:tc>
        <w:tc>
          <w:tcPr>
            <w:tcW w:w="2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58,049</w:t>
            </w:r>
          </w:p>
        </w:tc>
      </w:tr>
      <w:tr>
        <w:trPr>
          <w:trHeight w:val="302"/>
        </w:trPr>
        <w:tc>
          <w:tcPr>
            <w:tcW w:w="6480" w:type="dxa"/>
            <w:vAlign w:val="bottom"/>
            <w:tcBorders>
              <w:bottom w:val="single" w:sz="8" w:color="E2E2E2"/>
            </w:tcBorders>
            <w:gridSpan w:val="3"/>
          </w:tcPr>
          <w:p>
            <w:pPr>
              <w:spacing w:after="0"/>
              <w:rPr>
                <w:sz w:val="20"/>
                <w:szCs w:val="20"/>
                <w:color w:val="auto"/>
              </w:rPr>
            </w:pPr>
            <w:r>
              <w:rPr>
                <w:rFonts w:ascii="Times New Roman" w:cs="Times New Roman" w:eastAsia="Times New Roman" w:hAnsi="Times New Roman"/>
                <w:sz w:val="20"/>
                <w:szCs w:val="20"/>
                <w:color w:val="1E1E1E"/>
              </w:rPr>
              <w:t>Overhead expenses</w:t>
            </w:r>
          </w:p>
        </w:tc>
        <w:tc>
          <w:tcPr>
            <w:tcW w:w="200" w:type="dxa"/>
            <w:vAlign w:val="bottom"/>
            <w:tcBorders>
              <w:bottom w:val="single" w:sz="8" w:color="1E1E1E"/>
            </w:tcBorders>
          </w:tcPr>
          <w:p>
            <w:pPr>
              <w:spacing w:after="0"/>
              <w:rPr>
                <w:sz w:val="24"/>
                <w:szCs w:val="24"/>
                <w:color w:val="auto"/>
              </w:rPr>
            </w:pPr>
          </w:p>
        </w:tc>
        <w:tc>
          <w:tcPr>
            <w:tcW w:w="15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178,134</w:t>
            </w:r>
          </w:p>
        </w:tc>
        <w:tc>
          <w:tcPr>
            <w:tcW w:w="200" w:type="dxa"/>
            <w:vAlign w:val="bottom"/>
            <w:tcBorders>
              <w:bottom w:val="single" w:sz="8" w:color="E2E2E2"/>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15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160,257</w:t>
            </w:r>
          </w:p>
        </w:tc>
      </w:tr>
      <w:tr>
        <w:trPr>
          <w:trHeight w:val="234"/>
        </w:trPr>
        <w:tc>
          <w:tcPr>
            <w:tcW w:w="626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20"/>
                <w:szCs w:val="20"/>
                <w:color w:val="1E1E1E"/>
              </w:rPr>
              <w:t>Total selling, general and administrative</w:t>
            </w:r>
          </w:p>
        </w:tc>
        <w:tc>
          <w:tcPr>
            <w:tcW w:w="20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200" w:type="dxa"/>
            <w:vAlign w:val="bottom"/>
            <w:tcBorders>
              <w:bottom w:val="single" w:sz="8" w:color="1E1E1E"/>
            </w:tcBorders>
            <w:shd w:val="clear" w:color="auto" w:fill="E2E2E2"/>
          </w:tcPr>
          <w:p>
            <w:pPr>
              <w:spacing w:after="0"/>
              <w:rPr>
                <w:sz w:val="20"/>
                <w:szCs w:val="20"/>
                <w:color w:val="auto"/>
              </w:rPr>
            </w:pPr>
          </w:p>
        </w:tc>
        <w:tc>
          <w:tcPr>
            <w:tcW w:w="15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345,371</w:t>
            </w:r>
          </w:p>
        </w:tc>
        <w:tc>
          <w:tcPr>
            <w:tcW w:w="200" w:type="dxa"/>
            <w:vAlign w:val="bottom"/>
            <w:shd w:val="clear" w:color="auto" w:fill="E2E2E2"/>
          </w:tcPr>
          <w:p>
            <w:pPr>
              <w:spacing w:after="0"/>
              <w:rPr>
                <w:sz w:val="20"/>
                <w:szCs w:val="20"/>
                <w:color w:val="auto"/>
              </w:rPr>
            </w:pPr>
          </w:p>
        </w:tc>
        <w:tc>
          <w:tcPr>
            <w:tcW w:w="220" w:type="dxa"/>
            <w:vAlign w:val="bottom"/>
            <w:tcBorders>
              <w:bottom w:val="single" w:sz="8" w:color="1E1E1E"/>
            </w:tcBorders>
            <w:shd w:val="clear" w:color="auto" w:fill="E2E2E2"/>
          </w:tcPr>
          <w:p>
            <w:pPr>
              <w:spacing w:after="0"/>
              <w:rPr>
                <w:sz w:val="20"/>
                <w:szCs w:val="20"/>
                <w:color w:val="auto"/>
              </w:rPr>
            </w:pPr>
          </w:p>
        </w:tc>
        <w:tc>
          <w:tcPr>
            <w:tcW w:w="15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334,540</w:t>
            </w:r>
          </w:p>
        </w:tc>
      </w:tr>
      <w:tr>
        <w:trPr>
          <w:trHeight w:val="291"/>
        </w:trPr>
        <w:tc>
          <w:tcPr>
            <w:tcW w:w="646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Operating loss</w:t>
            </w:r>
          </w:p>
        </w:tc>
        <w:tc>
          <w:tcPr>
            <w:tcW w:w="20" w:type="dxa"/>
            <w:vAlign w:val="bottom"/>
            <w:tcBorders>
              <w:bottom w:val="single" w:sz="8" w:color="1E1E1E"/>
            </w:tcBorders>
          </w:tcPr>
          <w:p>
            <w:pPr>
              <w:spacing w:after="0"/>
              <w:rPr>
                <w:sz w:val="24"/>
                <w:szCs w:val="24"/>
                <w:color w:val="auto"/>
              </w:rPr>
            </w:pPr>
          </w:p>
        </w:tc>
        <w:tc>
          <w:tcPr>
            <w:tcW w:w="200" w:type="dxa"/>
            <w:vAlign w:val="bottom"/>
            <w:tcBorders>
              <w:bottom w:val="single" w:sz="8" w:color="1E1E1E"/>
            </w:tcBorders>
          </w:tcPr>
          <w:p>
            <w:pPr>
              <w:jc w:val="right"/>
              <w:ind w:right="34"/>
              <w:spacing w:after="0"/>
              <w:rPr>
                <w:sz w:val="20"/>
                <w:szCs w:val="20"/>
                <w:color w:val="auto"/>
              </w:rPr>
            </w:pPr>
            <w:r>
              <w:rPr>
                <w:rFonts w:ascii="Times New Roman" w:cs="Times New Roman" w:eastAsia="Times New Roman" w:hAnsi="Times New Roman"/>
                <w:sz w:val="17"/>
                <w:szCs w:val="17"/>
                <w:color w:val="1E1E1E"/>
                <w:w w:val="70"/>
              </w:rPr>
              <w:t>$</w:t>
            </w:r>
          </w:p>
        </w:tc>
        <w:tc>
          <w:tcPr>
            <w:tcW w:w="15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(36,861)</w:t>
            </w:r>
          </w:p>
        </w:tc>
        <w:tc>
          <w:tcPr>
            <w:tcW w:w="200" w:type="dxa"/>
            <w:vAlign w:val="bottom"/>
          </w:tcPr>
          <w:p>
            <w:pPr>
              <w:spacing w:after="0"/>
              <w:rPr>
                <w:sz w:val="24"/>
                <w:szCs w:val="24"/>
                <w:color w:val="auto"/>
              </w:rPr>
            </w:pPr>
          </w:p>
        </w:tc>
        <w:tc>
          <w:tcPr>
            <w:tcW w:w="220" w:type="dxa"/>
            <w:vAlign w:val="bottom"/>
            <w:tcBorders>
              <w:bottom w:val="single" w:sz="8" w:color="1E1E1E"/>
            </w:tcBorders>
          </w:tcPr>
          <w:p>
            <w:pPr>
              <w:jc w:val="right"/>
              <w:ind w:right="19"/>
              <w:spacing w:after="0"/>
              <w:rPr>
                <w:sz w:val="20"/>
                <w:szCs w:val="20"/>
                <w:color w:val="auto"/>
              </w:rPr>
            </w:pPr>
            <w:r>
              <w:rPr>
                <w:rFonts w:ascii="Times New Roman" w:cs="Times New Roman" w:eastAsia="Times New Roman" w:hAnsi="Times New Roman"/>
                <w:sz w:val="20"/>
                <w:szCs w:val="20"/>
                <w:color w:val="1E1E1E"/>
                <w:w w:val="79"/>
              </w:rPr>
              <w:t>$</w:t>
            </w:r>
          </w:p>
        </w:tc>
        <w:tc>
          <w:tcPr>
            <w:tcW w:w="15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(9,569)</w:t>
            </w:r>
          </w:p>
        </w:tc>
      </w:tr>
    </w:tbl>
    <w:p>
      <w:pPr>
        <w:spacing w:after="0" w:line="200" w:lineRule="exact"/>
        <w:rPr>
          <w:sz w:val="20"/>
          <w:szCs w:val="20"/>
          <w:color w:val="auto"/>
        </w:rPr>
      </w:pPr>
    </w:p>
    <w:p>
      <w:pPr>
        <w:spacing w:after="0" w:line="2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b w:val="1"/>
          <w:bCs w:val="1"/>
          <w:color w:val="1E1E1E"/>
        </w:rPr>
        <w:t>13.</w:t>
      </w:r>
      <w:r>
        <w:rPr>
          <w:sz w:val="20"/>
          <w:szCs w:val="20"/>
          <w:color w:val="auto"/>
        </w:rPr>
        <w:tab/>
      </w:r>
      <w:r>
        <w:rPr>
          <w:rFonts w:ascii="Times New Roman" w:cs="Times New Roman" w:eastAsia="Times New Roman" w:hAnsi="Times New Roman"/>
          <w:sz w:val="19"/>
          <w:szCs w:val="19"/>
          <w:b w:val="1"/>
          <w:bCs w:val="1"/>
          <w:color w:val="1E1E1E"/>
        </w:rPr>
        <w:t>RECENT ACCOUNTING PRONOUNCEMENTS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1E1E1E"/>
        </w:rPr>
        <w:t>Recently Adopted Accounting Pronouncements</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1E1E1E"/>
        </w:rPr>
        <w:t>Intangibles – Goodwill and Other – Internal-use Software</w:t>
      </w:r>
    </w:p>
    <w:p>
      <w:pPr>
        <w:spacing w:after="0" w:line="194" w:lineRule="exact"/>
        <w:rPr>
          <w:sz w:val="20"/>
          <w:szCs w:val="20"/>
          <w:color w:val="auto"/>
        </w:rPr>
      </w:pPr>
    </w:p>
    <w:p>
      <w:pPr>
        <w:ind w:firstLine="491"/>
        <w:spacing w:after="0" w:line="244" w:lineRule="auto"/>
        <w:rPr>
          <w:sz w:val="20"/>
          <w:szCs w:val="20"/>
          <w:color w:val="auto"/>
        </w:rPr>
      </w:pPr>
      <w:r>
        <w:rPr>
          <w:rFonts w:ascii="Times New Roman" w:cs="Times New Roman" w:eastAsia="Times New Roman" w:hAnsi="Times New Roman"/>
          <w:sz w:val="20"/>
          <w:szCs w:val="20"/>
          <w:color w:val="1E1E1E"/>
        </w:rPr>
        <w:t xml:space="preserve">On February 3, 2020, the Company adopted Accounting Standards Update (“ASU”) No. 2018-15, </w:t>
      </w:r>
      <w:r>
        <w:rPr>
          <w:rFonts w:ascii="Times New Roman" w:cs="Times New Roman" w:eastAsia="Times New Roman" w:hAnsi="Times New Roman"/>
          <w:sz w:val="20"/>
          <w:szCs w:val="20"/>
          <w:i w:val="1"/>
          <w:iCs w:val="1"/>
          <w:color w:val="1E1E1E"/>
        </w:rPr>
        <w:t>Intangibles – Goodwill</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and Other – Internal-Use Software (Subtopic 350-40) </w:t>
      </w:r>
      <w:r>
        <w:rPr>
          <w:rFonts w:ascii="Times New Roman" w:cs="Times New Roman" w:eastAsia="Times New Roman" w:hAnsi="Times New Roman"/>
          <w:sz w:val="20"/>
          <w:szCs w:val="20"/>
          <w:color w:val="1E1E1E"/>
        </w:rPr>
        <w:t>(“ASU 2018-15”) which provides additional guidance on the accounting</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for costs of implementation activities performed in a cloud computing arrangement that is a service contract. ASU 2018-15 requires a customer in a cloud computing arrangement that is a service contract to follow the new internal-use software guidance to determine which implementation costs to capitalize as assets or expense as incurred. The new internal-use software guidance requires that certain costs incurred during the application development stage be capitalized and other costs incurred during the preliminary project and post-implementation stages be expensed as they are incurred. The Company adopted ASU 2018-15 using the prospective method. In fiscal 2024 and 2023, $11.2 million and $10.1 million of capitalized costs associated with implementation activities, net of amortization are classified within Prepaid expenses &amp; other current assets on the Company’s Consolidated Balance Sheets, respectively, and $5.3 million and $5.0 million of related amortization costs are included in Selling, general and administrative expenses on the Company’s Consolidated Statement of Operations, respectively.</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1E1E1E"/>
        </w:rPr>
        <w:t>Financial Instruments – Credit Losses – Measurement of Credit Losses on Financial Instruments</w:t>
      </w:r>
    </w:p>
    <w:p>
      <w:pPr>
        <w:sectPr>
          <w:pgSz w:w="11880" w:h="15480" w:orient="portrait"/>
          <w:cols w:equalWidth="0" w:num="1">
            <w:col w:w="10240"/>
          </w:cols>
          <w:pgMar w:left="820" w:top="22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61</w:t>
      </w:r>
    </w:p>
    <w:p>
      <w:pPr>
        <w:sectPr>
          <w:pgSz w:w="11880" w:h="15480" w:orient="portrait"/>
          <w:cols w:equalWidth="0" w:num="1">
            <w:col w:w="10240"/>
          </w:cols>
          <w:pgMar w:left="820" w:top="226" w:right="820" w:bottom="0" w:gutter="0" w:footer="0" w:header="0"/>
          <w:type w:val="continuous"/>
        </w:sectPr>
      </w:pPr>
    </w:p>
    <w:bookmarkStart w:id="67" w:name="page68"/>
    <w:bookmarkEnd w:id="67"/>
    <w:p>
      <w:pPr>
        <w:jc w:val="center"/>
        <w:ind w:right="-39"/>
        <w:spacing w:after="0"/>
        <w:rPr>
          <w:sz w:val="20"/>
          <w:szCs w:val="20"/>
          <w:color w:val="auto"/>
        </w:rPr>
      </w:pPr>
      <w:r>
        <w:rPr>
          <w:rFonts w:ascii="Times New Roman" w:cs="Times New Roman" w:eastAsia="Times New Roman" w:hAnsi="Times New Roman"/>
          <w:sz w:val="20"/>
          <w:szCs w:val="20"/>
          <w:b w:val="1"/>
          <w:bCs w:val="1"/>
          <w:color w:val="1E1E1E"/>
        </w:rPr>
        <w:t>DULUTH HOLDINGS INC.</w:t>
      </w:r>
    </w:p>
    <w:p>
      <w:pPr>
        <w:jc w:val="center"/>
        <w:ind w:right="-39"/>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w:t>
      </w:r>
    </w:p>
    <w:p>
      <w:pPr>
        <w:spacing w:after="0" w:line="234"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1E1E1E"/>
        </w:rPr>
        <w:t xml:space="preserve">In June 2016, the FASB issued Accounting Standards Update No. 2016-13 </w:t>
      </w:r>
      <w:r>
        <w:rPr>
          <w:rFonts w:ascii="Times New Roman" w:cs="Times New Roman" w:eastAsia="Times New Roman" w:hAnsi="Times New Roman"/>
          <w:sz w:val="20"/>
          <w:szCs w:val="20"/>
          <w:i w:val="1"/>
          <w:iCs w:val="1"/>
          <w:color w:val="1E1E1E"/>
        </w:rPr>
        <w:t>“Financial Instruments-Credit Losses (Topic</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326): Measurement of Credit Losses on Financial Instruments,” </w:t>
      </w:r>
      <w:r>
        <w:rPr>
          <w:rFonts w:ascii="Times New Roman" w:cs="Times New Roman" w:eastAsia="Times New Roman" w:hAnsi="Times New Roman"/>
          <w:sz w:val="20"/>
          <w:szCs w:val="20"/>
          <w:color w:val="1E1E1E"/>
        </w:rPr>
        <w:t>(“ASU 2016-13”), which amends the impairment model by</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 xml:space="preserve">requiring entities to use a forward-looking approach based on expected losses to estimate credit losses on certain types of financial instruments, which include trade and other receivables, loans and held-to-maturity debt securities, to record an allowance for credit risk based on expected losses rather than incurred losses, otherwise known as “CECL”. In addition, this guidance changes the recognition for credit losses on available-for-sale debt securities, which can occur as a result of market and credit risk and requires additional disclosures. On November 15, 2019, the FASB issued ASU No. 2019-10 </w:t>
      </w:r>
      <w:r>
        <w:rPr>
          <w:rFonts w:ascii="Times New Roman" w:cs="Times New Roman" w:eastAsia="Times New Roman" w:hAnsi="Times New Roman"/>
          <w:sz w:val="20"/>
          <w:szCs w:val="20"/>
          <w:i w:val="1"/>
          <w:iCs w:val="1"/>
          <w:color w:val="1E1E1E"/>
        </w:rPr>
        <w:t>“Financial</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Instruments-Credit Losses (Topic 326), Derivatives and Hedging (Topic 815, and Leases (Topic 842),” </w:t>
      </w:r>
      <w:r>
        <w:rPr>
          <w:rFonts w:ascii="Times New Roman" w:cs="Times New Roman" w:eastAsia="Times New Roman" w:hAnsi="Times New Roman"/>
          <w:sz w:val="20"/>
          <w:szCs w:val="20"/>
          <w:color w:val="1E1E1E"/>
        </w:rPr>
        <w:t>(“ASU 2019-10”),</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which provides a framework to stagger effective dates for future major accounting standards and amends the effective dates for certain major new accounting standards to give implementation relief to certain types of entities. ASU 2019-10 amends the effective dates for ASU 2016-13 for smaller reporting companies with fiscal years beginning after December 15, 2022, and interim periods within those years. The Company adopted ASU 2016-13 on January 30, 2023, the first day of the Company’s first quarter for the fiscal year ending January 28, 2024, the Company’s fiscal year 2023. ASU 2016-13 did not have a material impact on the Company’s consolidated financial statements.</w:t>
      </w:r>
    </w:p>
    <w:p>
      <w:pPr>
        <w:spacing w:after="0" w:line="1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1E1E1E"/>
        </w:rPr>
        <w:t>Segment Reporting – Improvements to Reportable Segment Disclosures</w:t>
      </w:r>
    </w:p>
    <w:p>
      <w:pPr>
        <w:spacing w:after="0" w:line="199" w:lineRule="exact"/>
        <w:rPr>
          <w:sz w:val="20"/>
          <w:szCs w:val="20"/>
          <w:color w:val="auto"/>
        </w:rPr>
      </w:pPr>
    </w:p>
    <w:p>
      <w:pPr>
        <w:ind w:right="140" w:firstLine="490"/>
        <w:spacing w:after="0" w:line="245" w:lineRule="auto"/>
        <w:rPr>
          <w:sz w:val="20"/>
          <w:szCs w:val="20"/>
          <w:color w:val="auto"/>
        </w:rPr>
      </w:pPr>
      <w:r>
        <w:rPr>
          <w:rFonts w:ascii="Times New Roman" w:cs="Times New Roman" w:eastAsia="Times New Roman" w:hAnsi="Times New Roman"/>
          <w:sz w:val="20"/>
          <w:szCs w:val="20"/>
          <w:color w:val="1E1E1E"/>
        </w:rPr>
        <w:t>In November 2023, the FASB issued ASU No. 2023-07, “</w:t>
      </w:r>
      <w:r>
        <w:rPr>
          <w:rFonts w:ascii="Times New Roman" w:cs="Times New Roman" w:eastAsia="Times New Roman" w:hAnsi="Times New Roman"/>
          <w:sz w:val="20"/>
          <w:szCs w:val="20"/>
          <w:i w:val="1"/>
          <w:iCs w:val="1"/>
          <w:color w:val="1E1E1E"/>
        </w:rPr>
        <w:t>Segment Reporting: Improvements to Reportable Segment</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Disclosures.” </w:t>
      </w:r>
      <w:r>
        <w:rPr>
          <w:rFonts w:ascii="Times New Roman" w:cs="Times New Roman" w:eastAsia="Times New Roman" w:hAnsi="Times New Roman"/>
          <w:sz w:val="20"/>
          <w:szCs w:val="20"/>
          <w:color w:val="1E1E1E"/>
        </w:rPr>
        <w:t>This ASU improves reportable segment disclosure requirements, primarily through enhanced disclosures about</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new guidance is effective for public companies with annual periods beginning after December 15, 2023, and interim periods within annual period beginning after December 15, 2024, with early adoption permitted. The Company adopted ASU 2023-07 on January 29, 2024, the first day of the Company’s first quarter for the fiscal year ending February 2, 2025, the Company’s fiscal year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1E1E1E"/>
        </w:rPr>
        <w:t>Recent Accounting Pronouncements Not Yet Adopted</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1E1E1E"/>
        </w:rPr>
        <w:t>Income Taxes – Improvements to Income Tax Disclosures</w:t>
      </w:r>
    </w:p>
    <w:p>
      <w:pPr>
        <w:spacing w:after="0" w:line="199"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In December 2023, the FASB issued ASU No. 2023-09, “</w:t>
      </w:r>
      <w:r>
        <w:rPr>
          <w:rFonts w:ascii="Times New Roman" w:cs="Times New Roman" w:eastAsia="Times New Roman" w:hAnsi="Times New Roman"/>
          <w:sz w:val="20"/>
          <w:szCs w:val="20"/>
          <w:i w:val="1"/>
          <w:iCs w:val="1"/>
          <w:color w:val="1E1E1E"/>
        </w:rPr>
        <w:t>Income Taxes: Improvements to Income Tax Disclosures</w:t>
      </w:r>
      <w:r>
        <w:rPr>
          <w:rFonts w:ascii="Times New Roman" w:cs="Times New Roman" w:eastAsia="Times New Roman" w:hAnsi="Times New Roman"/>
          <w:sz w:val="20"/>
          <w:szCs w:val="20"/>
          <w:color w:val="1E1E1E"/>
        </w:rPr>
        <w:t>.” This ASU improves the transparency of income tax disclosures by requiring (i) consistent categories and greater disaggregation of information in the rate reconciliation and (ii) income taxes paid disaggregated by jurisdiction. This new guidance will be effective for annual periods beginning after December 15, 2024, and early adoption is permitted. Management is currently evaluating the effects adoption of this guidance will have on its consolidated financial statements.</w:t>
      </w:r>
    </w:p>
    <w:p>
      <w:pPr>
        <w:sectPr>
          <w:pgSz w:w="11880" w:h="15480" w:orient="portrait"/>
          <w:cols w:equalWidth="0" w:num="1">
            <w:col w:w="10200"/>
          </w:cols>
          <w:pgMar w:left="820" w:top="22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1E1E1E"/>
        </w:rPr>
        <w:t>62</w:t>
      </w:r>
    </w:p>
    <w:p>
      <w:pPr>
        <w:sectPr>
          <w:pgSz w:w="11880" w:h="15480" w:orient="portrait"/>
          <w:cols w:equalWidth="0" w:num="1">
            <w:col w:w="10200"/>
          </w:cols>
          <w:pgMar w:left="820" w:top="226" w:right="860" w:bottom="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1E1E1E"/>
        </w:rPr>
        <w:t>DULUTH HOLDINGS INC.</w:t>
      </w:r>
    </w:p>
    <w:p>
      <w:pPr>
        <w:jc w:val="center"/>
        <w:ind w:right="-199"/>
        <w:spacing w:after="0"/>
        <w:rPr>
          <w:sz w:val="20"/>
          <w:szCs w:val="20"/>
          <w:color w:val="auto"/>
        </w:rPr>
      </w:pPr>
      <w:r>
        <w:rPr>
          <w:rFonts w:ascii="Times New Roman" w:cs="Times New Roman" w:eastAsia="Times New Roman" w:hAnsi="Times New Roman"/>
          <w:sz w:val="20"/>
          <w:szCs w:val="20"/>
          <w:b w:val="1"/>
          <w:bCs w:val="1"/>
          <w:color w:val="1E1E1E"/>
        </w:rPr>
        <w:t>SCHEDULE II</w:t>
      </w:r>
    </w:p>
    <w:p>
      <w:pPr>
        <w:jc w:val="center"/>
        <w:spacing w:after="0"/>
        <w:rPr>
          <w:sz w:val="20"/>
          <w:szCs w:val="20"/>
          <w:color w:val="auto"/>
        </w:rPr>
      </w:pPr>
      <w:r>
        <w:rPr>
          <w:rFonts w:ascii="Times New Roman" w:cs="Times New Roman" w:eastAsia="Times New Roman" w:hAnsi="Times New Roman"/>
          <w:sz w:val="20"/>
          <w:szCs w:val="20"/>
          <w:b w:val="1"/>
          <w:bCs w:val="1"/>
          <w:color w:val="1E1E1E"/>
        </w:rPr>
        <w:t>VALUATION AND QUALIFYING ACCOUNTS</w:t>
      </w:r>
    </w:p>
    <w:p>
      <w:pPr>
        <w:jc w:val="center"/>
        <w:spacing w:after="0"/>
        <w:rPr>
          <w:sz w:val="20"/>
          <w:szCs w:val="20"/>
          <w:color w:val="auto"/>
        </w:rPr>
      </w:pPr>
      <w:r>
        <w:rPr>
          <w:rFonts w:ascii="Times New Roman" w:cs="Times New Roman" w:eastAsia="Times New Roman" w:hAnsi="Times New Roman"/>
          <w:sz w:val="20"/>
          <w:szCs w:val="20"/>
          <w:b w:val="1"/>
          <w:bCs w:val="1"/>
          <w:color w:val="1E1E1E"/>
        </w:rPr>
        <w:t>For the Years Ended February 2, 2025 and January 28, 2024</w:t>
      </w:r>
    </w:p>
    <w:p>
      <w:pPr>
        <w:jc w:val="center"/>
        <w:spacing w:after="0"/>
        <w:rPr>
          <w:sz w:val="20"/>
          <w:szCs w:val="20"/>
          <w:color w:val="auto"/>
        </w:rPr>
      </w:pPr>
      <w:r>
        <w:rPr>
          <w:rFonts w:ascii="Times New Roman" w:cs="Times New Roman" w:eastAsia="Times New Roman" w:hAnsi="Times New Roman"/>
          <w:sz w:val="20"/>
          <w:szCs w:val="20"/>
          <w:b w:val="1"/>
          <w:bCs w:val="1"/>
          <w:color w:val="1E1E1E"/>
        </w:rPr>
        <w:t>(Amounts in thousands)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1E1E1E"/>
              </w:rPr>
              <w:t>Charged to</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1E1E1E"/>
                <w:w w:val="98"/>
              </w:rPr>
              <w:t>Charged to</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6"/>
        </w:trPr>
        <w:tc>
          <w:tcPr>
            <w:tcW w:w="2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226"/>
              <w:spacing w:after="0"/>
              <w:rPr>
                <w:sz w:val="20"/>
                <w:szCs w:val="20"/>
                <w:color w:val="auto"/>
              </w:rPr>
            </w:pPr>
            <w:r>
              <w:rPr>
                <w:rFonts w:ascii="Times New Roman" w:cs="Times New Roman" w:eastAsia="Times New Roman" w:hAnsi="Times New Roman"/>
                <w:sz w:val="16"/>
                <w:szCs w:val="16"/>
                <w:b w:val="1"/>
                <w:bCs w:val="1"/>
                <w:color w:val="1E1E1E"/>
              </w:rPr>
              <w:t>Beginning</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1E1E1E"/>
              </w:rPr>
              <w:t>Cost and</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1E1E1E"/>
                <w:w w:val="97"/>
              </w:rPr>
              <w:t>Other</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306"/>
              <w:spacing w:after="0"/>
              <w:rPr>
                <w:sz w:val="20"/>
                <w:szCs w:val="20"/>
                <w:color w:val="auto"/>
              </w:rPr>
            </w:pPr>
            <w:r>
              <w:rPr>
                <w:rFonts w:ascii="Times New Roman" w:cs="Times New Roman" w:eastAsia="Times New Roman" w:hAnsi="Times New Roman"/>
                <w:sz w:val="16"/>
                <w:szCs w:val="16"/>
                <w:b w:val="1"/>
                <w:bCs w:val="1"/>
                <w:color w:val="1E1E1E"/>
              </w:rPr>
              <w:t>Ending</w:t>
            </w:r>
          </w:p>
        </w:tc>
      </w:tr>
      <w:tr>
        <w:trPr>
          <w:trHeight w:val="209"/>
        </w:trPr>
        <w:tc>
          <w:tcPr>
            <w:tcW w:w="2800" w:type="dxa"/>
            <w:vAlign w:val="bottom"/>
            <w:tcBorders>
              <w:bottom w:val="single" w:sz="8" w:color="E2E2E2"/>
            </w:tcBorders>
          </w:tcPr>
          <w:p>
            <w:pPr>
              <w:spacing w:after="0"/>
              <w:rPr>
                <w:sz w:val="18"/>
                <w:szCs w:val="18"/>
                <w:color w:val="auto"/>
              </w:rPr>
            </w:pPr>
          </w:p>
        </w:tc>
        <w:tc>
          <w:tcPr>
            <w:tcW w:w="180" w:type="dxa"/>
            <w:vAlign w:val="bottom"/>
            <w:tcBorders>
              <w:bottom w:val="single" w:sz="8" w:color="E2E2E2"/>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right"/>
              <w:ind w:right="286"/>
              <w:spacing w:after="0"/>
              <w:rPr>
                <w:sz w:val="20"/>
                <w:szCs w:val="20"/>
                <w:color w:val="auto"/>
              </w:rPr>
            </w:pPr>
            <w:r>
              <w:rPr>
                <w:rFonts w:ascii="Times New Roman" w:cs="Times New Roman" w:eastAsia="Times New Roman" w:hAnsi="Times New Roman"/>
                <w:sz w:val="16"/>
                <w:szCs w:val="16"/>
                <w:b w:val="1"/>
                <w:bCs w:val="1"/>
                <w:color w:val="1E1E1E"/>
              </w:rPr>
              <w:t>Balance</w:t>
            </w:r>
          </w:p>
        </w:tc>
        <w:tc>
          <w:tcPr>
            <w:tcW w:w="180" w:type="dxa"/>
            <w:vAlign w:val="bottom"/>
            <w:tcBorders>
              <w:bottom w:val="single" w:sz="8" w:color="E2E2E2"/>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1120" w:type="dxa"/>
            <w:vAlign w:val="bottom"/>
            <w:tcBorders>
              <w:bottom w:val="single" w:sz="8" w:color="1E1E1E"/>
            </w:tcBorders>
          </w:tcPr>
          <w:p>
            <w:pPr>
              <w:jc w:val="center"/>
              <w:ind w:right="88"/>
              <w:spacing w:after="0"/>
              <w:rPr>
                <w:sz w:val="20"/>
                <w:szCs w:val="20"/>
                <w:color w:val="auto"/>
              </w:rPr>
            </w:pPr>
            <w:r>
              <w:rPr>
                <w:rFonts w:ascii="Times New Roman" w:cs="Times New Roman" w:eastAsia="Times New Roman" w:hAnsi="Times New Roman"/>
                <w:sz w:val="16"/>
                <w:szCs w:val="16"/>
                <w:b w:val="1"/>
                <w:bCs w:val="1"/>
                <w:color w:val="1E1E1E"/>
                <w:w w:val="98"/>
              </w:rPr>
              <w:t>Expenses</w:t>
            </w:r>
          </w:p>
        </w:tc>
        <w:tc>
          <w:tcPr>
            <w:tcW w:w="180" w:type="dxa"/>
            <w:vAlign w:val="bottom"/>
            <w:tcBorders>
              <w:bottom w:val="single" w:sz="8" w:color="E2E2E2"/>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120" w:type="dxa"/>
            <w:vAlign w:val="bottom"/>
            <w:tcBorders>
              <w:bottom w:val="single" w:sz="8" w:color="1E1E1E"/>
            </w:tcBorders>
          </w:tcPr>
          <w:p>
            <w:pPr>
              <w:jc w:val="center"/>
              <w:ind w:right="108"/>
              <w:spacing w:after="0"/>
              <w:rPr>
                <w:sz w:val="20"/>
                <w:szCs w:val="20"/>
                <w:color w:val="auto"/>
              </w:rPr>
            </w:pPr>
            <w:r>
              <w:rPr>
                <w:rFonts w:ascii="Times New Roman" w:cs="Times New Roman" w:eastAsia="Times New Roman" w:hAnsi="Times New Roman"/>
                <w:sz w:val="16"/>
                <w:szCs w:val="16"/>
                <w:b w:val="1"/>
                <w:bCs w:val="1"/>
                <w:color w:val="1E1E1E"/>
              </w:rPr>
              <w:t>Accounts</w:t>
            </w:r>
          </w:p>
        </w:tc>
        <w:tc>
          <w:tcPr>
            <w:tcW w:w="180" w:type="dxa"/>
            <w:vAlign w:val="bottom"/>
            <w:tcBorders>
              <w:bottom w:val="single" w:sz="8" w:color="E2E2E2"/>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1120" w:type="dxa"/>
            <w:vAlign w:val="bottom"/>
            <w:tcBorders>
              <w:bottom w:val="single" w:sz="8" w:color="1E1E1E"/>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1E1E1E"/>
              </w:rPr>
              <w:t>Deductions</w:t>
            </w:r>
          </w:p>
        </w:tc>
        <w:tc>
          <w:tcPr>
            <w:tcW w:w="180" w:type="dxa"/>
            <w:vAlign w:val="bottom"/>
            <w:tcBorders>
              <w:bottom w:val="single" w:sz="8" w:color="E2E2E2"/>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1120" w:type="dxa"/>
            <w:vAlign w:val="bottom"/>
            <w:tcBorders>
              <w:bottom w:val="single" w:sz="8" w:color="1E1E1E"/>
            </w:tcBorders>
          </w:tcPr>
          <w:p>
            <w:pPr>
              <w:jc w:val="right"/>
              <w:ind w:right="286"/>
              <w:spacing w:after="0"/>
              <w:rPr>
                <w:sz w:val="20"/>
                <w:szCs w:val="20"/>
                <w:color w:val="auto"/>
              </w:rPr>
            </w:pPr>
            <w:r>
              <w:rPr>
                <w:rFonts w:ascii="Times New Roman" w:cs="Times New Roman" w:eastAsia="Times New Roman" w:hAnsi="Times New Roman"/>
                <w:sz w:val="16"/>
                <w:szCs w:val="16"/>
                <w:b w:val="1"/>
                <w:bCs w:val="1"/>
                <w:color w:val="1E1E1E"/>
              </w:rPr>
              <w:t>Balance</w:t>
            </w:r>
          </w:p>
        </w:tc>
      </w:tr>
      <w:tr>
        <w:trPr>
          <w:trHeight w:val="206"/>
        </w:trPr>
        <w:tc>
          <w:tcPr>
            <w:tcW w:w="2800" w:type="dxa"/>
            <w:vAlign w:val="bottom"/>
            <w:shd w:val="clear" w:color="auto" w:fill="E2E2E2"/>
          </w:tcPr>
          <w:p>
            <w:pPr>
              <w:spacing w:after="0" w:line="206" w:lineRule="exact"/>
              <w:rPr>
                <w:sz w:val="20"/>
                <w:szCs w:val="20"/>
                <w:color w:val="auto"/>
              </w:rPr>
            </w:pPr>
            <w:r>
              <w:rPr>
                <w:rFonts w:ascii="Times New Roman" w:cs="Times New Roman" w:eastAsia="Times New Roman" w:hAnsi="Times New Roman"/>
                <w:sz w:val="20"/>
                <w:szCs w:val="20"/>
                <w:i w:val="1"/>
                <w:iCs w:val="1"/>
                <w:color w:val="1E1E1E"/>
              </w:rPr>
              <w:t>Inventory reserve</w:t>
            </w:r>
          </w:p>
        </w:tc>
        <w:tc>
          <w:tcPr>
            <w:tcW w:w="180" w:type="dxa"/>
            <w:vAlign w:val="bottom"/>
            <w:shd w:val="clear" w:color="auto" w:fill="E2E2E2"/>
          </w:tcPr>
          <w:p>
            <w:pPr>
              <w:spacing w:after="0"/>
              <w:rPr>
                <w:sz w:val="17"/>
                <w:szCs w:val="17"/>
                <w:color w:val="auto"/>
              </w:rPr>
            </w:pPr>
          </w:p>
        </w:tc>
        <w:tc>
          <w:tcPr>
            <w:tcW w:w="220" w:type="dxa"/>
            <w:vAlign w:val="bottom"/>
            <w:shd w:val="clear" w:color="auto" w:fill="E2E2E2"/>
          </w:tcPr>
          <w:p>
            <w:pPr>
              <w:spacing w:after="0"/>
              <w:rPr>
                <w:sz w:val="17"/>
                <w:szCs w:val="17"/>
                <w:color w:val="auto"/>
              </w:rPr>
            </w:pPr>
          </w:p>
        </w:tc>
        <w:tc>
          <w:tcPr>
            <w:tcW w:w="110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12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200" w:type="dxa"/>
            <w:vAlign w:val="bottom"/>
            <w:shd w:val="clear" w:color="auto" w:fill="E2E2E2"/>
          </w:tcPr>
          <w:p>
            <w:pPr>
              <w:spacing w:after="0"/>
              <w:rPr>
                <w:sz w:val="17"/>
                <w:szCs w:val="17"/>
                <w:color w:val="auto"/>
              </w:rPr>
            </w:pPr>
          </w:p>
        </w:tc>
        <w:tc>
          <w:tcPr>
            <w:tcW w:w="112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12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80" w:type="dxa"/>
            <w:vAlign w:val="bottom"/>
            <w:shd w:val="clear" w:color="auto" w:fill="E2E2E2"/>
          </w:tcPr>
          <w:p>
            <w:pPr>
              <w:spacing w:after="0"/>
              <w:rPr>
                <w:sz w:val="17"/>
                <w:szCs w:val="17"/>
                <w:color w:val="auto"/>
              </w:rPr>
            </w:pPr>
          </w:p>
        </w:tc>
        <w:tc>
          <w:tcPr>
            <w:tcW w:w="1120" w:type="dxa"/>
            <w:vAlign w:val="bottom"/>
            <w:shd w:val="clear" w:color="auto" w:fill="E2E2E2"/>
          </w:tcPr>
          <w:p>
            <w:pPr>
              <w:spacing w:after="0"/>
              <w:rPr>
                <w:sz w:val="17"/>
                <w:szCs w:val="17"/>
                <w:color w:val="auto"/>
              </w:rPr>
            </w:pPr>
          </w:p>
        </w:tc>
      </w:tr>
      <w:tr>
        <w:trPr>
          <w:trHeight w:val="226"/>
        </w:trPr>
        <w:tc>
          <w:tcPr>
            <w:tcW w:w="280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1E1E1E"/>
              </w:rPr>
              <w:t>Year ended February 2, 2025</w:t>
            </w:r>
          </w:p>
        </w:tc>
        <w:tc>
          <w:tcPr>
            <w:tcW w:w="40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1,361</w:t>
            </w:r>
          </w:p>
        </w:tc>
        <w:tc>
          <w:tcPr>
            <w:tcW w:w="36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774</w:t>
            </w:r>
          </w:p>
        </w:tc>
        <w:tc>
          <w:tcPr>
            <w:tcW w:w="380" w:type="dxa"/>
            <w:vAlign w:val="bottom"/>
            <w:gridSpan w:val="2"/>
          </w:tcPr>
          <w:p>
            <w:pPr>
              <w:jc w:val="right"/>
              <w:ind w:right="100"/>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ind w:left="840"/>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360" w:type="dxa"/>
            <w:vAlign w:val="bottom"/>
            <w:gridSpan w:val="2"/>
          </w:tcPr>
          <w:p>
            <w:pPr>
              <w:jc w:val="right"/>
              <w:ind w:right="80"/>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360" w:type="dxa"/>
            <w:vAlign w:val="bottom"/>
            <w:gridSpan w:val="2"/>
          </w:tcPr>
          <w:p>
            <w:pPr>
              <w:jc w:val="right"/>
              <w:ind w:right="80"/>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2,135</w:t>
            </w:r>
          </w:p>
        </w:tc>
      </w:tr>
      <w:tr>
        <w:trPr>
          <w:trHeight w:val="226"/>
        </w:trPr>
        <w:tc>
          <w:tcPr>
            <w:tcW w:w="2800" w:type="dxa"/>
            <w:vAlign w:val="bottom"/>
            <w:shd w:val="clear" w:color="auto" w:fill="E2E2E2"/>
          </w:tcPr>
          <w:p>
            <w:pPr>
              <w:ind w:left="120"/>
              <w:spacing w:after="0" w:line="226" w:lineRule="exact"/>
              <w:rPr>
                <w:sz w:val="20"/>
                <w:szCs w:val="20"/>
                <w:color w:val="auto"/>
              </w:rPr>
            </w:pPr>
            <w:r>
              <w:rPr>
                <w:rFonts w:ascii="Times New Roman" w:cs="Times New Roman" w:eastAsia="Times New Roman" w:hAnsi="Times New Roman"/>
                <w:sz w:val="20"/>
                <w:szCs w:val="20"/>
                <w:color w:val="1E1E1E"/>
              </w:rPr>
              <w:t>Year ended January 28, 2024</w:t>
            </w:r>
          </w:p>
        </w:tc>
        <w:tc>
          <w:tcPr>
            <w:tcW w:w="180" w:type="dxa"/>
            <w:vAlign w:val="bottom"/>
            <w:shd w:val="clear" w:color="auto" w:fill="E2E2E2"/>
          </w:tcPr>
          <w:p>
            <w:pPr>
              <w:spacing w:after="0"/>
              <w:rPr>
                <w:sz w:val="19"/>
                <w:szCs w:val="19"/>
                <w:color w:val="auto"/>
              </w:rPr>
            </w:pPr>
          </w:p>
        </w:tc>
        <w:tc>
          <w:tcPr>
            <w:tcW w:w="220" w:type="dxa"/>
            <w:vAlign w:val="bottom"/>
            <w:shd w:val="clear" w:color="auto" w:fill="E2E2E2"/>
          </w:tcPr>
          <w:p>
            <w:pPr>
              <w:spacing w:after="0"/>
              <w:rPr>
                <w:sz w:val="19"/>
                <w:szCs w:val="19"/>
                <w:color w:val="auto"/>
              </w:rPr>
            </w:pPr>
          </w:p>
        </w:tc>
        <w:tc>
          <w:tcPr>
            <w:tcW w:w="110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1,837</w:t>
            </w:r>
          </w:p>
        </w:tc>
        <w:tc>
          <w:tcPr>
            <w:tcW w:w="180" w:type="dxa"/>
            <w:vAlign w:val="bottom"/>
            <w:shd w:val="clear" w:color="auto" w:fill="E2E2E2"/>
          </w:tcPr>
          <w:p>
            <w:pPr>
              <w:spacing w:after="0"/>
              <w:rPr>
                <w:sz w:val="19"/>
                <w:szCs w:val="19"/>
                <w:color w:val="auto"/>
              </w:rPr>
            </w:pPr>
          </w:p>
        </w:tc>
        <w:tc>
          <w:tcPr>
            <w:tcW w:w="18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w w:val="79"/>
                <w:shd w:val="clear" w:color="auto" w:fill="E2E2E2"/>
              </w:rPr>
              <w:t>$</w:t>
            </w:r>
          </w:p>
        </w:tc>
        <w:tc>
          <w:tcPr>
            <w:tcW w:w="112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380" w:type="dxa"/>
            <w:vAlign w:val="bottom"/>
            <w:gridSpan w:val="2"/>
            <w:shd w:val="clear" w:color="auto" w:fill="E2E2E2"/>
          </w:tcPr>
          <w:p>
            <w:pPr>
              <w:jc w:val="right"/>
              <w:ind w:right="100"/>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ind w:left="840"/>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360" w:type="dxa"/>
            <w:vAlign w:val="bottom"/>
            <w:gridSpan w:val="2"/>
            <w:shd w:val="clear" w:color="auto" w:fill="E2E2E2"/>
          </w:tcPr>
          <w:p>
            <w:pPr>
              <w:jc w:val="right"/>
              <w:ind w:right="80"/>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(476)</w:t>
            </w:r>
          </w:p>
        </w:tc>
        <w:tc>
          <w:tcPr>
            <w:tcW w:w="360" w:type="dxa"/>
            <w:vAlign w:val="bottom"/>
            <w:gridSpan w:val="2"/>
            <w:shd w:val="clear" w:color="auto" w:fill="E2E2E2"/>
          </w:tcPr>
          <w:p>
            <w:pPr>
              <w:jc w:val="right"/>
              <w:ind w:right="80"/>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1,361</w:t>
            </w:r>
          </w:p>
        </w:tc>
      </w:tr>
      <w:tr>
        <w:trPr>
          <w:trHeight w:val="226"/>
        </w:trPr>
        <w:tc>
          <w:tcPr>
            <w:tcW w:w="2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1"/>
        </w:trPr>
        <w:tc>
          <w:tcPr>
            <w:tcW w:w="2800" w:type="dxa"/>
            <w:vAlign w:val="bottom"/>
            <w:shd w:val="clear" w:color="auto" w:fill="E2E2E2"/>
          </w:tcPr>
          <w:p>
            <w:pPr>
              <w:spacing w:after="0" w:line="221" w:lineRule="exact"/>
              <w:rPr>
                <w:sz w:val="20"/>
                <w:szCs w:val="20"/>
                <w:color w:val="auto"/>
              </w:rPr>
            </w:pPr>
            <w:r>
              <w:rPr>
                <w:rFonts w:ascii="Times New Roman" w:cs="Times New Roman" w:eastAsia="Times New Roman" w:hAnsi="Times New Roman"/>
                <w:sz w:val="20"/>
                <w:szCs w:val="20"/>
                <w:i w:val="1"/>
                <w:iCs w:val="1"/>
                <w:color w:val="1E1E1E"/>
              </w:rPr>
              <w:t>Product returns reserve</w:t>
            </w:r>
          </w:p>
        </w:tc>
        <w:tc>
          <w:tcPr>
            <w:tcW w:w="180" w:type="dxa"/>
            <w:vAlign w:val="bottom"/>
            <w:shd w:val="clear" w:color="auto" w:fill="E2E2E2"/>
          </w:tcPr>
          <w:p>
            <w:pPr>
              <w:spacing w:after="0"/>
              <w:rPr>
                <w:sz w:val="19"/>
                <w:szCs w:val="19"/>
                <w:color w:val="auto"/>
              </w:rPr>
            </w:pPr>
          </w:p>
        </w:tc>
        <w:tc>
          <w:tcPr>
            <w:tcW w:w="220" w:type="dxa"/>
            <w:vAlign w:val="bottom"/>
            <w:shd w:val="clear" w:color="auto" w:fill="E2E2E2"/>
          </w:tcPr>
          <w:p>
            <w:pPr>
              <w:spacing w:after="0"/>
              <w:rPr>
                <w:sz w:val="19"/>
                <w:szCs w:val="19"/>
                <w:color w:val="auto"/>
              </w:rPr>
            </w:pPr>
          </w:p>
        </w:tc>
        <w:tc>
          <w:tcPr>
            <w:tcW w:w="110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12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112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12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120" w:type="dxa"/>
            <w:vAlign w:val="bottom"/>
            <w:shd w:val="clear" w:color="auto" w:fill="E2E2E2"/>
          </w:tcPr>
          <w:p>
            <w:pPr>
              <w:spacing w:after="0"/>
              <w:rPr>
                <w:sz w:val="19"/>
                <w:szCs w:val="19"/>
                <w:color w:val="auto"/>
              </w:rPr>
            </w:pPr>
          </w:p>
        </w:tc>
      </w:tr>
      <w:tr>
        <w:trPr>
          <w:trHeight w:val="226"/>
        </w:trPr>
        <w:tc>
          <w:tcPr>
            <w:tcW w:w="280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1E1E1E"/>
              </w:rPr>
              <w:t>Year ended February 2, 2025</w:t>
            </w:r>
          </w:p>
        </w:tc>
        <w:tc>
          <w:tcPr>
            <w:tcW w:w="40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5,541</w:t>
            </w:r>
          </w:p>
        </w:tc>
        <w:tc>
          <w:tcPr>
            <w:tcW w:w="36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380" w:type="dxa"/>
            <w:vAlign w:val="bottom"/>
            <w:gridSpan w:val="2"/>
          </w:tcPr>
          <w:p>
            <w:pPr>
              <w:jc w:val="right"/>
              <w:ind w:right="100"/>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ind w:left="840"/>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360" w:type="dxa"/>
            <w:vAlign w:val="bottom"/>
            <w:gridSpan w:val="2"/>
          </w:tcPr>
          <w:p>
            <w:pPr>
              <w:jc w:val="right"/>
              <w:ind w:right="80"/>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(973)</w:t>
            </w:r>
          </w:p>
        </w:tc>
        <w:tc>
          <w:tcPr>
            <w:tcW w:w="360" w:type="dxa"/>
            <w:vAlign w:val="bottom"/>
            <w:gridSpan w:val="2"/>
          </w:tcPr>
          <w:p>
            <w:pPr>
              <w:jc w:val="right"/>
              <w:ind w:right="80"/>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4,568</w:t>
            </w:r>
          </w:p>
        </w:tc>
      </w:tr>
      <w:tr>
        <w:trPr>
          <w:trHeight w:val="226"/>
        </w:trPr>
        <w:tc>
          <w:tcPr>
            <w:tcW w:w="2800" w:type="dxa"/>
            <w:vAlign w:val="bottom"/>
            <w:shd w:val="clear" w:color="auto" w:fill="E2E2E2"/>
          </w:tcPr>
          <w:p>
            <w:pPr>
              <w:ind w:left="120"/>
              <w:spacing w:after="0" w:line="226" w:lineRule="exact"/>
              <w:rPr>
                <w:sz w:val="20"/>
                <w:szCs w:val="20"/>
                <w:color w:val="auto"/>
              </w:rPr>
            </w:pPr>
            <w:r>
              <w:rPr>
                <w:rFonts w:ascii="Times New Roman" w:cs="Times New Roman" w:eastAsia="Times New Roman" w:hAnsi="Times New Roman"/>
                <w:sz w:val="20"/>
                <w:szCs w:val="20"/>
                <w:color w:val="1E1E1E"/>
              </w:rPr>
              <w:t>Year ended January 28, 2024</w:t>
            </w:r>
          </w:p>
        </w:tc>
        <w:tc>
          <w:tcPr>
            <w:tcW w:w="180" w:type="dxa"/>
            <w:vAlign w:val="bottom"/>
            <w:shd w:val="clear" w:color="auto" w:fill="E2E2E2"/>
          </w:tcPr>
          <w:p>
            <w:pPr>
              <w:spacing w:after="0"/>
              <w:rPr>
                <w:sz w:val="19"/>
                <w:szCs w:val="19"/>
                <w:color w:val="auto"/>
              </w:rPr>
            </w:pPr>
          </w:p>
        </w:tc>
        <w:tc>
          <w:tcPr>
            <w:tcW w:w="220" w:type="dxa"/>
            <w:vAlign w:val="bottom"/>
            <w:shd w:val="clear" w:color="auto" w:fill="E2E2E2"/>
          </w:tcPr>
          <w:p>
            <w:pPr>
              <w:spacing w:after="0"/>
              <w:rPr>
                <w:sz w:val="19"/>
                <w:szCs w:val="19"/>
                <w:color w:val="auto"/>
              </w:rPr>
            </w:pPr>
          </w:p>
        </w:tc>
        <w:tc>
          <w:tcPr>
            <w:tcW w:w="110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5,168</w:t>
            </w:r>
          </w:p>
        </w:tc>
        <w:tc>
          <w:tcPr>
            <w:tcW w:w="360" w:type="dxa"/>
            <w:vAlign w:val="bottom"/>
            <w:gridSpan w:val="2"/>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373</w:t>
            </w:r>
          </w:p>
        </w:tc>
        <w:tc>
          <w:tcPr>
            <w:tcW w:w="380" w:type="dxa"/>
            <w:vAlign w:val="bottom"/>
            <w:gridSpan w:val="2"/>
            <w:shd w:val="clear" w:color="auto" w:fill="E2E2E2"/>
          </w:tcPr>
          <w:p>
            <w:pPr>
              <w:jc w:val="right"/>
              <w:ind w:right="100"/>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ind w:left="840"/>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360" w:type="dxa"/>
            <w:vAlign w:val="bottom"/>
            <w:gridSpan w:val="2"/>
            <w:shd w:val="clear" w:color="auto" w:fill="E2E2E2"/>
          </w:tcPr>
          <w:p>
            <w:pPr>
              <w:jc w:val="right"/>
              <w:ind w:right="80"/>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360" w:type="dxa"/>
            <w:vAlign w:val="bottom"/>
            <w:gridSpan w:val="2"/>
            <w:shd w:val="clear" w:color="auto" w:fill="E2E2E2"/>
          </w:tcPr>
          <w:p>
            <w:pPr>
              <w:jc w:val="right"/>
              <w:ind w:right="80"/>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line="226" w:lineRule="exact"/>
              <w:rPr>
                <w:sz w:val="20"/>
                <w:szCs w:val="20"/>
                <w:color w:val="auto"/>
              </w:rPr>
            </w:pPr>
            <w:r>
              <w:rPr>
                <w:rFonts w:ascii="Times New Roman" w:cs="Times New Roman" w:eastAsia="Times New Roman" w:hAnsi="Times New Roman"/>
                <w:sz w:val="20"/>
                <w:szCs w:val="20"/>
                <w:color w:val="1E1E1E"/>
              </w:rPr>
              <w:t>5,541</w:t>
            </w:r>
          </w:p>
        </w:tc>
      </w:tr>
    </w:tbl>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See accompanying Report of Independent Registered Public Accounting Firm.</w:t>
      </w:r>
    </w:p>
    <w:p>
      <w:pPr>
        <w:sectPr>
          <w:pgSz w:w="11880" w:h="15480" w:orient="portrait"/>
          <w:cols w:equalWidth="0" w:num="1">
            <w:col w:w="10240"/>
          </w:cols>
          <w:pgMar w:left="820" w:top="65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63</w:t>
      </w:r>
    </w:p>
    <w:p>
      <w:pPr>
        <w:sectPr>
          <w:pgSz w:w="11880" w:h="15480" w:orient="portrait"/>
          <w:cols w:equalWidth="0" w:num="1">
            <w:col w:w="10240"/>
          </w:cols>
          <w:pgMar w:left="820" w:top="658" w:right="820" w:bottom="0" w:gutter="0" w:footer="0" w:header="0"/>
          <w:type w:val="continuous"/>
        </w:sectPr>
      </w:pPr>
    </w:p>
    <w:bookmarkStart w:id="69" w:name="page70"/>
    <w:bookmarkEnd w:id="69"/>
    <w:p>
      <w:pPr>
        <w:ind w:left="1180" w:hanging="1122"/>
        <w:spacing w:after="0" w:line="281" w:lineRule="auto"/>
        <w:tabs>
          <w:tab w:leader="none" w:pos="1160" w:val="left"/>
        </w:tabs>
        <w:rPr>
          <w:sz w:val="20"/>
          <w:szCs w:val="20"/>
          <w:color w:val="auto"/>
        </w:rPr>
      </w:pPr>
      <w:r>
        <w:rPr>
          <w:rFonts w:ascii="Times New Roman" w:cs="Times New Roman" w:eastAsia="Times New Roman" w:hAnsi="Times New Roman"/>
          <w:sz w:val="20"/>
          <w:szCs w:val="20"/>
          <w:color w:val="1E1E1E"/>
        </w:rPr>
        <w:t>ITEM 9.</w:t>
      </w:r>
      <w:r>
        <w:rPr>
          <w:sz w:val="20"/>
          <w:szCs w:val="20"/>
          <w:color w:val="auto"/>
        </w:rPr>
        <w:tab/>
      </w:r>
      <w:r>
        <w:rPr>
          <w:rFonts w:ascii="Times New Roman" w:cs="Times New Roman" w:eastAsia="Times New Roman" w:hAnsi="Times New Roman"/>
          <w:sz w:val="20"/>
          <w:szCs w:val="20"/>
          <w:color w:val="1E1E1E"/>
        </w:rPr>
        <w:t>CHANGES IN AND DISAGREEMENTS WITH ACCOUNTANTS ON ACCOUNTING AND FINANCIAL DISCLOSURE</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E1E1E"/>
        </w:rPr>
        <w:t>None.</w:t>
      </w:r>
    </w:p>
    <w:p>
      <w:pPr>
        <w:spacing w:after="0" w:line="200" w:lineRule="exact"/>
        <w:rPr>
          <w:sz w:val="20"/>
          <w:szCs w:val="20"/>
          <w:color w:val="auto"/>
        </w:rPr>
      </w:pPr>
    </w:p>
    <w:p>
      <w:pPr>
        <w:spacing w:after="0" w:line="25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color w:val="1E1E1E"/>
        </w:rPr>
        <w:t>ITEM 9A.</w:t>
      </w:r>
      <w:r>
        <w:rPr>
          <w:sz w:val="20"/>
          <w:szCs w:val="20"/>
          <w:color w:val="auto"/>
        </w:rPr>
        <w:tab/>
      </w:r>
      <w:r>
        <w:rPr>
          <w:rFonts w:ascii="Times New Roman" w:cs="Times New Roman" w:eastAsia="Times New Roman" w:hAnsi="Times New Roman"/>
          <w:sz w:val="19"/>
          <w:szCs w:val="19"/>
          <w:color w:val="1E1E1E"/>
        </w:rPr>
        <w:t>CONTROLS AND PROCEDURES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Evaluation of Disclosure Controls and Procedures</w:t>
      </w:r>
    </w:p>
    <w:p>
      <w:pPr>
        <w:spacing w:after="0" w:line="181" w:lineRule="exact"/>
        <w:rPr>
          <w:sz w:val="20"/>
          <w:szCs w:val="20"/>
          <w:color w:val="auto"/>
        </w:rPr>
      </w:pPr>
    </w:p>
    <w:p>
      <w:pPr>
        <w:ind w:right="80" w:firstLine="721"/>
        <w:spacing w:after="0" w:line="245" w:lineRule="auto"/>
        <w:rPr>
          <w:sz w:val="20"/>
          <w:szCs w:val="20"/>
          <w:color w:val="auto"/>
        </w:rPr>
      </w:pPr>
      <w:r>
        <w:rPr>
          <w:rFonts w:ascii="Times New Roman" w:cs="Times New Roman" w:eastAsia="Times New Roman" w:hAnsi="Times New Roman"/>
          <w:sz w:val="20"/>
          <w:szCs w:val="20"/>
          <w:color w:val="1E1E1E"/>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The Company carried out an evaluation, under the supervision of and with the participation of our management, including our Chief Executive Officer and Chief Financial Officer, of the effectiveness of the design and operation of our disclosure controls and procedures at the reasonable assurance level pursuant to Rule 13a-15 of the Exchange Act. Based on this evaluation, our Chief Executive Officer and Chief Financial Officer have concluded that, as of such date, our disclosure controls and procedures were effective at the reasonable assurance level.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Management’s Annual Report on Internal Control over Financial Reporting</w:t>
      </w:r>
    </w:p>
    <w:p>
      <w:pPr>
        <w:spacing w:after="0" w:line="176" w:lineRule="exact"/>
        <w:rPr>
          <w:sz w:val="20"/>
          <w:szCs w:val="20"/>
          <w:color w:val="auto"/>
        </w:rPr>
      </w:pPr>
    </w:p>
    <w:p>
      <w:pPr>
        <w:ind w:right="60" w:firstLine="720"/>
        <w:spacing w:after="0" w:line="248" w:lineRule="auto"/>
        <w:rPr>
          <w:sz w:val="20"/>
          <w:szCs w:val="20"/>
          <w:color w:val="auto"/>
        </w:rPr>
      </w:pPr>
      <w:r>
        <w:rPr>
          <w:rFonts w:ascii="Times New Roman" w:cs="Times New Roman" w:eastAsia="Times New Roman" w:hAnsi="Times New Roman"/>
          <w:sz w:val="20"/>
          <w:szCs w:val="20"/>
          <w:color w:val="1E1E1E"/>
        </w:rPr>
        <w:t>Management is responsible for establishing and maintaining adequate internal control over financial reporting (as defined in Rules 13a-15(f) under the Exchange Act). Management assessed the effectiveness of its internal control over financial reporting as of February 2, 2025. In making this assessment, management used the criteria set forth by the Committee of Sponsoring Organizations of the Treadway Commission (“COSO”) in the Internal Control-Integrated Framework (2013), or the COSO Report. Based on this assessment, management concluded that our internal control over financial reporting is effective as of February 2, 2025.</w:t>
      </w:r>
    </w:p>
    <w:p>
      <w:pPr>
        <w:spacing w:after="0" w:line="134" w:lineRule="exact"/>
        <w:rPr>
          <w:sz w:val="20"/>
          <w:szCs w:val="20"/>
          <w:color w:val="auto"/>
        </w:rPr>
      </w:pPr>
    </w:p>
    <w:p>
      <w:pPr>
        <w:jc w:val="both"/>
        <w:ind w:right="180" w:firstLine="720"/>
        <w:spacing w:after="0" w:line="281" w:lineRule="auto"/>
        <w:rPr>
          <w:sz w:val="20"/>
          <w:szCs w:val="20"/>
          <w:color w:val="auto"/>
        </w:rPr>
      </w:pPr>
      <w:r>
        <w:rPr>
          <w:rFonts w:ascii="Times New Roman" w:cs="Times New Roman" w:eastAsia="Times New Roman" w:hAnsi="Times New Roman"/>
          <w:sz w:val="19"/>
          <w:szCs w:val="19"/>
          <w:color w:val="1E1E1E"/>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Changes in Internal Control Over Financial Reporting</w:t>
      </w:r>
    </w:p>
    <w:p>
      <w:pPr>
        <w:spacing w:after="0" w:line="229" w:lineRule="exact"/>
        <w:rPr>
          <w:sz w:val="20"/>
          <w:szCs w:val="20"/>
          <w:color w:val="auto"/>
        </w:rPr>
      </w:pPr>
    </w:p>
    <w:p>
      <w:pPr>
        <w:jc w:val="both"/>
        <w:ind w:right="40" w:firstLine="541"/>
        <w:spacing w:after="0" w:line="261" w:lineRule="auto"/>
        <w:rPr>
          <w:sz w:val="20"/>
          <w:szCs w:val="20"/>
          <w:color w:val="auto"/>
        </w:rPr>
      </w:pPr>
      <w:r>
        <w:rPr>
          <w:rFonts w:ascii="Times New Roman" w:cs="Times New Roman" w:eastAsia="Times New Roman" w:hAnsi="Times New Roman"/>
          <w:sz w:val="20"/>
          <w:szCs w:val="20"/>
          <w:color w:val="1E1E1E"/>
        </w:rPr>
        <w:t>There was no change in our internal control over financial reporting (as defined in Rules 13a-15(f) and 15d-15(f) under the Exchange Act), that occurred during the fiscal quarter ended February 2, 2025, that has materially affected, or is reasonable likely to materially affect, our internal control over financial reporting.</w:t>
      </w:r>
    </w:p>
    <w:p>
      <w:pPr>
        <w:spacing w:after="0" w:line="19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1E1E1E"/>
        </w:rPr>
        <w:t>ITEM 9B.</w:t>
      </w:r>
      <w:r>
        <w:rPr>
          <w:sz w:val="20"/>
          <w:szCs w:val="20"/>
          <w:color w:val="auto"/>
        </w:rPr>
        <w:tab/>
      </w:r>
      <w:r>
        <w:rPr>
          <w:rFonts w:ascii="Times New Roman" w:cs="Times New Roman" w:eastAsia="Times New Roman" w:hAnsi="Times New Roman"/>
          <w:sz w:val="20"/>
          <w:szCs w:val="20"/>
          <w:color w:val="1E1E1E"/>
        </w:rPr>
        <w:t>OTHER INFORMATION</w:t>
      </w:r>
    </w:p>
    <w:p>
      <w:pPr>
        <w:spacing w:after="0" w:line="274" w:lineRule="exact"/>
        <w:rPr>
          <w:sz w:val="20"/>
          <w:szCs w:val="20"/>
          <w:color w:val="auto"/>
        </w:rPr>
      </w:pPr>
    </w:p>
    <w:p>
      <w:pPr>
        <w:ind w:left="840" w:hanging="356"/>
        <w:spacing w:after="0"/>
        <w:tabs>
          <w:tab w:leader="none" w:pos="840" w:val="left"/>
        </w:tabs>
        <w:numPr>
          <w:ilvl w:val="0"/>
          <w:numId w:val="2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None.</w:t>
      </w:r>
    </w:p>
    <w:p>
      <w:pPr>
        <w:ind w:left="840" w:right="80" w:hanging="356"/>
        <w:spacing w:after="0" w:line="261" w:lineRule="auto"/>
        <w:tabs>
          <w:tab w:leader="none" w:pos="840" w:val="left"/>
        </w:tabs>
        <w:numPr>
          <w:ilvl w:val="0"/>
          <w:numId w:val="2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During the three months ended January 28, 2024, no director or Section 16 officer of the Company adopted or terminated a “Rule 10b5-1 trading arrangement” or “non-Rule 10b5-1 trading arrangement,” as each term is defined in Item 408(a) of Regulation S-K.</w:t>
      </w:r>
    </w:p>
    <w:p>
      <w:pPr>
        <w:spacing w:after="0" w:line="21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1E1E1E"/>
        </w:rPr>
        <w:t>ITEM 9C.</w:t>
      </w:r>
      <w:r>
        <w:rPr>
          <w:sz w:val="20"/>
          <w:szCs w:val="20"/>
          <w:color w:val="auto"/>
        </w:rPr>
        <w:tab/>
      </w:r>
      <w:r>
        <w:rPr>
          <w:rFonts w:ascii="Times New Roman" w:cs="Times New Roman" w:eastAsia="Times New Roman" w:hAnsi="Times New Roman"/>
          <w:sz w:val="20"/>
          <w:szCs w:val="20"/>
          <w:color w:val="1E1E1E"/>
        </w:rPr>
        <w:t>DISCLOSURE REGARDING FOREIGN JURISDICTIONS THAT PREVENT INSPECTIONS</w:t>
      </w:r>
    </w:p>
    <w:p>
      <w:pPr>
        <w:spacing w:after="0" w:line="200" w:lineRule="exact"/>
        <w:rPr>
          <w:sz w:val="20"/>
          <w:szCs w:val="20"/>
          <w:color w:val="auto"/>
        </w:rPr>
      </w:pPr>
    </w:p>
    <w:p>
      <w:pPr>
        <w:spacing w:after="0" w:line="2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E1E1E"/>
        </w:rPr>
        <w:t>Not applicable.</w:t>
      </w:r>
    </w:p>
    <w:p>
      <w:pPr>
        <w:spacing w:after="0" w:line="200" w:lineRule="exact"/>
        <w:rPr>
          <w:sz w:val="20"/>
          <w:szCs w:val="20"/>
          <w:color w:val="auto"/>
        </w:rPr>
      </w:pPr>
    </w:p>
    <w:p>
      <w:pPr>
        <w:spacing w:after="0" w:line="22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1E1E1E"/>
        </w:rPr>
        <w:t>PART III</w:t>
      </w:r>
    </w:p>
    <w:p>
      <w:pPr>
        <w:spacing w:after="0" w:line="21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1E1E1E"/>
        </w:rPr>
        <w:t>ITEM 10.</w:t>
      </w:r>
      <w:r>
        <w:rPr>
          <w:sz w:val="20"/>
          <w:szCs w:val="20"/>
          <w:color w:val="auto"/>
        </w:rPr>
        <w:tab/>
      </w:r>
      <w:r>
        <w:rPr>
          <w:rFonts w:ascii="Times New Roman" w:cs="Times New Roman" w:eastAsia="Times New Roman" w:hAnsi="Times New Roman"/>
          <w:sz w:val="19"/>
          <w:szCs w:val="19"/>
          <w:color w:val="1E1E1E"/>
        </w:rPr>
        <w:t>DIRECTORS, EXECUTIVE OFFICERS AND CORPORATE GOVERNANCE</w:t>
      </w:r>
    </w:p>
    <w:p>
      <w:pPr>
        <w:spacing w:after="0" w:line="25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Information required by this Item concerning our directors, audit committee, and audit committee financial experts, insider trading policy and compliance with Section 16(a) of the Exchange Act is incorporated by reference to information under the sections “Proposal One: Election of Directors,” “Executive Compensation—Insider Trading Policy” and “Delinquent Section 16(a) Reports” in our definitive proxy statement for our 2025 annual meeting of shareholders to be held on May 29, 2025 (the “Proxy Statement”). It is anticipated that our Proxy Statement will be filed with the Securities and Exchange Commission on or about April 11, 2025.</w:t>
      </w:r>
    </w:p>
    <w:p>
      <w:pPr>
        <w:sectPr>
          <w:pgSz w:w="11880" w:h="15480" w:orient="portrait"/>
          <w:cols w:equalWidth="0" w:num="1">
            <w:col w:w="10220"/>
          </w:cols>
          <w:pgMar w:left="820" w:top="704" w:right="840" w:bottom="0" w:gutter="0" w:footer="0" w:header="0"/>
        </w:sectPr>
      </w:pP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1E1E1E"/>
        </w:rPr>
        <w:t>64</w:t>
      </w:r>
    </w:p>
    <w:p>
      <w:pPr>
        <w:sectPr>
          <w:pgSz w:w="11880" w:h="15480" w:orient="portrait"/>
          <w:cols w:equalWidth="0" w:num="1">
            <w:col w:w="10220"/>
          </w:cols>
          <w:pgMar w:left="820" w:top="704" w:right="840" w:bottom="0" w:gutter="0" w:footer="0" w:header="0"/>
          <w:type w:val="continuous"/>
        </w:sectPr>
      </w:pPr>
    </w:p>
    <w:bookmarkStart w:id="70" w:name="page71"/>
    <w:bookmarkEnd w:id="70"/>
    <w:p>
      <w:pPr>
        <w:ind w:left="6" w:right="80" w:firstLine="490"/>
        <w:spacing w:after="0" w:line="246" w:lineRule="auto"/>
        <w:rPr>
          <w:sz w:val="20"/>
          <w:szCs w:val="20"/>
          <w:color w:val="auto"/>
        </w:rPr>
      </w:pPr>
      <w:r>
        <w:rPr>
          <w:rFonts w:ascii="Times New Roman" w:cs="Times New Roman" w:eastAsia="Times New Roman" w:hAnsi="Times New Roman"/>
          <w:sz w:val="20"/>
          <w:szCs w:val="20"/>
          <w:color w:val="1E1E1E"/>
        </w:rPr>
        <w:t>We have adopted a code of business conduct and ethics that applies to our directors, officers and employees, including our principal executive officer, principal financial officer and principal accounting officer. We have posted the code of business conduct and ethics on our website at http://ir.duluthtrading.com under the tab “Corporate Governance—Documents &amp; Charters—Code of Business Conduct and Ethics.” We intend to satisfy our disclosure requirements under Item 5.05 of Form 8-K regarding amendments to, or waiver of, any provisions of our code of business conduct and ethics that applies to our principal executive officer, principal financial officer and principal accounting officer and our directors by posting such information to our website.</w:t>
      </w:r>
    </w:p>
    <w:p>
      <w:pPr>
        <w:spacing w:after="0" w:line="160" w:lineRule="exact"/>
        <w:rPr>
          <w:sz w:val="20"/>
          <w:szCs w:val="20"/>
          <w:color w:val="auto"/>
        </w:rPr>
      </w:pPr>
    </w:p>
    <w:p>
      <w:pPr>
        <w:jc w:val="both"/>
        <w:ind w:left="6" w:right="140" w:firstLine="490"/>
        <w:spacing w:after="0" w:line="281" w:lineRule="auto"/>
        <w:rPr>
          <w:sz w:val="20"/>
          <w:szCs w:val="20"/>
          <w:color w:val="auto"/>
        </w:rPr>
      </w:pPr>
      <w:r>
        <w:rPr>
          <w:rFonts w:ascii="Times New Roman" w:cs="Times New Roman" w:eastAsia="Times New Roman" w:hAnsi="Times New Roman"/>
          <w:sz w:val="19"/>
          <w:szCs w:val="19"/>
          <w:color w:val="1E1E1E"/>
        </w:rPr>
        <w:t>Our code of business conduct and ethics is available in print for any shareholder who requests it by writing to: Secretary, Duluth Holdings Inc., 201 East Front Street, Mount Horeb, Wisconsin, 53572. We are not including the information available on or through our website as part of, or incorporating such information by reference into, this Annual Report on Form 10-K.</w:t>
      </w:r>
    </w:p>
    <w:p>
      <w:pPr>
        <w:spacing w:after="0" w:line="121" w:lineRule="exact"/>
        <w:rPr>
          <w:sz w:val="20"/>
          <w:szCs w:val="20"/>
          <w:color w:val="auto"/>
        </w:rPr>
      </w:pPr>
    </w:p>
    <w:p>
      <w:pPr>
        <w:ind w:left="6" w:right="520" w:firstLine="490"/>
        <w:spacing w:after="0" w:line="281" w:lineRule="auto"/>
        <w:rPr>
          <w:sz w:val="20"/>
          <w:szCs w:val="20"/>
          <w:color w:val="auto"/>
        </w:rPr>
      </w:pPr>
      <w:r>
        <w:rPr>
          <w:rFonts w:ascii="Times New Roman" w:cs="Times New Roman" w:eastAsia="Times New Roman" w:hAnsi="Times New Roman"/>
          <w:sz w:val="20"/>
          <w:szCs w:val="20"/>
          <w:color w:val="1E1E1E"/>
        </w:rPr>
        <w:t>Pursuant to General Instruction G(3), certain information with respect to our executive officers is set forth under the caption “Information about Our Executive Officers” as of March 21, 2025 in this Annual Report on Form 10-K.</w:t>
      </w:r>
    </w:p>
    <w:p>
      <w:pPr>
        <w:spacing w:after="0" w:line="373" w:lineRule="exact"/>
        <w:rPr>
          <w:sz w:val="20"/>
          <w:szCs w:val="20"/>
          <w:color w:val="auto"/>
        </w:rPr>
      </w:pPr>
    </w:p>
    <w:p>
      <w:pPr>
        <w:ind w:left="6"/>
        <w:spacing w:after="0"/>
        <w:tabs>
          <w:tab w:leader="none" w:pos="1186" w:val="left"/>
        </w:tabs>
        <w:rPr>
          <w:sz w:val="20"/>
          <w:szCs w:val="20"/>
          <w:color w:val="auto"/>
        </w:rPr>
      </w:pPr>
      <w:r>
        <w:rPr>
          <w:rFonts w:ascii="Times New Roman" w:cs="Times New Roman" w:eastAsia="Times New Roman" w:hAnsi="Times New Roman"/>
          <w:sz w:val="20"/>
          <w:szCs w:val="20"/>
          <w:color w:val="1E1E1E"/>
        </w:rPr>
        <w:t>ITEM 11.</w:t>
      </w:r>
      <w:r>
        <w:rPr>
          <w:sz w:val="20"/>
          <w:szCs w:val="20"/>
          <w:color w:val="auto"/>
        </w:rPr>
        <w:tab/>
      </w:r>
      <w:r>
        <w:rPr>
          <w:rFonts w:ascii="Times New Roman" w:cs="Times New Roman" w:eastAsia="Times New Roman" w:hAnsi="Times New Roman"/>
          <w:sz w:val="20"/>
          <w:szCs w:val="20"/>
          <w:color w:val="1E1E1E"/>
        </w:rPr>
        <w:t>EXECUTIVE COMPENSATION</w:t>
      </w:r>
    </w:p>
    <w:p>
      <w:pPr>
        <w:spacing w:after="0" w:line="250" w:lineRule="exact"/>
        <w:rPr>
          <w:sz w:val="20"/>
          <w:szCs w:val="20"/>
          <w:color w:val="auto"/>
        </w:rPr>
      </w:pPr>
    </w:p>
    <w:p>
      <w:pPr>
        <w:ind w:left="6" w:right="180" w:firstLine="490"/>
        <w:spacing w:after="0" w:line="261" w:lineRule="auto"/>
        <w:rPr>
          <w:sz w:val="20"/>
          <w:szCs w:val="20"/>
          <w:color w:val="auto"/>
        </w:rPr>
      </w:pPr>
      <w:r>
        <w:rPr>
          <w:rFonts w:ascii="Times New Roman" w:cs="Times New Roman" w:eastAsia="Times New Roman" w:hAnsi="Times New Roman"/>
          <w:sz w:val="20"/>
          <w:szCs w:val="20"/>
          <w:color w:val="1E1E1E"/>
        </w:rPr>
        <w:t>Information required by this Item is incorporated by reference to the sections of the Proxy Statement entitled “Executive Compensation” (excluding the information under the caption “Pay Versus Performance”), “Director Compensation,” and “Compensation Committee Interlocks and Insider Participation.”</w:t>
      </w:r>
    </w:p>
    <w:p>
      <w:pPr>
        <w:spacing w:after="0" w:line="392" w:lineRule="exact"/>
        <w:rPr>
          <w:sz w:val="20"/>
          <w:szCs w:val="20"/>
          <w:color w:val="auto"/>
        </w:rPr>
      </w:pPr>
    </w:p>
    <w:p>
      <w:pPr>
        <w:ind w:left="1186" w:right="160" w:hanging="1189"/>
        <w:spacing w:after="0" w:line="281" w:lineRule="auto"/>
        <w:tabs>
          <w:tab w:leader="none" w:pos="1166" w:val="left"/>
        </w:tabs>
        <w:rPr>
          <w:sz w:val="20"/>
          <w:szCs w:val="20"/>
          <w:color w:val="auto"/>
        </w:rPr>
      </w:pPr>
      <w:r>
        <w:rPr>
          <w:rFonts w:ascii="Times New Roman" w:cs="Times New Roman" w:eastAsia="Times New Roman" w:hAnsi="Times New Roman"/>
          <w:sz w:val="20"/>
          <w:szCs w:val="20"/>
          <w:color w:val="1E1E1E"/>
        </w:rPr>
        <w:t>ITEM 12.</w:t>
      </w:r>
      <w:r>
        <w:rPr>
          <w:sz w:val="20"/>
          <w:szCs w:val="20"/>
          <w:color w:val="auto"/>
        </w:rPr>
        <w:tab/>
      </w:r>
      <w:r>
        <w:rPr>
          <w:rFonts w:ascii="Times New Roman" w:cs="Times New Roman" w:eastAsia="Times New Roman" w:hAnsi="Times New Roman"/>
          <w:sz w:val="20"/>
          <w:szCs w:val="20"/>
          <w:color w:val="1E1E1E"/>
        </w:rPr>
        <w:t>SECURITY OWNERSHIP OF CERTAIN BENEFICIAL OWNERS AND MANAGEMENT AND RELATED SHAREHOLDER MATTERS</w:t>
      </w:r>
    </w:p>
    <w:p>
      <w:pPr>
        <w:spacing w:after="0" w:line="191" w:lineRule="exact"/>
        <w:rPr>
          <w:sz w:val="20"/>
          <w:szCs w:val="20"/>
          <w:color w:val="auto"/>
        </w:rPr>
      </w:pPr>
    </w:p>
    <w:p>
      <w:pPr>
        <w:ind w:left="6" w:right="320" w:firstLine="490"/>
        <w:spacing w:after="0" w:line="276" w:lineRule="auto"/>
        <w:rPr>
          <w:sz w:val="20"/>
          <w:szCs w:val="20"/>
          <w:color w:val="auto"/>
        </w:rPr>
      </w:pPr>
      <w:r>
        <w:rPr>
          <w:rFonts w:ascii="Times New Roman" w:cs="Times New Roman" w:eastAsia="Times New Roman" w:hAnsi="Times New Roman"/>
          <w:sz w:val="20"/>
          <w:szCs w:val="20"/>
          <w:color w:val="1E1E1E"/>
        </w:rPr>
        <w:t>Information required by this Item is incorporated by reference to the sections of the Proxy Statement entitled “Security Ownership of Certain Beneficial Owners.”</w:t>
      </w:r>
    </w:p>
    <w:p>
      <w:pPr>
        <w:spacing w:after="0" w:line="129" w:lineRule="exact"/>
        <w:rPr>
          <w:sz w:val="20"/>
          <w:szCs w:val="20"/>
          <w:color w:val="auto"/>
        </w:rPr>
      </w:pPr>
    </w:p>
    <w:p>
      <w:pPr>
        <w:ind w:left="6" w:right="60" w:firstLine="490"/>
        <w:spacing w:after="0" w:line="281" w:lineRule="auto"/>
        <w:rPr>
          <w:sz w:val="20"/>
          <w:szCs w:val="20"/>
          <w:color w:val="auto"/>
        </w:rPr>
      </w:pPr>
      <w:r>
        <w:rPr>
          <w:rFonts w:ascii="Times New Roman" w:cs="Times New Roman" w:eastAsia="Times New Roman" w:hAnsi="Times New Roman"/>
          <w:sz w:val="20"/>
          <w:szCs w:val="20"/>
          <w:i w:val="1"/>
          <w:iCs w:val="1"/>
          <w:color w:val="1E1E1E"/>
        </w:rPr>
        <w:t xml:space="preserve">Equity Compensation Plan Information: </w:t>
      </w:r>
      <w:r>
        <w:rPr>
          <w:rFonts w:ascii="Times New Roman" w:cs="Times New Roman" w:eastAsia="Times New Roman" w:hAnsi="Times New Roman"/>
          <w:sz w:val="20"/>
          <w:szCs w:val="20"/>
          <w:color w:val="1E1E1E"/>
        </w:rPr>
        <w:t>The following table sets forth information as of February 2, 2025 about shares of</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common stock outstanding and available for issuance under our existing equity compensation plans.</w:t>
      </w:r>
    </w:p>
    <w:p>
      <w:pPr>
        <w:spacing w:after="0" w:line="200" w:lineRule="exact"/>
        <w:rPr>
          <w:sz w:val="20"/>
          <w:szCs w:val="20"/>
          <w:color w:val="auto"/>
        </w:rPr>
      </w:pPr>
    </w:p>
    <w:p>
      <w:pPr>
        <w:spacing w:after="0" w:line="216" w:lineRule="exact"/>
        <w:rPr>
          <w:sz w:val="20"/>
          <w:szCs w:val="20"/>
          <w:color w:val="auto"/>
        </w:rPr>
      </w:pPr>
    </w:p>
    <w:tbl>
      <w:tblPr>
        <w:tblLayout w:type="fixed"/>
        <w:tblInd w:w="6" w:type="dxa"/>
        <w:tblCellMar>
          <w:top w:w="0" w:type="dxa"/>
          <w:left w:w="0" w:type="dxa"/>
          <w:bottom w:w="0" w:type="dxa"/>
          <w:right w:w="0" w:type="dxa"/>
        </w:tblCellMar>
      </w:tblPr>
      <w:tr>
        <w:trPr>
          <w:trHeight w:val="217"/>
        </w:trPr>
        <w:tc>
          <w:tcPr>
            <w:tcW w:w="4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Number of securities</w:t>
            </w:r>
          </w:p>
        </w:tc>
      </w:tr>
      <w:tr>
        <w:trPr>
          <w:trHeight w:val="226"/>
        </w:trPr>
        <w:tc>
          <w:tcPr>
            <w:tcW w:w="4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remaining available for</w:t>
            </w:r>
          </w:p>
        </w:tc>
      </w:tr>
      <w:tr>
        <w:trPr>
          <w:trHeight w:val="226"/>
        </w:trPr>
        <w:tc>
          <w:tcPr>
            <w:tcW w:w="4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1E1E1E"/>
              </w:rPr>
              <w:t>Number of securities to</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1E1E1E"/>
                <w:w w:val="99"/>
              </w:rPr>
              <w:t>Weighted-average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future issuance under</w:t>
            </w:r>
          </w:p>
        </w:tc>
      </w:tr>
      <w:tr>
        <w:trPr>
          <w:trHeight w:val="221"/>
        </w:trPr>
        <w:tc>
          <w:tcPr>
            <w:tcW w:w="4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1E1E1E"/>
              </w:rPr>
              <w:t>be issued upon exercise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1E1E1E"/>
                <w:w w:val="99"/>
              </w:rPr>
              <w:t>exercise price of</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equity compensation plans</w:t>
            </w:r>
          </w:p>
        </w:tc>
      </w:tr>
      <w:tr>
        <w:trPr>
          <w:trHeight w:val="226"/>
        </w:trPr>
        <w:tc>
          <w:tcPr>
            <w:tcW w:w="4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1E1E1E"/>
              </w:rPr>
              <w:t>of outstanding options,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1E1E1E"/>
                <w:w w:val="99"/>
              </w:rPr>
              <w:t>outstanding options,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(excluding securities</w:t>
            </w:r>
          </w:p>
        </w:tc>
      </w:tr>
      <w:tr>
        <w:trPr>
          <w:trHeight w:val="214"/>
        </w:trPr>
        <w:tc>
          <w:tcPr>
            <w:tcW w:w="438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16"/>
                <w:szCs w:val="16"/>
                <w:b w:val="1"/>
                <w:bCs w:val="1"/>
                <w:color w:val="1E1E1E"/>
              </w:rPr>
              <w:t>Plan category</w:t>
            </w:r>
          </w:p>
        </w:tc>
        <w:tc>
          <w:tcPr>
            <w:tcW w:w="140" w:type="dxa"/>
            <w:vAlign w:val="bottom"/>
            <w:tcBorders>
              <w:bottom w:val="single" w:sz="8" w:color="E2E2E2"/>
            </w:tcBorders>
          </w:tcPr>
          <w:p>
            <w:pPr>
              <w:spacing w:after="0"/>
              <w:rPr>
                <w:sz w:val="18"/>
                <w:szCs w:val="18"/>
                <w:color w:val="auto"/>
              </w:rPr>
            </w:pPr>
          </w:p>
        </w:tc>
        <w:tc>
          <w:tcPr>
            <w:tcW w:w="20" w:type="dxa"/>
            <w:vAlign w:val="bottom"/>
            <w:tcBorders>
              <w:bottom w:val="single" w:sz="8" w:color="E2E2E2"/>
            </w:tcBorders>
          </w:tcPr>
          <w:p>
            <w:pPr>
              <w:spacing w:after="0"/>
              <w:rPr>
                <w:sz w:val="18"/>
                <w:szCs w:val="18"/>
                <w:color w:val="auto"/>
              </w:rPr>
            </w:pPr>
          </w:p>
        </w:tc>
        <w:tc>
          <w:tcPr>
            <w:tcW w:w="1720" w:type="dxa"/>
            <w:vAlign w:val="bottom"/>
            <w:tcBorders>
              <w:bottom w:val="single" w:sz="8" w:color="1E1E1E"/>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1E1E1E"/>
              </w:rPr>
              <w:t>warrants and rights</w:t>
            </w:r>
          </w:p>
        </w:tc>
        <w:tc>
          <w:tcPr>
            <w:tcW w:w="120" w:type="dxa"/>
            <w:vAlign w:val="bottom"/>
            <w:tcBorders>
              <w:bottom w:val="single" w:sz="8" w:color="E2E2E2"/>
            </w:tcBorders>
          </w:tcPr>
          <w:p>
            <w:pPr>
              <w:spacing w:after="0"/>
              <w:rPr>
                <w:sz w:val="18"/>
                <w:szCs w:val="18"/>
                <w:color w:val="auto"/>
              </w:rPr>
            </w:pPr>
          </w:p>
        </w:tc>
        <w:tc>
          <w:tcPr>
            <w:tcW w:w="20" w:type="dxa"/>
            <w:vAlign w:val="bottom"/>
            <w:tcBorders>
              <w:bottom w:val="single" w:sz="8" w:color="E2E2E2"/>
            </w:tcBorders>
          </w:tcPr>
          <w:p>
            <w:pPr>
              <w:spacing w:after="0"/>
              <w:rPr>
                <w:sz w:val="18"/>
                <w:szCs w:val="18"/>
                <w:color w:val="auto"/>
              </w:rPr>
            </w:pPr>
          </w:p>
        </w:tc>
        <w:tc>
          <w:tcPr>
            <w:tcW w:w="160" w:type="dxa"/>
            <w:vAlign w:val="bottom"/>
            <w:tcBorders>
              <w:bottom w:val="single" w:sz="8" w:color="1E1E1E"/>
            </w:tcBorders>
          </w:tcPr>
          <w:p>
            <w:pPr>
              <w:spacing w:after="0"/>
              <w:rPr>
                <w:sz w:val="18"/>
                <w:szCs w:val="18"/>
                <w:color w:val="auto"/>
              </w:rPr>
            </w:pPr>
          </w:p>
        </w:tc>
        <w:tc>
          <w:tcPr>
            <w:tcW w:w="1640" w:type="dxa"/>
            <w:vAlign w:val="bottom"/>
            <w:tcBorders>
              <w:bottom w:val="single" w:sz="8" w:color="1E1E1E"/>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1E1E1E"/>
                <w:w w:val="99"/>
              </w:rPr>
              <w:t>warrants and rights</w:t>
            </w:r>
          </w:p>
        </w:tc>
        <w:tc>
          <w:tcPr>
            <w:tcW w:w="120" w:type="dxa"/>
            <w:vAlign w:val="bottom"/>
            <w:tcBorders>
              <w:bottom w:val="single" w:sz="8" w:color="E2E2E2"/>
            </w:tcBorders>
          </w:tcPr>
          <w:p>
            <w:pPr>
              <w:spacing w:after="0"/>
              <w:rPr>
                <w:sz w:val="18"/>
                <w:szCs w:val="18"/>
                <w:color w:val="auto"/>
              </w:rPr>
            </w:pPr>
          </w:p>
        </w:tc>
        <w:tc>
          <w:tcPr>
            <w:tcW w:w="20" w:type="dxa"/>
            <w:vAlign w:val="bottom"/>
            <w:tcBorders>
              <w:bottom w:val="single" w:sz="8" w:color="E2E2E2"/>
            </w:tcBorders>
          </w:tcPr>
          <w:p>
            <w:pPr>
              <w:spacing w:after="0"/>
              <w:rPr>
                <w:sz w:val="18"/>
                <w:szCs w:val="18"/>
                <w:color w:val="auto"/>
              </w:rPr>
            </w:pPr>
          </w:p>
        </w:tc>
        <w:tc>
          <w:tcPr>
            <w:tcW w:w="1900" w:type="dxa"/>
            <w:vAlign w:val="bottom"/>
            <w:tcBorders>
              <w:bottom w:val="single" w:sz="8" w:color="1E1E1E"/>
            </w:tcBorders>
          </w:tcPr>
          <w:p>
            <w:pPr>
              <w:jc w:val="center"/>
              <w:spacing w:after="0" w:line="214" w:lineRule="exact"/>
              <w:rPr>
                <w:sz w:val="20"/>
                <w:szCs w:val="20"/>
                <w:color w:val="auto"/>
              </w:rPr>
            </w:pPr>
            <w:r>
              <w:rPr>
                <w:rFonts w:ascii="Times New Roman" w:cs="Times New Roman" w:eastAsia="Times New Roman" w:hAnsi="Times New Roman"/>
                <w:sz w:val="16"/>
                <w:szCs w:val="16"/>
                <w:b w:val="1"/>
                <w:bCs w:val="1"/>
                <w:color w:val="1E1E1E"/>
                <w:w w:val="98"/>
              </w:rPr>
              <w:t>reflected in first column)</w:t>
            </w:r>
            <w:r>
              <w:rPr>
                <w:rFonts w:ascii="Times New Roman" w:cs="Times New Roman" w:eastAsia="Times New Roman" w:hAnsi="Times New Roman"/>
                <w:sz w:val="20"/>
                <w:szCs w:val="20"/>
                <w:b w:val="1"/>
                <w:bCs w:val="1"/>
                <w:color w:val="1E1E1E"/>
                <w:w w:val="98"/>
                <w:vertAlign w:val="superscript"/>
              </w:rPr>
              <w:t>(1)</w:t>
            </w:r>
          </w:p>
        </w:tc>
      </w:tr>
      <w:tr>
        <w:trPr>
          <w:trHeight w:val="236"/>
        </w:trPr>
        <w:tc>
          <w:tcPr>
            <w:tcW w:w="43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Equity compensation plans approved</w:t>
            </w:r>
          </w:p>
        </w:tc>
        <w:tc>
          <w:tcPr>
            <w:tcW w:w="1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720" w:type="dxa"/>
            <w:vAlign w:val="bottom"/>
            <w:shd w:val="clear" w:color="auto" w:fill="E2E2E2"/>
          </w:tcPr>
          <w:p>
            <w:pPr>
              <w:spacing w:after="0"/>
              <w:rPr>
                <w:sz w:val="20"/>
                <w:szCs w:val="20"/>
                <w:color w:val="auto"/>
              </w:rPr>
            </w:pPr>
          </w:p>
        </w:tc>
        <w:tc>
          <w:tcPr>
            <w:tcW w:w="12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1640" w:type="dxa"/>
            <w:vAlign w:val="bottom"/>
            <w:shd w:val="clear" w:color="auto" w:fill="E2E2E2"/>
          </w:tcPr>
          <w:p>
            <w:pPr>
              <w:spacing w:after="0"/>
              <w:rPr>
                <w:sz w:val="20"/>
                <w:szCs w:val="20"/>
                <w:color w:val="auto"/>
              </w:rPr>
            </w:pPr>
          </w:p>
        </w:tc>
        <w:tc>
          <w:tcPr>
            <w:tcW w:w="12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1900" w:type="dxa"/>
            <w:vAlign w:val="bottom"/>
            <w:shd w:val="clear" w:color="auto" w:fill="E2E2E2"/>
          </w:tcPr>
          <w:p>
            <w:pPr>
              <w:spacing w:after="0"/>
              <w:rPr>
                <w:sz w:val="20"/>
                <w:szCs w:val="20"/>
                <w:color w:val="auto"/>
              </w:rPr>
            </w:pPr>
          </w:p>
        </w:tc>
      </w:tr>
      <w:tr>
        <w:trPr>
          <w:trHeight w:val="253"/>
        </w:trPr>
        <w:tc>
          <w:tcPr>
            <w:tcW w:w="43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by security holders</w:t>
            </w:r>
          </w:p>
        </w:tc>
        <w:tc>
          <w:tcPr>
            <w:tcW w:w="14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1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40" w:type="dxa"/>
            <w:vAlign w:val="bottom"/>
            <w:shd w:val="clear" w:color="auto" w:fill="E2E2E2"/>
          </w:tcPr>
          <w:p>
            <w:pPr>
              <w:ind w:left="1360"/>
              <w:spacing w:after="0"/>
              <w:rPr>
                <w:sz w:val="20"/>
                <w:szCs w:val="20"/>
                <w:color w:val="auto"/>
              </w:rPr>
            </w:pPr>
            <w:r>
              <w:rPr>
                <w:rFonts w:ascii="Times New Roman" w:cs="Times New Roman" w:eastAsia="Times New Roman" w:hAnsi="Times New Roman"/>
                <w:sz w:val="20"/>
                <w:szCs w:val="20"/>
                <w:color w:val="1E1E1E"/>
              </w:rPr>
              <w:t>—</w:t>
            </w:r>
          </w:p>
        </w:tc>
        <w:tc>
          <w:tcPr>
            <w:tcW w:w="204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5,018,713</w:t>
            </w:r>
          </w:p>
        </w:tc>
      </w:tr>
      <w:tr>
        <w:trPr>
          <w:trHeight w:val="256"/>
        </w:trPr>
        <w:tc>
          <w:tcPr>
            <w:tcW w:w="4380" w:type="dxa"/>
            <w:vAlign w:val="bottom"/>
          </w:tcPr>
          <w:p>
            <w:pPr>
              <w:spacing w:after="0"/>
              <w:rPr>
                <w:sz w:val="20"/>
                <w:szCs w:val="20"/>
                <w:color w:val="auto"/>
              </w:rPr>
            </w:pPr>
            <w:r>
              <w:rPr>
                <w:rFonts w:ascii="Times New Roman" w:cs="Times New Roman" w:eastAsia="Times New Roman" w:hAnsi="Times New Roman"/>
                <w:sz w:val="20"/>
                <w:szCs w:val="20"/>
                <w:color w:val="1E1E1E"/>
              </w:rPr>
              <w:t>Equity compensation plans not approved</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53"/>
        </w:trPr>
        <w:tc>
          <w:tcPr>
            <w:tcW w:w="4380" w:type="dxa"/>
            <w:vAlign w:val="bottom"/>
            <w:tcBorders>
              <w:bottom w:val="single" w:sz="8" w:color="E2E2E2"/>
            </w:tcBorders>
          </w:tcPr>
          <w:p>
            <w:pPr>
              <w:spacing w:after="0" w:line="253" w:lineRule="exact"/>
              <w:rPr>
                <w:sz w:val="20"/>
                <w:szCs w:val="20"/>
                <w:color w:val="auto"/>
              </w:rPr>
            </w:pPr>
            <w:r>
              <w:rPr>
                <w:rFonts w:ascii="Times New Roman" w:cs="Times New Roman" w:eastAsia="Times New Roman" w:hAnsi="Times New Roman"/>
                <w:sz w:val="20"/>
                <w:szCs w:val="20"/>
                <w:color w:val="1E1E1E"/>
              </w:rPr>
              <w:t>by security holders</w:t>
            </w:r>
            <w:r>
              <w:rPr>
                <w:rFonts w:ascii="Times New Roman" w:cs="Times New Roman" w:eastAsia="Times New Roman" w:hAnsi="Times New Roman"/>
                <w:sz w:val="25"/>
                <w:szCs w:val="25"/>
                <w:color w:val="1E1E1E"/>
                <w:vertAlign w:val="superscript"/>
              </w:rPr>
              <w:t>(2)</w:t>
            </w:r>
          </w:p>
        </w:tc>
        <w:tc>
          <w:tcPr>
            <w:tcW w:w="140" w:type="dxa"/>
            <w:vAlign w:val="bottom"/>
            <w:tcBorders>
              <w:bottom w:val="single" w:sz="8" w:color="E2E2E2"/>
            </w:tcBorders>
          </w:tcPr>
          <w:p>
            <w:pPr>
              <w:spacing w:after="0"/>
              <w:rPr>
                <w:sz w:val="21"/>
                <w:szCs w:val="21"/>
                <w:color w:val="auto"/>
              </w:rPr>
            </w:pPr>
          </w:p>
        </w:tc>
        <w:tc>
          <w:tcPr>
            <w:tcW w:w="20" w:type="dxa"/>
            <w:vAlign w:val="bottom"/>
            <w:tcBorders>
              <w:bottom w:val="single" w:sz="8" w:color="E2E2E2"/>
            </w:tcBorders>
          </w:tcPr>
          <w:p>
            <w:pPr>
              <w:spacing w:after="0"/>
              <w:rPr>
                <w:sz w:val="21"/>
                <w:szCs w:val="21"/>
                <w:color w:val="auto"/>
              </w:rPr>
            </w:pPr>
          </w:p>
        </w:tc>
        <w:tc>
          <w:tcPr>
            <w:tcW w:w="17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tcBorders>
              <w:bottom w:val="single" w:sz="8" w:color="E2E2E2"/>
            </w:tcBorders>
          </w:tcPr>
          <w:p>
            <w:pPr>
              <w:spacing w:after="0"/>
              <w:rPr>
                <w:sz w:val="21"/>
                <w:szCs w:val="21"/>
                <w:color w:val="auto"/>
              </w:rPr>
            </w:pPr>
          </w:p>
        </w:tc>
        <w:tc>
          <w:tcPr>
            <w:tcW w:w="20" w:type="dxa"/>
            <w:vAlign w:val="bottom"/>
            <w:tcBorders>
              <w:bottom w:val="single" w:sz="8" w:color="E2E2E2"/>
            </w:tcBorders>
          </w:tcPr>
          <w:p>
            <w:pPr>
              <w:spacing w:after="0"/>
              <w:rPr>
                <w:sz w:val="21"/>
                <w:szCs w:val="21"/>
                <w:color w:val="auto"/>
              </w:rPr>
            </w:pPr>
          </w:p>
        </w:tc>
        <w:tc>
          <w:tcPr>
            <w:tcW w:w="160" w:type="dxa"/>
            <w:vAlign w:val="bottom"/>
            <w:tcBorders>
              <w:bottom w:val="single" w:sz="8" w:color="1E1E1E"/>
            </w:tcBorders>
          </w:tcPr>
          <w:p>
            <w:pPr>
              <w:spacing w:after="0"/>
              <w:rPr>
                <w:sz w:val="21"/>
                <w:szCs w:val="21"/>
                <w:color w:val="auto"/>
              </w:rPr>
            </w:pPr>
          </w:p>
        </w:tc>
        <w:tc>
          <w:tcPr>
            <w:tcW w:w="1640" w:type="dxa"/>
            <w:vAlign w:val="bottom"/>
            <w:tcBorders>
              <w:bottom w:val="single" w:sz="8" w:color="1E1E1E"/>
            </w:tcBorders>
          </w:tcPr>
          <w:p>
            <w:pPr>
              <w:ind w:left="1360"/>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tcBorders>
              <w:bottom w:val="single" w:sz="8" w:color="E2E2E2"/>
            </w:tcBorders>
          </w:tcPr>
          <w:p>
            <w:pPr>
              <w:spacing w:after="0"/>
              <w:rPr>
                <w:sz w:val="21"/>
                <w:szCs w:val="21"/>
                <w:color w:val="auto"/>
              </w:rPr>
            </w:pPr>
          </w:p>
        </w:tc>
        <w:tc>
          <w:tcPr>
            <w:tcW w:w="20" w:type="dxa"/>
            <w:vAlign w:val="bottom"/>
            <w:tcBorders>
              <w:bottom w:val="single" w:sz="8" w:color="E2E2E2"/>
            </w:tcBorders>
          </w:tcPr>
          <w:p>
            <w:pPr>
              <w:spacing w:after="0"/>
              <w:rPr>
                <w:sz w:val="21"/>
                <w:szCs w:val="21"/>
                <w:color w:val="auto"/>
              </w:rPr>
            </w:pPr>
          </w:p>
        </w:tc>
        <w:tc>
          <w:tcPr>
            <w:tcW w:w="19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06"/>
        </w:trPr>
        <w:tc>
          <w:tcPr>
            <w:tcW w:w="4380" w:type="dxa"/>
            <w:vAlign w:val="bottom"/>
            <w:shd w:val="clear" w:color="auto" w:fill="E2E2E2"/>
          </w:tcPr>
          <w:p>
            <w:pPr>
              <w:ind w:left="120"/>
              <w:spacing w:after="0" w:line="206" w:lineRule="exact"/>
              <w:rPr>
                <w:sz w:val="20"/>
                <w:szCs w:val="20"/>
                <w:color w:val="auto"/>
              </w:rPr>
            </w:pPr>
            <w:r>
              <w:rPr>
                <w:rFonts w:ascii="Times New Roman" w:cs="Times New Roman" w:eastAsia="Times New Roman" w:hAnsi="Times New Roman"/>
                <w:sz w:val="20"/>
                <w:szCs w:val="20"/>
                <w:color w:val="1E1E1E"/>
              </w:rPr>
              <w:t>Total</w:t>
            </w:r>
          </w:p>
        </w:tc>
        <w:tc>
          <w:tcPr>
            <w:tcW w:w="140" w:type="dxa"/>
            <w:vAlign w:val="bottom"/>
            <w:shd w:val="clear" w:color="auto" w:fill="E2E2E2"/>
          </w:tcPr>
          <w:p>
            <w:pPr>
              <w:spacing w:after="0"/>
              <w:rPr>
                <w:sz w:val="17"/>
                <w:szCs w:val="17"/>
                <w:color w:val="auto"/>
              </w:rPr>
            </w:pPr>
          </w:p>
        </w:tc>
        <w:tc>
          <w:tcPr>
            <w:tcW w:w="20" w:type="dxa"/>
            <w:vAlign w:val="bottom"/>
            <w:tcBorders>
              <w:bottom w:val="single" w:sz="8" w:color="1E1E1E"/>
            </w:tcBorders>
            <w:shd w:val="clear" w:color="auto" w:fill="E2E2E2"/>
          </w:tcPr>
          <w:p>
            <w:pPr>
              <w:spacing w:after="0"/>
              <w:rPr>
                <w:sz w:val="17"/>
                <w:szCs w:val="17"/>
                <w:color w:val="auto"/>
              </w:rPr>
            </w:pPr>
          </w:p>
        </w:tc>
        <w:tc>
          <w:tcPr>
            <w:tcW w:w="172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w:t>
            </w:r>
          </w:p>
        </w:tc>
        <w:tc>
          <w:tcPr>
            <w:tcW w:w="120" w:type="dxa"/>
            <w:vAlign w:val="bottom"/>
            <w:shd w:val="clear" w:color="auto" w:fill="E2E2E2"/>
          </w:tcPr>
          <w:p>
            <w:pPr>
              <w:spacing w:after="0"/>
              <w:rPr>
                <w:sz w:val="17"/>
                <w:szCs w:val="17"/>
                <w:color w:val="auto"/>
              </w:rPr>
            </w:pPr>
          </w:p>
        </w:tc>
        <w:tc>
          <w:tcPr>
            <w:tcW w:w="20" w:type="dxa"/>
            <w:vAlign w:val="bottom"/>
            <w:tcBorders>
              <w:bottom w:val="single" w:sz="8" w:color="1E1E1E"/>
            </w:tcBorders>
            <w:shd w:val="clear" w:color="auto" w:fill="E2E2E2"/>
          </w:tcPr>
          <w:p>
            <w:pPr>
              <w:spacing w:after="0"/>
              <w:rPr>
                <w:sz w:val="17"/>
                <w:szCs w:val="17"/>
                <w:color w:val="auto"/>
              </w:rPr>
            </w:pPr>
          </w:p>
        </w:tc>
        <w:tc>
          <w:tcPr>
            <w:tcW w:w="16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w w:val="79"/>
              </w:rPr>
              <w:t>$</w:t>
            </w:r>
          </w:p>
        </w:tc>
        <w:tc>
          <w:tcPr>
            <w:tcW w:w="1640" w:type="dxa"/>
            <w:vAlign w:val="bottom"/>
            <w:tcBorders>
              <w:bottom w:val="single" w:sz="8" w:color="1E1E1E"/>
            </w:tcBorders>
            <w:shd w:val="clear" w:color="auto" w:fill="E2E2E2"/>
          </w:tcPr>
          <w:p>
            <w:pPr>
              <w:ind w:left="1360"/>
              <w:spacing w:after="0" w:line="206" w:lineRule="exact"/>
              <w:rPr>
                <w:sz w:val="20"/>
                <w:szCs w:val="20"/>
                <w:color w:val="auto"/>
              </w:rPr>
            </w:pPr>
            <w:r>
              <w:rPr>
                <w:rFonts w:ascii="Times New Roman" w:cs="Times New Roman" w:eastAsia="Times New Roman" w:hAnsi="Times New Roman"/>
                <w:sz w:val="20"/>
                <w:szCs w:val="20"/>
                <w:color w:val="1E1E1E"/>
              </w:rPr>
              <w:t>—</w:t>
            </w:r>
          </w:p>
        </w:tc>
        <w:tc>
          <w:tcPr>
            <w:tcW w:w="120" w:type="dxa"/>
            <w:vAlign w:val="bottom"/>
            <w:shd w:val="clear" w:color="auto" w:fill="E2E2E2"/>
          </w:tcPr>
          <w:p>
            <w:pPr>
              <w:spacing w:after="0"/>
              <w:rPr>
                <w:sz w:val="17"/>
                <w:szCs w:val="17"/>
                <w:color w:val="auto"/>
              </w:rPr>
            </w:pPr>
          </w:p>
        </w:tc>
        <w:tc>
          <w:tcPr>
            <w:tcW w:w="20" w:type="dxa"/>
            <w:vAlign w:val="bottom"/>
            <w:tcBorders>
              <w:bottom w:val="single" w:sz="8" w:color="1E1E1E"/>
            </w:tcBorders>
            <w:shd w:val="clear" w:color="auto" w:fill="E2E2E2"/>
          </w:tcPr>
          <w:p>
            <w:pPr>
              <w:spacing w:after="0"/>
              <w:rPr>
                <w:sz w:val="17"/>
                <w:szCs w:val="17"/>
                <w:color w:val="auto"/>
              </w:rPr>
            </w:pPr>
          </w:p>
        </w:tc>
        <w:tc>
          <w:tcPr>
            <w:tcW w:w="1900" w:type="dxa"/>
            <w:vAlign w:val="bottom"/>
            <w:tcBorders>
              <w:bottom w:val="single" w:sz="8" w:color="1E1E1E"/>
            </w:tcBorders>
            <w:shd w:val="clear" w:color="auto" w:fill="E2E2E2"/>
          </w:tcPr>
          <w:p>
            <w:pPr>
              <w:jc w:val="right"/>
              <w:spacing w:after="0" w:line="206" w:lineRule="exact"/>
              <w:rPr>
                <w:sz w:val="20"/>
                <w:szCs w:val="20"/>
                <w:color w:val="auto"/>
              </w:rPr>
            </w:pPr>
            <w:r>
              <w:rPr>
                <w:rFonts w:ascii="Times New Roman" w:cs="Times New Roman" w:eastAsia="Times New Roman" w:hAnsi="Times New Roman"/>
                <w:sz w:val="20"/>
                <w:szCs w:val="20"/>
                <w:color w:val="1E1E1E"/>
              </w:rPr>
              <w:t>5,018,713</w:t>
            </w:r>
          </w:p>
        </w:tc>
      </w:tr>
    </w:tbl>
    <w:p>
      <w:pPr>
        <w:spacing w:after="0" w:line="3" w:lineRule="exact"/>
        <w:rPr>
          <w:sz w:val="20"/>
          <w:szCs w:val="20"/>
          <w:color w:val="auto"/>
        </w:rPr>
      </w:pPr>
    </w:p>
    <w:p>
      <w:pPr>
        <w:ind w:left="406" w:hanging="406"/>
        <w:spacing w:after="0" w:line="253" w:lineRule="auto"/>
        <w:tabs>
          <w:tab w:leader="none" w:pos="406" w:val="left"/>
        </w:tabs>
        <w:numPr>
          <w:ilvl w:val="0"/>
          <w:numId w:val="30"/>
        </w:numPr>
        <w:rPr>
          <w:rFonts w:ascii="Times New Roman" w:cs="Times New Roman" w:eastAsia="Times New Roman" w:hAnsi="Times New Roman"/>
          <w:sz w:val="16"/>
          <w:szCs w:val="16"/>
          <w:color w:val="1E1E1E"/>
        </w:rPr>
      </w:pPr>
      <w:r>
        <w:rPr>
          <w:rFonts w:ascii="Times New Roman" w:cs="Times New Roman" w:eastAsia="Times New Roman" w:hAnsi="Times New Roman"/>
          <w:sz w:val="16"/>
          <w:szCs w:val="16"/>
          <w:color w:val="1E1E1E"/>
        </w:rPr>
        <w:t>3,931,585 shares are available under the Company’s 2024 Equity Incentive Plan and 1,087,128 shares are available under the Company’s Employee Stock Purchase Plan.</w:t>
      </w:r>
    </w:p>
    <w:p>
      <w:pPr>
        <w:ind w:left="406" w:hanging="406"/>
        <w:spacing w:after="0"/>
        <w:tabs>
          <w:tab w:leader="none" w:pos="406" w:val="left"/>
        </w:tabs>
        <w:numPr>
          <w:ilvl w:val="0"/>
          <w:numId w:val="30"/>
        </w:numPr>
        <w:rPr>
          <w:rFonts w:ascii="Times New Roman" w:cs="Times New Roman" w:eastAsia="Times New Roman" w:hAnsi="Times New Roman"/>
          <w:sz w:val="16"/>
          <w:szCs w:val="16"/>
          <w:color w:val="1E1E1E"/>
        </w:rPr>
      </w:pPr>
      <w:r>
        <w:rPr>
          <w:rFonts w:ascii="Times New Roman" w:cs="Times New Roman" w:eastAsia="Times New Roman" w:hAnsi="Times New Roman"/>
          <w:sz w:val="16"/>
          <w:szCs w:val="16"/>
          <w:color w:val="1E1E1E"/>
        </w:rPr>
        <w:t>All of our existing equity compensation plans have been approved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2874010</wp:posOffset>
            </wp:positionH>
            <wp:positionV relativeFrom="paragraph">
              <wp:posOffset>-358775</wp:posOffset>
            </wp:positionV>
            <wp:extent cx="363601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36010" cy="635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6"/>
        <w:spacing w:after="0"/>
        <w:tabs>
          <w:tab w:leader="none" w:pos="1166" w:val="left"/>
        </w:tabs>
        <w:rPr>
          <w:sz w:val="20"/>
          <w:szCs w:val="20"/>
          <w:color w:val="auto"/>
        </w:rPr>
      </w:pPr>
      <w:r>
        <w:rPr>
          <w:rFonts w:ascii="Times New Roman" w:cs="Times New Roman" w:eastAsia="Times New Roman" w:hAnsi="Times New Roman"/>
          <w:sz w:val="20"/>
          <w:szCs w:val="20"/>
          <w:color w:val="1E1E1E"/>
        </w:rPr>
        <w:t>ITEM 13.</w:t>
      </w:r>
      <w:r>
        <w:rPr>
          <w:sz w:val="20"/>
          <w:szCs w:val="20"/>
          <w:color w:val="auto"/>
        </w:rPr>
        <w:tab/>
      </w:r>
      <w:r>
        <w:rPr>
          <w:rFonts w:ascii="Times New Roman" w:cs="Times New Roman" w:eastAsia="Times New Roman" w:hAnsi="Times New Roman"/>
          <w:sz w:val="19"/>
          <w:szCs w:val="19"/>
          <w:color w:val="1E1E1E"/>
        </w:rPr>
        <w:t>CERTAIN RELATIONSHIPS AND RELATED TRANSACTIONS AND DIRECTOR INDEPENDENCE</w:t>
      </w:r>
    </w:p>
    <w:p>
      <w:pPr>
        <w:spacing w:after="0" w:line="250" w:lineRule="exact"/>
        <w:rPr>
          <w:sz w:val="20"/>
          <w:szCs w:val="20"/>
          <w:color w:val="auto"/>
        </w:rPr>
      </w:pPr>
    </w:p>
    <w:p>
      <w:pPr>
        <w:ind w:left="6" w:right="400" w:firstLine="490"/>
        <w:spacing w:after="0" w:line="281" w:lineRule="auto"/>
        <w:rPr>
          <w:sz w:val="20"/>
          <w:szCs w:val="20"/>
          <w:color w:val="auto"/>
        </w:rPr>
      </w:pPr>
      <w:r>
        <w:rPr>
          <w:rFonts w:ascii="Times New Roman" w:cs="Times New Roman" w:eastAsia="Times New Roman" w:hAnsi="Times New Roman"/>
          <w:sz w:val="20"/>
          <w:szCs w:val="20"/>
          <w:color w:val="1E1E1E"/>
        </w:rPr>
        <w:t>Information required by this Item is incorporated by reference to the sections of the Proxy Statement entitled “Certain Relationships and Related Party Transactions” and “Proposal One: Election of Directors.”</w:t>
      </w:r>
    </w:p>
    <w:p>
      <w:pPr>
        <w:spacing w:after="0" w:line="200" w:lineRule="exact"/>
        <w:rPr>
          <w:sz w:val="20"/>
          <w:szCs w:val="20"/>
          <w:color w:val="auto"/>
        </w:rPr>
      </w:pPr>
    </w:p>
    <w:p>
      <w:pPr>
        <w:spacing w:after="0" w:line="385"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1E1E1E"/>
        </w:rPr>
        <w:t>ITEM 14.PRINCIPAL ACCOUNTANT FEES AND SERVICES</w:t>
      </w:r>
    </w:p>
    <w:p>
      <w:pPr>
        <w:spacing w:after="0" w:line="200" w:lineRule="exact"/>
        <w:rPr>
          <w:sz w:val="20"/>
          <w:szCs w:val="20"/>
          <w:color w:val="auto"/>
        </w:rPr>
      </w:pPr>
    </w:p>
    <w:p>
      <w:pPr>
        <w:spacing w:after="0" w:line="300" w:lineRule="exact"/>
        <w:rPr>
          <w:sz w:val="20"/>
          <w:szCs w:val="20"/>
          <w:color w:val="auto"/>
        </w:rPr>
      </w:pPr>
    </w:p>
    <w:p>
      <w:pPr>
        <w:ind w:left="6" w:right="600" w:firstLine="490"/>
        <w:spacing w:after="0" w:line="281" w:lineRule="auto"/>
        <w:rPr>
          <w:sz w:val="20"/>
          <w:szCs w:val="20"/>
          <w:color w:val="auto"/>
        </w:rPr>
      </w:pPr>
      <w:r>
        <w:rPr>
          <w:rFonts w:ascii="Times New Roman" w:cs="Times New Roman" w:eastAsia="Times New Roman" w:hAnsi="Times New Roman"/>
          <w:sz w:val="20"/>
          <w:szCs w:val="20"/>
          <w:color w:val="1E1E1E"/>
        </w:rPr>
        <w:t>Information required by this Item is incorporated by reference to the section of the Proxy Statement entitled “Audit Committee Report.”</w:t>
      </w:r>
    </w:p>
    <w:p>
      <w:pPr>
        <w:sectPr>
          <w:pgSz w:w="11880" w:h="15480" w:orient="portrait"/>
          <w:cols w:equalWidth="0" w:num="1">
            <w:col w:w="10306"/>
          </w:cols>
          <w:pgMar w:left="814" w:top="661" w:right="760" w:bottom="0" w:gutter="0" w:footer="0" w:header="0"/>
        </w:sectPr>
      </w:pPr>
    </w:p>
    <w:p>
      <w:pPr>
        <w:spacing w:after="0" w:line="135" w:lineRule="exact"/>
        <w:rPr>
          <w:sz w:val="20"/>
          <w:szCs w:val="20"/>
          <w:color w:val="auto"/>
        </w:rPr>
      </w:pPr>
    </w:p>
    <w:p>
      <w:pPr>
        <w:jc w:val="center"/>
        <w:ind w:right="54"/>
        <w:spacing w:after="0"/>
        <w:rPr>
          <w:sz w:val="20"/>
          <w:szCs w:val="20"/>
          <w:color w:val="auto"/>
        </w:rPr>
      </w:pPr>
      <w:r>
        <w:rPr>
          <w:rFonts w:ascii="Times New Roman" w:cs="Times New Roman" w:eastAsia="Times New Roman" w:hAnsi="Times New Roman"/>
          <w:sz w:val="16"/>
          <w:szCs w:val="16"/>
          <w:color w:val="1E1E1E"/>
        </w:rPr>
        <w:t>65</w:t>
      </w:r>
    </w:p>
    <w:p>
      <w:pPr>
        <w:sectPr>
          <w:pgSz w:w="11880" w:h="15480" w:orient="portrait"/>
          <w:cols w:equalWidth="0" w:num="1">
            <w:col w:w="10306"/>
          </w:cols>
          <w:pgMar w:left="814" w:top="661" w:right="760" w:bottom="0" w:gutter="0" w:footer="0" w:header="0"/>
          <w:type w:val="continuous"/>
        </w:sectPr>
      </w:pPr>
    </w:p>
    <w:bookmarkStart w:id="71" w:name="page72"/>
    <w:bookmarkEnd w:id="71"/>
    <w:p>
      <w:pPr>
        <w:ind w:left="4720"/>
        <w:spacing w:after="0"/>
        <w:rPr>
          <w:sz w:val="20"/>
          <w:szCs w:val="20"/>
          <w:color w:val="auto"/>
        </w:rPr>
      </w:pPr>
      <w:r>
        <w:rPr>
          <w:rFonts w:ascii="Times New Roman" w:cs="Times New Roman" w:eastAsia="Times New Roman" w:hAnsi="Times New Roman"/>
          <w:sz w:val="20"/>
          <w:szCs w:val="20"/>
          <w:b w:val="1"/>
          <w:bCs w:val="1"/>
          <w:color w:val="1E1E1E"/>
        </w:rPr>
        <w:t>PART IV</w:t>
      </w:r>
    </w:p>
    <w:p>
      <w:pPr>
        <w:spacing w:after="0" w:line="2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color w:val="1E1E1E"/>
        </w:rPr>
        <w:t>ITEM 15.</w:t>
      </w:r>
      <w:r>
        <w:rPr>
          <w:sz w:val="20"/>
          <w:szCs w:val="20"/>
          <w:color w:val="auto"/>
        </w:rPr>
        <w:tab/>
      </w:r>
      <w:r>
        <w:rPr>
          <w:rFonts w:ascii="Times New Roman" w:cs="Times New Roman" w:eastAsia="Times New Roman" w:hAnsi="Times New Roman"/>
          <w:sz w:val="20"/>
          <w:szCs w:val="20"/>
          <w:color w:val="1E1E1E"/>
        </w:rPr>
        <w:t>EXHIBITS, FINANCIAL STATEMENTS AND SCHEDULE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(a)(2) Financial Statements and Financial Statement Schedule</w:t>
      </w:r>
    </w:p>
    <w:p>
      <w:pPr>
        <w:spacing w:after="0" w:line="205" w:lineRule="exact"/>
        <w:rPr>
          <w:sz w:val="20"/>
          <w:szCs w:val="20"/>
          <w:color w:val="auto"/>
        </w:rPr>
      </w:pPr>
    </w:p>
    <w:p>
      <w:pPr>
        <w:ind w:right="80" w:firstLine="490"/>
        <w:spacing w:after="0" w:line="254" w:lineRule="auto"/>
        <w:rPr>
          <w:sz w:val="20"/>
          <w:szCs w:val="20"/>
          <w:color w:val="auto"/>
        </w:rPr>
      </w:pPr>
      <w:r>
        <w:rPr>
          <w:rFonts w:ascii="Times New Roman" w:cs="Times New Roman" w:eastAsia="Times New Roman" w:hAnsi="Times New Roman"/>
          <w:sz w:val="20"/>
          <w:szCs w:val="20"/>
          <w:color w:val="1E1E1E"/>
        </w:rPr>
        <w:t>See “Index to Consolidated Financial Statements” in Part II, Item 8 of this Annual Report on Form 10-K. Schedule II is included in Part II, Item 8. All other 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(a)(3) Exhibits</w:t>
      </w:r>
    </w:p>
    <w:p>
      <w:pPr>
        <w:spacing w:after="0" w:line="277"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Exhibit No.</w:t>
            </w:r>
          </w:p>
        </w:tc>
        <w:tc>
          <w:tcPr>
            <w:tcW w:w="8920" w:type="dxa"/>
            <w:vAlign w:val="bottom"/>
          </w:tcPr>
          <w:p>
            <w:pPr>
              <w:spacing w:after="0"/>
              <w:rPr>
                <w:sz w:val="20"/>
                <w:szCs w:val="20"/>
                <w:color w:val="auto"/>
              </w:rPr>
            </w:pPr>
          </w:p>
        </w:tc>
      </w:tr>
      <w:tr>
        <w:trPr>
          <w:trHeight w:val="284"/>
        </w:trPr>
        <w:tc>
          <w:tcPr>
            <w:tcW w:w="940" w:type="dxa"/>
            <w:vAlign w:val="bottom"/>
            <w:tcBorders>
              <w:top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3.1</w:t>
            </w:r>
          </w:p>
        </w:tc>
        <w:tc>
          <w:tcPr>
            <w:tcW w:w="160" w:type="dxa"/>
            <w:vAlign w:val="bottom"/>
          </w:tcPr>
          <w:p>
            <w:pPr>
              <w:spacing w:after="0"/>
              <w:rPr>
                <w:sz w:val="24"/>
                <w:szCs w:val="24"/>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Amended and Restated Articles of Incorporation of Duluth Holdings Inc., incorporated by reference to</w:t>
            </w:r>
          </w:p>
        </w:tc>
      </w:tr>
      <w:tr>
        <w:trPr>
          <w:trHeight w:val="264"/>
        </w:trPr>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Exhibit 3.1 of Pre-Effective Amendment No. 2 to the Company’s Registration Statement on Form S-1 (File</w:t>
            </w:r>
          </w:p>
        </w:tc>
      </w:tr>
      <w:tr>
        <w:trPr>
          <w:trHeight w:val="264"/>
        </w:trPr>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No. 333-207300), filed November 9, 2015.</w:t>
            </w:r>
          </w:p>
        </w:tc>
      </w:tr>
      <w:tr>
        <w:trPr>
          <w:trHeight w:val="26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3.2</w:t>
            </w: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Amended and Restated Bylaws of Duluth Holdings Inc., incorporated by reference to Exhibit 3.2 of the Pre-</w:t>
            </w:r>
          </w:p>
        </w:tc>
      </w:tr>
      <w:tr>
        <w:trPr>
          <w:trHeight w:val="264"/>
        </w:trPr>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Effective Amendment No. 2 to the Company’s Registration Statement on Form S-1 (File No. 333-207300),</w:t>
            </w:r>
          </w:p>
        </w:tc>
      </w:tr>
      <w:tr>
        <w:trPr>
          <w:trHeight w:val="269"/>
        </w:trPr>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filed November 9, 2015.</w:t>
            </w:r>
          </w:p>
        </w:tc>
      </w:tr>
      <w:tr>
        <w:trPr>
          <w:trHeight w:val="26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4.1</w:t>
            </w: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Description of Registrant’s Securities.</w:t>
            </w:r>
          </w:p>
        </w:tc>
      </w:tr>
      <w:tr>
        <w:trPr>
          <w:trHeight w:val="26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9.1</w:t>
            </w: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Voting Trust Agreement, dated November 1, 2021, by and between Stephen L. Schlecht, as trustee, and</w:t>
            </w:r>
          </w:p>
        </w:tc>
      </w:tr>
      <w:tr>
        <w:trPr>
          <w:trHeight w:val="264"/>
        </w:trPr>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w w:val="99"/>
              </w:rPr>
              <w:t>Duluth Holdings Inc., incorporated by reference to Exhibit 9.1 of the Company’s Annual Report on Form 10-</w:t>
            </w:r>
          </w:p>
        </w:tc>
      </w:tr>
      <w:tr>
        <w:trPr>
          <w:trHeight w:val="264"/>
        </w:trPr>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K filed March 25, 2022.</w:t>
            </w:r>
          </w:p>
        </w:tc>
      </w:tr>
      <w:tr>
        <w:trPr>
          <w:trHeight w:val="26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10.1+</w:t>
            </w: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Outside Director Compensation Policy, incorporated by reference to Exhibit 10.1 of the Company’s Annual</w:t>
            </w:r>
          </w:p>
        </w:tc>
      </w:tr>
      <w:tr>
        <w:trPr>
          <w:trHeight w:val="264"/>
        </w:trPr>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Report on Form 10-K for the year ended January 28, 2024.</w:t>
            </w:r>
          </w:p>
        </w:tc>
      </w:tr>
      <w:tr>
        <w:trPr>
          <w:trHeight w:val="26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10.2+</w:t>
            </w: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2015 Equity Incentive Plan of Duluth Holdings Inc., incorporated by reference to Exhibit 10.7 of the</w:t>
            </w:r>
          </w:p>
        </w:tc>
      </w:tr>
      <w:tr>
        <w:trPr>
          <w:trHeight w:val="264"/>
        </w:trPr>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Company’s Quarterly Report on Form 10-Q, filed December 18, 2015.</w:t>
            </w:r>
          </w:p>
        </w:tc>
      </w:tr>
      <w:tr>
        <w:trPr>
          <w:trHeight w:val="26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10.3+</w:t>
            </w: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2024 Equity Incentive Plan of Duluth Holdings Inc., incorporated by reference to Appendix A to the</w:t>
            </w:r>
          </w:p>
        </w:tc>
      </w:tr>
      <w:tr>
        <w:trPr>
          <w:trHeight w:val="269"/>
        </w:trPr>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Company’s Proxy Statement on Schedule 14A filed on April 5, 2025.</w:t>
            </w:r>
          </w:p>
        </w:tc>
      </w:tr>
      <w:tr>
        <w:trPr>
          <w:trHeight w:val="26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10.4+</w:t>
            </w: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Form of Restricted Stock Agreement for non-employee directors under the 2015 Equity Incentive Plan,</w:t>
            </w:r>
          </w:p>
        </w:tc>
      </w:tr>
      <w:tr>
        <w:trPr>
          <w:trHeight w:val="264"/>
        </w:trPr>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incorporated by reference to Exhibit 10.17 of the Company’s Registration Statement on Form S-1 (File No.</w:t>
            </w:r>
          </w:p>
        </w:tc>
      </w:tr>
      <w:tr>
        <w:trPr>
          <w:trHeight w:val="264"/>
        </w:trPr>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333-207300), filed October 6, 2015.</w:t>
            </w:r>
          </w:p>
        </w:tc>
      </w:tr>
      <w:tr>
        <w:trPr>
          <w:trHeight w:val="26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10.5</w:t>
            </w: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Commercial Lease between Schlecht Retail Ventures LLC and Duluth Holdings Inc., dated February 14,</w:t>
            </w:r>
          </w:p>
        </w:tc>
      </w:tr>
      <w:tr>
        <w:trPr>
          <w:trHeight w:val="264"/>
        </w:trPr>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2010 (100 West Main Street, Mt. Horeb, Wisconsin), incorporated by reference to Exhibit 10.19 of the</w:t>
            </w:r>
          </w:p>
        </w:tc>
      </w:tr>
      <w:tr>
        <w:trPr>
          <w:trHeight w:val="264"/>
        </w:trPr>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Company’s Registration Statement on Form S-1 (File No. 333-207300), filed October 6, 2015.</w:t>
            </w:r>
          </w:p>
        </w:tc>
      </w:tr>
      <w:tr>
        <w:trPr>
          <w:trHeight w:val="26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10.6</w:t>
            </w: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w w:val="99"/>
              </w:rPr>
              <w:t>Form of S Corporation Termination, Tax Allocation and Indemnification Agreement among Duluth Holdings</w:t>
            </w:r>
          </w:p>
        </w:tc>
      </w:tr>
      <w:tr>
        <w:trPr>
          <w:trHeight w:val="264"/>
        </w:trPr>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Inc. and shareholders of Duluth Holdings Inc., incorporated by reference to Exhibit 10.23 of Pre-Effective</w:t>
            </w:r>
          </w:p>
        </w:tc>
      </w:tr>
      <w:tr>
        <w:trPr>
          <w:trHeight w:val="264"/>
        </w:trPr>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Amendment No. 1 to the Company’s Registration Statement on Form S-1 (File No. 333-207300), filed</w:t>
            </w:r>
          </w:p>
        </w:tc>
      </w:tr>
      <w:tr>
        <w:trPr>
          <w:trHeight w:val="269"/>
        </w:trPr>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October 13, 2015.</w:t>
            </w:r>
          </w:p>
        </w:tc>
      </w:tr>
      <w:tr>
        <w:trPr>
          <w:trHeight w:val="26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10.7</w:t>
            </w: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Amended and Restated Annual Incentive Plan, incorporated by reference to Exhibit 10.1 of the Company’s</w:t>
            </w:r>
          </w:p>
        </w:tc>
      </w:tr>
      <w:tr>
        <w:trPr>
          <w:trHeight w:val="264"/>
        </w:trPr>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Current Report on Form 8-K dated February 20, 2024.</w:t>
            </w:r>
          </w:p>
        </w:tc>
      </w:tr>
      <w:tr>
        <w:trPr>
          <w:trHeight w:val="26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10.8+</w:t>
            </w: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Form of Restricted Stock Agreement for executives under the 2015 Equity Incentive Plan, incorporated by</w:t>
            </w:r>
          </w:p>
        </w:tc>
      </w:tr>
      <w:tr>
        <w:trPr>
          <w:trHeight w:val="264"/>
        </w:trPr>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reference to Exhibit 10.1 of the Company’s Quarterly Report on Form 10-Q dated May 1, 2016.</w:t>
            </w:r>
          </w:p>
        </w:tc>
      </w:tr>
      <w:tr>
        <w:trPr>
          <w:trHeight w:val="26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10.9+</w:t>
            </w: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Form of Restrictive Covenant Agreement, incorporated by reference to Exhibit 10.2 of the Company’s</w:t>
            </w:r>
          </w:p>
        </w:tc>
      </w:tr>
      <w:tr>
        <w:trPr>
          <w:trHeight w:val="269"/>
        </w:trPr>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Current Report on Form 8-K dated July 24, 2017.</w:t>
            </w:r>
          </w:p>
        </w:tc>
      </w:tr>
      <w:tr>
        <w:trPr>
          <w:trHeight w:val="26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10.10+</w:t>
            </w: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First Amended and Restated Employment Agreement, dated as of May 27, 2021, between Stephen L.</w:t>
            </w:r>
          </w:p>
        </w:tc>
      </w:tr>
      <w:tr>
        <w:trPr>
          <w:trHeight w:val="264"/>
        </w:trPr>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Schlecht and the Company, incorporated by reference to Exhibit 10.1 of the Company’s Quarterly Report on</w:t>
            </w:r>
          </w:p>
        </w:tc>
      </w:tr>
      <w:tr>
        <w:trPr>
          <w:trHeight w:val="264"/>
        </w:trPr>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Form 10-Q dated September 3, 2021.</w:t>
            </w:r>
          </w:p>
        </w:tc>
      </w:tr>
      <w:tr>
        <w:trPr>
          <w:trHeight w:val="26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10.11+</w:t>
            </w: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w w:val="99"/>
              </w:rPr>
              <w:t>Employment Agreement between Duluth Holdings Inc. and Samuel M. Sato dated May 3, 2021, incorporated</w:t>
            </w:r>
          </w:p>
        </w:tc>
      </w:tr>
      <w:tr>
        <w:trPr>
          <w:trHeight w:val="264"/>
        </w:trPr>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by reference to Exhibit 10.3 of the Company’s Quarterly Report on 10-Q dated June 4, 2021.</w:t>
            </w:r>
          </w:p>
        </w:tc>
      </w:tr>
      <w:tr>
        <w:trPr>
          <w:trHeight w:val="26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10.12+</w:t>
            </w: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Offer Letter dated January 24, 2020 by and between David S. Homolka and Duluth Holdings Inc.,</w:t>
            </w:r>
          </w:p>
        </w:tc>
      </w:tr>
      <w:tr>
        <w:trPr>
          <w:trHeight w:val="264"/>
        </w:trPr>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incorporated by reference to Exhibit 10.18 of the Company’s Annual Report on Form 10-K, filed March 25,</w:t>
            </w:r>
          </w:p>
        </w:tc>
      </w:tr>
      <w:tr>
        <w:trPr>
          <w:trHeight w:val="270"/>
        </w:trPr>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2022.</w:t>
            </w:r>
          </w:p>
        </w:tc>
      </w:tr>
    </w:tbl>
    <w:p>
      <w:pPr>
        <w:spacing w:after="0" w:line="200" w:lineRule="exact"/>
        <w:rPr>
          <w:sz w:val="20"/>
          <w:szCs w:val="20"/>
          <w:color w:val="auto"/>
        </w:rPr>
      </w:pPr>
    </w:p>
    <w:p>
      <w:pPr>
        <w:sectPr>
          <w:pgSz w:w="11880" w:h="15480" w:orient="portrait"/>
          <w:cols w:equalWidth="0" w:num="1">
            <w:col w:w="10120"/>
          </w:cols>
          <w:pgMar w:left="820" w:top="658" w:right="940" w:bottom="0" w:gutter="0" w:footer="0" w:header="0"/>
        </w:sectPr>
      </w:pPr>
    </w:p>
    <w:p>
      <w:pPr>
        <w:spacing w:after="0" w:line="1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1E1E1E"/>
        </w:rPr>
        <w:t>66</w:t>
      </w:r>
    </w:p>
    <w:p>
      <w:pPr>
        <w:sectPr>
          <w:pgSz w:w="11880" w:h="15480" w:orient="portrait"/>
          <w:cols w:equalWidth="0" w:num="1">
            <w:col w:w="10120"/>
          </w:cols>
          <w:pgMar w:left="820" w:top="658" w:right="940" w:bottom="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6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1E1E1E"/>
              </w:rPr>
              <w:t>10.13+</w:t>
            </w: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Offer Letter dated January 24, 2020 by and between Richard W. Schlecht and Duluth Holdings Inc.,</w:t>
            </w:r>
          </w:p>
        </w:tc>
      </w:tr>
      <w:tr>
        <w:trPr>
          <w:trHeight w:val="264"/>
        </w:trPr>
        <w:tc>
          <w:tcPr>
            <w:tcW w:w="920" w:type="dxa"/>
            <w:vAlign w:val="bottom"/>
          </w:tcPr>
          <w:p>
            <w:pPr>
              <w:spacing w:after="0"/>
              <w:rPr>
                <w:sz w:val="22"/>
                <w:szCs w:val="22"/>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incorporated by reference to Exhibit 10.19 of the Company’s Annual Report on Form 10-K, filed March 25,</w:t>
            </w:r>
          </w:p>
        </w:tc>
      </w:tr>
      <w:tr>
        <w:trPr>
          <w:trHeight w:val="264"/>
        </w:trPr>
        <w:tc>
          <w:tcPr>
            <w:tcW w:w="920" w:type="dxa"/>
            <w:vAlign w:val="bottom"/>
          </w:tcPr>
          <w:p>
            <w:pPr>
              <w:spacing w:after="0"/>
              <w:rPr>
                <w:sz w:val="22"/>
                <w:szCs w:val="22"/>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2022.</w:t>
            </w:r>
          </w:p>
        </w:tc>
      </w:tr>
      <w:tr>
        <w:trPr>
          <w:trHeight w:val="26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1E1E1E"/>
              </w:rPr>
              <w:t>10.14</w:t>
            </w: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Credit Agreement, dated as of May 14, 2021, among Duluth Holdings Inc., the Lenders party thereto, Bank</w:t>
            </w:r>
          </w:p>
        </w:tc>
      </w:tr>
      <w:tr>
        <w:trPr>
          <w:trHeight w:val="264"/>
        </w:trPr>
        <w:tc>
          <w:tcPr>
            <w:tcW w:w="920" w:type="dxa"/>
            <w:vAlign w:val="bottom"/>
          </w:tcPr>
          <w:p>
            <w:pPr>
              <w:spacing w:after="0"/>
              <w:rPr>
                <w:sz w:val="22"/>
                <w:szCs w:val="22"/>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of America, N.A., as Administrative Agent, Swingline Lender and L/C Issuer, BofA Securities, Inc., as a</w:t>
            </w:r>
          </w:p>
        </w:tc>
      </w:tr>
      <w:tr>
        <w:trPr>
          <w:trHeight w:val="269"/>
        </w:trPr>
        <w:tc>
          <w:tcPr>
            <w:tcW w:w="920" w:type="dxa"/>
            <w:vAlign w:val="bottom"/>
          </w:tcPr>
          <w:p>
            <w:pPr>
              <w:spacing w:after="0"/>
              <w:rPr>
                <w:sz w:val="23"/>
                <w:szCs w:val="23"/>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Joint Lead Arranger and Sole Bookrunner, and Keybanc Capital Markets Inc., as a Joint Lead Arranger,</w:t>
            </w:r>
          </w:p>
        </w:tc>
      </w:tr>
      <w:tr>
        <w:trPr>
          <w:trHeight w:val="264"/>
        </w:trPr>
        <w:tc>
          <w:tcPr>
            <w:tcW w:w="920" w:type="dxa"/>
            <w:vAlign w:val="bottom"/>
          </w:tcPr>
          <w:p>
            <w:pPr>
              <w:spacing w:after="0"/>
              <w:rPr>
                <w:sz w:val="22"/>
                <w:szCs w:val="22"/>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incorporated by reference to Exhibit 10.1 of the Company’s Current Report on Form 8-K dated May 14,</w:t>
            </w:r>
          </w:p>
        </w:tc>
      </w:tr>
      <w:tr>
        <w:trPr>
          <w:trHeight w:val="264"/>
        </w:trPr>
        <w:tc>
          <w:tcPr>
            <w:tcW w:w="920" w:type="dxa"/>
            <w:vAlign w:val="bottom"/>
          </w:tcPr>
          <w:p>
            <w:pPr>
              <w:spacing w:after="0"/>
              <w:rPr>
                <w:sz w:val="22"/>
                <w:szCs w:val="22"/>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2021.</w:t>
            </w:r>
          </w:p>
        </w:tc>
      </w:tr>
      <w:tr>
        <w:trPr>
          <w:trHeight w:val="26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1E1E1E"/>
              </w:rPr>
              <w:t>10.15</w:t>
            </w: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Security Agreement, dated as of May 14, 2021, by and between Duluth Holdings Inc. and Bank of America,</w:t>
            </w:r>
          </w:p>
        </w:tc>
      </w:tr>
      <w:tr>
        <w:trPr>
          <w:trHeight w:val="264"/>
        </w:trPr>
        <w:tc>
          <w:tcPr>
            <w:tcW w:w="920" w:type="dxa"/>
            <w:vAlign w:val="bottom"/>
          </w:tcPr>
          <w:p>
            <w:pPr>
              <w:spacing w:after="0"/>
              <w:rPr>
                <w:sz w:val="22"/>
                <w:szCs w:val="22"/>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N.A., incorporated by reference to Exhibit 10.2 of the Company’s Current Report on Form 8-K dated May</w:t>
            </w:r>
          </w:p>
        </w:tc>
      </w:tr>
      <w:tr>
        <w:trPr>
          <w:trHeight w:val="264"/>
        </w:trPr>
        <w:tc>
          <w:tcPr>
            <w:tcW w:w="920" w:type="dxa"/>
            <w:vAlign w:val="bottom"/>
          </w:tcPr>
          <w:p>
            <w:pPr>
              <w:spacing w:after="0"/>
              <w:rPr>
                <w:sz w:val="22"/>
                <w:szCs w:val="22"/>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14, 2021.</w:t>
            </w:r>
          </w:p>
        </w:tc>
      </w:tr>
      <w:tr>
        <w:trPr>
          <w:trHeight w:val="26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1E1E1E"/>
              </w:rPr>
              <w:t>10.16+</w:t>
            </w: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Duluth Holdings Inc. Executive Change in Control Severance Plan incorporated by reference to Exhibit 10.1</w:t>
            </w:r>
          </w:p>
        </w:tc>
      </w:tr>
      <w:tr>
        <w:trPr>
          <w:trHeight w:val="264"/>
        </w:trPr>
        <w:tc>
          <w:tcPr>
            <w:tcW w:w="920" w:type="dxa"/>
            <w:vAlign w:val="bottom"/>
          </w:tcPr>
          <w:p>
            <w:pPr>
              <w:spacing w:after="0"/>
              <w:rPr>
                <w:sz w:val="22"/>
                <w:szCs w:val="22"/>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of the Company’s Current Report on Form 8-K dated April 14, 2022.</w:t>
            </w:r>
          </w:p>
        </w:tc>
      </w:tr>
      <w:tr>
        <w:trPr>
          <w:trHeight w:val="26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1E1E1E"/>
              </w:rPr>
              <w:t>10.17+</w:t>
            </w: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Duluth Holdings Inc. Executive General Severance Plan Incorporated by reference to Exhibit 10.2 of the</w:t>
            </w:r>
          </w:p>
        </w:tc>
      </w:tr>
      <w:tr>
        <w:trPr>
          <w:trHeight w:val="264"/>
        </w:trPr>
        <w:tc>
          <w:tcPr>
            <w:tcW w:w="920" w:type="dxa"/>
            <w:vAlign w:val="bottom"/>
          </w:tcPr>
          <w:p>
            <w:pPr>
              <w:spacing w:after="0"/>
              <w:rPr>
                <w:sz w:val="22"/>
                <w:szCs w:val="22"/>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Company’s Current Report on Form 8-K dated April 14, 2022.</w:t>
            </w:r>
          </w:p>
        </w:tc>
      </w:tr>
      <w:tr>
        <w:trPr>
          <w:trHeight w:val="26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1E1E1E"/>
              </w:rPr>
              <w:t>10.18</w:t>
            </w: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First Amendment, dated as of July 8, 2022, among Duluth Holdings Inc., the Lenders party thereto, Bank of</w:t>
            </w:r>
          </w:p>
        </w:tc>
      </w:tr>
      <w:tr>
        <w:trPr>
          <w:trHeight w:val="264"/>
        </w:trPr>
        <w:tc>
          <w:tcPr>
            <w:tcW w:w="920" w:type="dxa"/>
            <w:vAlign w:val="bottom"/>
          </w:tcPr>
          <w:p>
            <w:pPr>
              <w:spacing w:after="0"/>
              <w:rPr>
                <w:sz w:val="22"/>
                <w:szCs w:val="22"/>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America, N.A., as Administrative Agent, Swingline Lender and L/C Issuer, BofA Securities, Inc., as a Joint</w:t>
            </w:r>
          </w:p>
        </w:tc>
      </w:tr>
      <w:tr>
        <w:trPr>
          <w:trHeight w:val="264"/>
        </w:trPr>
        <w:tc>
          <w:tcPr>
            <w:tcW w:w="920" w:type="dxa"/>
            <w:vAlign w:val="bottom"/>
          </w:tcPr>
          <w:p>
            <w:pPr>
              <w:spacing w:after="0"/>
              <w:rPr>
                <w:sz w:val="22"/>
                <w:szCs w:val="22"/>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Lead Arranger and Sole Bookrunner, and Keybanc Capital Markets Inc., as a Joint Lead Arranger,</w:t>
            </w:r>
          </w:p>
        </w:tc>
      </w:tr>
      <w:tr>
        <w:trPr>
          <w:trHeight w:val="264"/>
        </w:trPr>
        <w:tc>
          <w:tcPr>
            <w:tcW w:w="920" w:type="dxa"/>
            <w:vAlign w:val="bottom"/>
          </w:tcPr>
          <w:p>
            <w:pPr>
              <w:spacing w:after="0"/>
              <w:rPr>
                <w:sz w:val="22"/>
                <w:szCs w:val="22"/>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incorporated by reference to Exhibit 10.1 of the Company’s Current Report on Form 8-K dated July 8, 2022.</w:t>
            </w:r>
          </w:p>
        </w:tc>
      </w:tr>
      <w:tr>
        <w:trPr>
          <w:trHeight w:val="26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1E1E1E"/>
              </w:rPr>
              <w:t>10.19+</w:t>
            </w: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Offer Letter dated July 27, 2022 by and between Albert J. Sutera and Duluth Holdings Inc., incorporated by</w:t>
            </w:r>
          </w:p>
        </w:tc>
      </w:tr>
      <w:tr>
        <w:trPr>
          <w:trHeight w:val="264"/>
        </w:trPr>
        <w:tc>
          <w:tcPr>
            <w:tcW w:w="920" w:type="dxa"/>
            <w:vAlign w:val="bottom"/>
          </w:tcPr>
          <w:p>
            <w:pPr>
              <w:spacing w:after="0"/>
              <w:rPr>
                <w:sz w:val="22"/>
                <w:szCs w:val="22"/>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reference to Exhibit 10.1 of the Company’s Quarterly Report on Form 10-Q dated September 2, 2022.</w:t>
            </w:r>
          </w:p>
        </w:tc>
      </w:tr>
      <w:tr>
        <w:trPr>
          <w:trHeight w:val="26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1E1E1E"/>
              </w:rPr>
              <w:t>10.20+</w:t>
            </w: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Offer Letter dated January 17, 2024 by and between Heena Agrawal and Duluth Holdings Inc., incorporated</w:t>
            </w:r>
          </w:p>
        </w:tc>
      </w:tr>
      <w:tr>
        <w:trPr>
          <w:trHeight w:val="264"/>
        </w:trPr>
        <w:tc>
          <w:tcPr>
            <w:tcW w:w="920" w:type="dxa"/>
            <w:vAlign w:val="bottom"/>
          </w:tcPr>
          <w:p>
            <w:pPr>
              <w:spacing w:after="0"/>
              <w:rPr>
                <w:sz w:val="22"/>
                <w:szCs w:val="22"/>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by reference to Exhibit 10.1 of the Company’s Current Report on Form 8-K dated January 18, 2024.</w:t>
            </w:r>
          </w:p>
        </w:tc>
      </w:tr>
      <w:tr>
        <w:trPr>
          <w:trHeight w:val="26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1E1E1E"/>
              </w:rPr>
              <w:t>10.21+</w:t>
            </w: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Inducement Restricted Stock Award Agreement, dated February 12, 2024, by and between Heena Agrawal</w:t>
            </w:r>
          </w:p>
        </w:tc>
      </w:tr>
      <w:tr>
        <w:trPr>
          <w:trHeight w:val="264"/>
        </w:trPr>
        <w:tc>
          <w:tcPr>
            <w:tcW w:w="920" w:type="dxa"/>
            <w:vAlign w:val="bottom"/>
          </w:tcPr>
          <w:p>
            <w:pPr>
              <w:spacing w:after="0"/>
              <w:rPr>
                <w:sz w:val="22"/>
                <w:szCs w:val="22"/>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and Duluth Holdings Inc., incorporated by reference to the Company’s Current Report on Form 8-K dated</w:t>
            </w:r>
          </w:p>
        </w:tc>
      </w:tr>
      <w:tr>
        <w:trPr>
          <w:trHeight w:val="269"/>
        </w:trPr>
        <w:tc>
          <w:tcPr>
            <w:tcW w:w="920" w:type="dxa"/>
            <w:vAlign w:val="bottom"/>
          </w:tcPr>
          <w:p>
            <w:pPr>
              <w:spacing w:after="0"/>
              <w:rPr>
                <w:sz w:val="23"/>
                <w:szCs w:val="23"/>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February 12, 2024.</w:t>
            </w:r>
          </w:p>
        </w:tc>
      </w:tr>
      <w:tr>
        <w:trPr>
          <w:trHeight w:val="26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1E1E1E"/>
              </w:rPr>
              <w:t>10.22+</w:t>
            </w: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Offer Letter dated July 18, 2024 by and between Ei Getson and Duluth Holdings Inc.*</w:t>
            </w:r>
          </w:p>
        </w:tc>
      </w:tr>
      <w:tr>
        <w:trPr>
          <w:trHeight w:val="26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1E1E1E"/>
              </w:rPr>
              <w:t>10.23+</w:t>
            </w: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Offer Letter dated August 5, 2024 by and between Garth Weber and Duluth Holdings Inc.*</w:t>
            </w:r>
          </w:p>
        </w:tc>
      </w:tr>
      <w:tr>
        <w:trPr>
          <w:trHeight w:val="26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1E1E1E"/>
              </w:rPr>
              <w:t>10.24+</w:t>
            </w: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Second Amendment to Employment Agreement, dated as of February 26, 2025, by and between Stephen L.</w:t>
            </w:r>
          </w:p>
        </w:tc>
      </w:tr>
      <w:tr>
        <w:trPr>
          <w:trHeight w:val="264"/>
        </w:trPr>
        <w:tc>
          <w:tcPr>
            <w:tcW w:w="920" w:type="dxa"/>
            <w:vAlign w:val="bottom"/>
          </w:tcPr>
          <w:p>
            <w:pPr>
              <w:spacing w:after="0"/>
              <w:rPr>
                <w:sz w:val="22"/>
                <w:szCs w:val="22"/>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Schlecht and Duluth Holdings Inc.*</w:t>
            </w:r>
          </w:p>
        </w:tc>
      </w:tr>
      <w:tr>
        <w:trPr>
          <w:trHeight w:val="26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1E1E1E"/>
              </w:rPr>
              <w:t>10.25+</w:t>
            </w: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Form of Restricted Stock Agreement for executives under the 2024 Equity Incentive Plan, incorporated by</w:t>
            </w:r>
          </w:p>
        </w:tc>
      </w:tr>
      <w:tr>
        <w:trPr>
          <w:trHeight w:val="264"/>
        </w:trPr>
        <w:tc>
          <w:tcPr>
            <w:tcW w:w="920" w:type="dxa"/>
            <w:vAlign w:val="bottom"/>
          </w:tcPr>
          <w:p>
            <w:pPr>
              <w:spacing w:after="0"/>
              <w:rPr>
                <w:sz w:val="22"/>
                <w:szCs w:val="22"/>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reference to the Company’s Quarterly Report on Form 10-Q for the quarter ended July 28, 2024.*</w:t>
            </w:r>
          </w:p>
        </w:tc>
      </w:tr>
      <w:tr>
        <w:trPr>
          <w:trHeight w:val="26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1E1E1E"/>
              </w:rPr>
              <w:t>10.26</w:t>
            </w: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Form of Restricted Stock Agreement for non-employee directors under the 2024 Equity Incentive Plan,</w:t>
            </w:r>
          </w:p>
        </w:tc>
      </w:tr>
      <w:tr>
        <w:trPr>
          <w:trHeight w:val="264"/>
        </w:trPr>
        <w:tc>
          <w:tcPr>
            <w:tcW w:w="920" w:type="dxa"/>
            <w:vAlign w:val="bottom"/>
          </w:tcPr>
          <w:p>
            <w:pPr>
              <w:spacing w:after="0"/>
              <w:rPr>
                <w:sz w:val="22"/>
                <w:szCs w:val="22"/>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incorporated by reference to the Company’s Quarterly Report on Form 10-Q for the quarter ended July 28,</w:t>
            </w:r>
          </w:p>
        </w:tc>
      </w:tr>
      <w:tr>
        <w:trPr>
          <w:trHeight w:val="264"/>
        </w:trPr>
        <w:tc>
          <w:tcPr>
            <w:tcW w:w="920" w:type="dxa"/>
            <w:vAlign w:val="bottom"/>
          </w:tcPr>
          <w:p>
            <w:pPr>
              <w:spacing w:after="0"/>
              <w:rPr>
                <w:sz w:val="22"/>
                <w:szCs w:val="22"/>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2024.</w:t>
            </w:r>
          </w:p>
        </w:tc>
      </w:tr>
      <w:tr>
        <w:trPr>
          <w:trHeight w:val="26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1E1E1E"/>
              </w:rPr>
              <w:t>10.27</w:t>
            </w: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Second Amendment, dated as of January 31, 2025, among Duluth Holdings Inc., the Lenders party thereto,</w:t>
            </w:r>
          </w:p>
        </w:tc>
      </w:tr>
      <w:tr>
        <w:trPr>
          <w:trHeight w:val="264"/>
        </w:trPr>
        <w:tc>
          <w:tcPr>
            <w:tcW w:w="920" w:type="dxa"/>
            <w:vAlign w:val="bottom"/>
          </w:tcPr>
          <w:p>
            <w:pPr>
              <w:spacing w:after="0"/>
              <w:rPr>
                <w:sz w:val="22"/>
                <w:szCs w:val="22"/>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w w:val="99"/>
              </w:rPr>
              <w:t>Bank of America, N.A., as Administrative Agent, Swingline Lender and L/C Issuer, BofA Securities, Inc., as</w:t>
            </w:r>
          </w:p>
        </w:tc>
      </w:tr>
      <w:tr>
        <w:trPr>
          <w:trHeight w:val="264"/>
        </w:trPr>
        <w:tc>
          <w:tcPr>
            <w:tcW w:w="920" w:type="dxa"/>
            <w:vAlign w:val="bottom"/>
          </w:tcPr>
          <w:p>
            <w:pPr>
              <w:spacing w:after="0"/>
              <w:rPr>
                <w:sz w:val="22"/>
                <w:szCs w:val="22"/>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a Joint Lead Arranger and Sole Bookrunner, and Keybanc Capital Markets Inc., as a Joint Lead Arranger,</w:t>
            </w:r>
          </w:p>
        </w:tc>
      </w:tr>
      <w:tr>
        <w:trPr>
          <w:trHeight w:val="264"/>
        </w:trPr>
        <w:tc>
          <w:tcPr>
            <w:tcW w:w="920" w:type="dxa"/>
            <w:vAlign w:val="bottom"/>
          </w:tcPr>
          <w:p>
            <w:pPr>
              <w:spacing w:after="0"/>
              <w:rPr>
                <w:sz w:val="22"/>
                <w:szCs w:val="22"/>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incorporated by reference to Exhibit 10.1 of the Company’s Current Report on Form 8-K dated January 31,</w:t>
            </w:r>
          </w:p>
        </w:tc>
      </w:tr>
      <w:tr>
        <w:trPr>
          <w:trHeight w:val="264"/>
        </w:trPr>
        <w:tc>
          <w:tcPr>
            <w:tcW w:w="920" w:type="dxa"/>
            <w:vAlign w:val="bottom"/>
          </w:tcPr>
          <w:p>
            <w:pPr>
              <w:spacing w:after="0"/>
              <w:rPr>
                <w:sz w:val="22"/>
                <w:szCs w:val="22"/>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2025.</w:t>
            </w:r>
          </w:p>
        </w:tc>
      </w:tr>
      <w:tr>
        <w:trPr>
          <w:trHeight w:val="26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1E1E1E"/>
              </w:rPr>
              <w:t>19.1</w:t>
            </w: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Duluth Holdings Inc. Statement of Policy on Securities Trading.*</w:t>
            </w:r>
          </w:p>
        </w:tc>
      </w:tr>
      <w:tr>
        <w:trPr>
          <w:trHeight w:val="26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1E1E1E"/>
              </w:rPr>
              <w:t>23.1</w:t>
            </w: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Consent of KPMG LLP.*</w:t>
            </w:r>
          </w:p>
        </w:tc>
      </w:tr>
      <w:tr>
        <w:trPr>
          <w:trHeight w:val="26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1E1E1E"/>
              </w:rPr>
              <w:t>24.1</w:t>
            </w: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Power of Attorney.*</w:t>
            </w:r>
          </w:p>
        </w:tc>
      </w:tr>
      <w:tr>
        <w:trPr>
          <w:trHeight w:val="26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1E1E1E"/>
              </w:rPr>
              <w:t>31.1</w:t>
            </w: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Certification of Chief Executive Officer pursuant to Rule 13a-14(a) and Rule 15d-14(a) of the Securities and</w:t>
            </w:r>
          </w:p>
        </w:tc>
      </w:tr>
      <w:tr>
        <w:trPr>
          <w:trHeight w:val="264"/>
        </w:trPr>
        <w:tc>
          <w:tcPr>
            <w:tcW w:w="920" w:type="dxa"/>
            <w:vAlign w:val="bottom"/>
          </w:tcPr>
          <w:p>
            <w:pPr>
              <w:spacing w:after="0"/>
              <w:rPr>
                <w:sz w:val="22"/>
                <w:szCs w:val="22"/>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Exchange Act, as amended.*</w:t>
            </w:r>
          </w:p>
        </w:tc>
      </w:tr>
      <w:tr>
        <w:trPr>
          <w:trHeight w:val="26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1E1E1E"/>
              </w:rPr>
              <w:t>31.2</w:t>
            </w: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Certification of Chief Financial Officer pursuant to Rule 13a-14(a) and Rule 15d-14(a) of the Securities and</w:t>
            </w:r>
          </w:p>
        </w:tc>
      </w:tr>
      <w:tr>
        <w:trPr>
          <w:trHeight w:val="264"/>
        </w:trPr>
        <w:tc>
          <w:tcPr>
            <w:tcW w:w="920" w:type="dxa"/>
            <w:vAlign w:val="bottom"/>
          </w:tcPr>
          <w:p>
            <w:pPr>
              <w:spacing w:after="0"/>
              <w:rPr>
                <w:sz w:val="22"/>
                <w:szCs w:val="22"/>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Exchange Act of 1934, as amended.*</w:t>
            </w:r>
          </w:p>
        </w:tc>
      </w:tr>
      <w:tr>
        <w:trPr>
          <w:trHeight w:val="26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1E1E1E"/>
              </w:rPr>
              <w:t>32.1</w:t>
            </w: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Certification of Chief Executive Officer pursuant to 18 U.S.C. Section 1350, as adopted pursuant to Section</w:t>
            </w:r>
          </w:p>
        </w:tc>
      </w:tr>
      <w:tr>
        <w:trPr>
          <w:trHeight w:val="264"/>
        </w:trPr>
        <w:tc>
          <w:tcPr>
            <w:tcW w:w="920" w:type="dxa"/>
            <w:vAlign w:val="bottom"/>
          </w:tcPr>
          <w:p>
            <w:pPr>
              <w:spacing w:after="0"/>
              <w:rPr>
                <w:sz w:val="22"/>
                <w:szCs w:val="22"/>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906 of the Sarbanes-Oxley Act of 2002.*</w:t>
            </w:r>
          </w:p>
        </w:tc>
      </w:tr>
      <w:tr>
        <w:trPr>
          <w:trHeight w:val="26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1E1E1E"/>
              </w:rPr>
              <w:t>32.2</w:t>
            </w: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Certification of Chief Financial Officer pursuant to 18 U.S.C. Section 1350, as adopted pursuant to Section</w:t>
            </w:r>
          </w:p>
        </w:tc>
      </w:tr>
      <w:tr>
        <w:trPr>
          <w:trHeight w:val="264"/>
        </w:trPr>
        <w:tc>
          <w:tcPr>
            <w:tcW w:w="920" w:type="dxa"/>
            <w:vAlign w:val="bottom"/>
          </w:tcPr>
          <w:p>
            <w:pPr>
              <w:spacing w:after="0"/>
              <w:rPr>
                <w:sz w:val="22"/>
                <w:szCs w:val="22"/>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906 of the Sarbanes-Oxley Act of 2002.*</w:t>
            </w:r>
          </w:p>
        </w:tc>
      </w:tr>
      <w:tr>
        <w:trPr>
          <w:trHeight w:val="26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1E1E1E"/>
              </w:rPr>
              <w:t>97.1</w:t>
            </w: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w w:val="99"/>
              </w:rPr>
              <w:t>Executive Officer Compensation Recovery Policy, incorporated by reference to Exhibit 97 of the Company’s</w:t>
            </w:r>
          </w:p>
        </w:tc>
      </w:tr>
      <w:tr>
        <w:trPr>
          <w:trHeight w:val="270"/>
        </w:trPr>
        <w:tc>
          <w:tcPr>
            <w:tcW w:w="920" w:type="dxa"/>
            <w:vAlign w:val="bottom"/>
          </w:tcPr>
          <w:p>
            <w:pPr>
              <w:spacing w:after="0"/>
              <w:rPr>
                <w:sz w:val="23"/>
                <w:szCs w:val="23"/>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Annual Report on Form 10-K for the year ended January 28, 2024.</w:t>
            </w:r>
          </w:p>
        </w:tc>
      </w:tr>
    </w:tbl>
    <w:p>
      <w:pPr>
        <w:spacing w:after="0" w:line="159" w:lineRule="exact"/>
        <w:rPr>
          <w:sz w:val="20"/>
          <w:szCs w:val="20"/>
          <w:color w:val="auto"/>
        </w:rPr>
      </w:pPr>
    </w:p>
    <w:p>
      <w:pPr>
        <w:sectPr>
          <w:pgSz w:w="11880" w:h="15480" w:orient="portrait"/>
          <w:cols w:equalWidth="0" w:num="1">
            <w:col w:w="10000"/>
          </w:cols>
          <w:pgMar w:left="920" w:top="661" w:right="960" w:bottom="0" w:gutter="0" w:footer="0" w:header="0"/>
        </w:sectPr>
      </w:pPr>
    </w:p>
    <w:p>
      <w:pPr>
        <w:jc w:val="center"/>
        <w:ind w:right="-39"/>
        <w:spacing w:after="0"/>
        <w:rPr>
          <w:sz w:val="20"/>
          <w:szCs w:val="20"/>
          <w:color w:val="auto"/>
        </w:rPr>
      </w:pPr>
      <w:r>
        <w:rPr>
          <w:rFonts w:ascii="Times New Roman" w:cs="Times New Roman" w:eastAsia="Times New Roman" w:hAnsi="Times New Roman"/>
          <w:sz w:val="16"/>
          <w:szCs w:val="16"/>
          <w:color w:val="1E1E1E"/>
        </w:rPr>
        <w:t>67</w:t>
      </w:r>
    </w:p>
    <w:p>
      <w:pPr>
        <w:sectPr>
          <w:pgSz w:w="11880" w:h="15480" w:orient="portrait"/>
          <w:cols w:equalWidth="0" w:num="1">
            <w:col w:w="10000"/>
          </w:cols>
          <w:pgMar w:left="920" w:top="661" w:right="960" w:bottom="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1E1E1E"/>
              </w:rPr>
              <w:t>101.INS</w:t>
            </w:r>
          </w:p>
        </w:tc>
        <w:tc>
          <w:tcPr>
            <w:tcW w:w="7420" w:type="dxa"/>
            <w:vAlign w:val="bottom"/>
          </w:tcPr>
          <w:p>
            <w:pPr>
              <w:ind w:left="260"/>
              <w:spacing w:after="0"/>
              <w:rPr>
                <w:sz w:val="20"/>
                <w:szCs w:val="20"/>
                <w:color w:val="auto"/>
              </w:rPr>
            </w:pPr>
            <w:r>
              <w:rPr>
                <w:rFonts w:ascii="Times New Roman" w:cs="Times New Roman" w:eastAsia="Times New Roman" w:hAnsi="Times New Roman"/>
                <w:sz w:val="20"/>
                <w:szCs w:val="20"/>
                <w:color w:val="1E1E1E"/>
              </w:rPr>
              <w:t>XBRL Instance Document**</w:t>
            </w:r>
          </w:p>
        </w:tc>
      </w:tr>
      <w:tr>
        <w:trPr>
          <w:trHeight w:val="509"/>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1E1E1E"/>
              </w:rPr>
              <w:t>101.SCH</w:t>
            </w:r>
          </w:p>
        </w:tc>
        <w:tc>
          <w:tcPr>
            <w:tcW w:w="7420" w:type="dxa"/>
            <w:vAlign w:val="bottom"/>
          </w:tcPr>
          <w:p>
            <w:pPr>
              <w:ind w:left="260"/>
              <w:spacing w:after="0"/>
              <w:rPr>
                <w:sz w:val="20"/>
                <w:szCs w:val="20"/>
                <w:color w:val="auto"/>
              </w:rPr>
            </w:pPr>
            <w:r>
              <w:rPr>
                <w:rFonts w:ascii="Times New Roman" w:cs="Times New Roman" w:eastAsia="Times New Roman" w:hAnsi="Times New Roman"/>
                <w:sz w:val="20"/>
                <w:szCs w:val="20"/>
                <w:color w:val="1E1E1E"/>
              </w:rPr>
              <w:t>XBRL Taxonomy Extension Schema Document**</w:t>
            </w:r>
          </w:p>
        </w:tc>
      </w:tr>
      <w:tr>
        <w:trPr>
          <w:trHeight w:val="528"/>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1E1E1E"/>
              </w:rPr>
              <w:t>101.CAL</w:t>
            </w:r>
          </w:p>
        </w:tc>
        <w:tc>
          <w:tcPr>
            <w:tcW w:w="7420" w:type="dxa"/>
            <w:vAlign w:val="bottom"/>
          </w:tcPr>
          <w:p>
            <w:pPr>
              <w:ind w:left="260"/>
              <w:spacing w:after="0"/>
              <w:rPr>
                <w:sz w:val="20"/>
                <w:szCs w:val="20"/>
                <w:color w:val="auto"/>
              </w:rPr>
            </w:pPr>
            <w:r>
              <w:rPr>
                <w:rFonts w:ascii="Times New Roman" w:cs="Times New Roman" w:eastAsia="Times New Roman" w:hAnsi="Times New Roman"/>
                <w:sz w:val="20"/>
                <w:szCs w:val="20"/>
                <w:color w:val="1E1E1E"/>
              </w:rPr>
              <w:t>XBRL Taxonomy Extension Calculation Linkbase Document**</w:t>
            </w:r>
          </w:p>
        </w:tc>
      </w:tr>
      <w:tr>
        <w:trPr>
          <w:trHeight w:val="508"/>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1E1E1E"/>
              </w:rPr>
              <w:t>101.DEF</w:t>
            </w:r>
          </w:p>
        </w:tc>
        <w:tc>
          <w:tcPr>
            <w:tcW w:w="7420" w:type="dxa"/>
            <w:vAlign w:val="bottom"/>
          </w:tcPr>
          <w:p>
            <w:pPr>
              <w:ind w:left="260"/>
              <w:spacing w:after="0"/>
              <w:rPr>
                <w:sz w:val="20"/>
                <w:szCs w:val="20"/>
                <w:color w:val="auto"/>
              </w:rPr>
            </w:pPr>
            <w:r>
              <w:rPr>
                <w:rFonts w:ascii="Times New Roman" w:cs="Times New Roman" w:eastAsia="Times New Roman" w:hAnsi="Times New Roman"/>
                <w:sz w:val="20"/>
                <w:szCs w:val="20"/>
                <w:color w:val="1E1E1E"/>
              </w:rPr>
              <w:t>XBRL Taxonomy Extension Definition Document**</w:t>
            </w:r>
          </w:p>
        </w:tc>
      </w:tr>
      <w:tr>
        <w:trPr>
          <w:trHeight w:val="264"/>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1E1E1E"/>
              </w:rPr>
              <w:t>101.LAB</w:t>
            </w:r>
          </w:p>
        </w:tc>
        <w:tc>
          <w:tcPr>
            <w:tcW w:w="7420" w:type="dxa"/>
            <w:vAlign w:val="bottom"/>
          </w:tcPr>
          <w:p>
            <w:pPr>
              <w:ind w:left="260"/>
              <w:spacing w:after="0"/>
              <w:rPr>
                <w:sz w:val="20"/>
                <w:szCs w:val="20"/>
                <w:color w:val="auto"/>
              </w:rPr>
            </w:pPr>
            <w:r>
              <w:rPr>
                <w:rFonts w:ascii="Times New Roman" w:cs="Times New Roman" w:eastAsia="Times New Roman" w:hAnsi="Times New Roman"/>
                <w:sz w:val="20"/>
                <w:szCs w:val="20"/>
                <w:color w:val="1E1E1E"/>
              </w:rPr>
              <w:t>XBRL Taxonomy Extension Label Linkbase Document**</w:t>
            </w:r>
          </w:p>
        </w:tc>
      </w:tr>
      <w:tr>
        <w:trPr>
          <w:trHeight w:val="264"/>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1E1E1E"/>
              </w:rPr>
              <w:t>101.PRE</w:t>
            </w:r>
          </w:p>
        </w:tc>
        <w:tc>
          <w:tcPr>
            <w:tcW w:w="7420" w:type="dxa"/>
            <w:vAlign w:val="bottom"/>
          </w:tcPr>
          <w:p>
            <w:pPr>
              <w:ind w:left="260"/>
              <w:spacing w:after="0"/>
              <w:rPr>
                <w:sz w:val="20"/>
                <w:szCs w:val="20"/>
                <w:color w:val="auto"/>
              </w:rPr>
            </w:pPr>
            <w:r>
              <w:rPr>
                <w:rFonts w:ascii="Times New Roman" w:cs="Times New Roman" w:eastAsia="Times New Roman" w:hAnsi="Times New Roman"/>
                <w:sz w:val="20"/>
                <w:szCs w:val="20"/>
                <w:color w:val="1E1E1E"/>
              </w:rPr>
              <w:t>XBRL Taxonomy Extension Presentation Linkbase Document**</w:t>
            </w: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1E1E1E"/>
              </w:rPr>
              <w:t>104</w:t>
            </w:r>
          </w:p>
        </w:tc>
        <w:tc>
          <w:tcPr>
            <w:tcW w:w="7420" w:type="dxa"/>
            <w:vAlign w:val="bottom"/>
          </w:tcPr>
          <w:p>
            <w:pPr>
              <w:ind w:left="260"/>
              <w:spacing w:after="0"/>
              <w:rPr>
                <w:sz w:val="20"/>
                <w:szCs w:val="20"/>
                <w:color w:val="auto"/>
              </w:rPr>
            </w:pPr>
            <w:r>
              <w:rPr>
                <w:rFonts w:ascii="Times New Roman" w:cs="Times New Roman" w:eastAsia="Times New Roman" w:hAnsi="Times New Roman"/>
                <w:sz w:val="20"/>
                <w:szCs w:val="20"/>
                <w:color w:val="1E1E1E"/>
                <w:w w:val="99"/>
              </w:rPr>
              <w:t>Cover Page interactive data file (formatted as inline XBRL and contained in Exhibit 101)</w:t>
            </w:r>
          </w:p>
        </w:tc>
      </w:tr>
    </w:tbl>
    <w:p>
      <w:pPr>
        <w:spacing w:after="0" w:line="265" w:lineRule="exact"/>
        <w:rPr>
          <w:sz w:val="20"/>
          <w:szCs w:val="20"/>
          <w:color w:val="auto"/>
        </w:rPr>
      </w:pPr>
    </w:p>
    <w:p>
      <w:pPr>
        <w:ind w:left="1260"/>
        <w:spacing w:after="0"/>
        <w:tabs>
          <w:tab w:leader="none" w:pos="1660" w:val="left"/>
        </w:tabs>
        <w:rPr>
          <w:sz w:val="20"/>
          <w:szCs w:val="20"/>
          <w:color w:val="auto"/>
        </w:rPr>
      </w:pPr>
      <w:r>
        <w:rPr>
          <w:rFonts w:ascii="Times New Roman" w:cs="Times New Roman" w:eastAsia="Times New Roman" w:hAnsi="Times New Roman"/>
          <w:sz w:val="16"/>
          <w:szCs w:val="16"/>
          <w:color w:val="1E1E1E"/>
        </w:rPr>
        <w:t>+</w:t>
      </w:r>
      <w:r>
        <w:rPr>
          <w:sz w:val="20"/>
          <w:szCs w:val="20"/>
          <w:color w:val="auto"/>
        </w:rPr>
        <w:tab/>
      </w:r>
      <w:r>
        <w:rPr>
          <w:rFonts w:ascii="Times New Roman" w:cs="Times New Roman" w:eastAsia="Times New Roman" w:hAnsi="Times New Roman"/>
          <w:sz w:val="16"/>
          <w:szCs w:val="16"/>
          <w:color w:val="1E1E1E"/>
        </w:rPr>
        <w:t>Indicates a management contract or compensation plan or arrangement</w:t>
      </w:r>
    </w:p>
    <w:p>
      <w:pPr>
        <w:spacing w:after="0" w:line="2" w:lineRule="exact"/>
        <w:rPr>
          <w:sz w:val="20"/>
          <w:szCs w:val="20"/>
          <w:color w:val="auto"/>
        </w:rPr>
      </w:pPr>
    </w:p>
    <w:p>
      <w:pPr>
        <w:ind w:left="1260"/>
        <w:spacing w:after="0"/>
        <w:tabs>
          <w:tab w:leader="none" w:pos="1640" w:val="left"/>
        </w:tabs>
        <w:rPr>
          <w:sz w:val="20"/>
          <w:szCs w:val="20"/>
          <w:color w:val="auto"/>
        </w:rPr>
      </w:pPr>
      <w:r>
        <w:rPr>
          <w:rFonts w:ascii="Times New Roman" w:cs="Times New Roman" w:eastAsia="Times New Roman" w:hAnsi="Times New Roman"/>
          <w:sz w:val="16"/>
          <w:szCs w:val="16"/>
          <w:color w:val="1E1E1E"/>
        </w:rPr>
        <w:t>*</w:t>
      </w:r>
      <w:r>
        <w:rPr>
          <w:sz w:val="20"/>
          <w:szCs w:val="20"/>
          <w:color w:val="auto"/>
        </w:rPr>
        <w:tab/>
      </w:r>
      <w:r>
        <w:rPr>
          <w:rFonts w:ascii="Times New Roman" w:cs="Times New Roman" w:eastAsia="Times New Roman" w:hAnsi="Times New Roman"/>
          <w:sz w:val="16"/>
          <w:szCs w:val="16"/>
          <w:color w:val="1E1E1E"/>
        </w:rPr>
        <w:t>Filed herewith</w:t>
      </w:r>
    </w:p>
    <w:p>
      <w:pPr>
        <w:ind w:left="1540" w:hanging="269"/>
        <w:spacing w:after="0" w:line="325" w:lineRule="auto"/>
        <w:tabs>
          <w:tab w:leader="none" w:pos="1520" w:val="left"/>
        </w:tabs>
        <w:rPr>
          <w:sz w:val="20"/>
          <w:szCs w:val="20"/>
          <w:color w:val="auto"/>
        </w:rPr>
      </w:pPr>
      <w:r>
        <w:rPr>
          <w:rFonts w:ascii="Times New Roman" w:cs="Times New Roman" w:eastAsia="Times New Roman" w:hAnsi="Times New Roman"/>
          <w:sz w:val="16"/>
          <w:szCs w:val="16"/>
          <w:color w:val="1E1E1E"/>
        </w:rPr>
        <w:t>**</w:t>
        <w:tab/>
        <w:t>In accordance with Regulation S-T, the XBRL-related information in Exhibit 101 to this Annual Report on Form 10-K shall be deemed to be “furnished” and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color w:val="1E1E1E"/>
        </w:rPr>
        <w:t>ITEM 16.</w:t>
      </w:r>
      <w:r>
        <w:rPr>
          <w:sz w:val="20"/>
          <w:szCs w:val="20"/>
          <w:color w:val="auto"/>
        </w:rPr>
        <w:tab/>
      </w:r>
      <w:r>
        <w:rPr>
          <w:rFonts w:ascii="Times New Roman" w:cs="Times New Roman" w:eastAsia="Times New Roman" w:hAnsi="Times New Roman"/>
          <w:sz w:val="20"/>
          <w:szCs w:val="20"/>
          <w:color w:val="1E1E1E"/>
        </w:rPr>
        <w:t>FORM 10-K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1E1E1E"/>
        </w:rPr>
        <w:t>Not applicable.</w:t>
      </w:r>
    </w:p>
    <w:p>
      <w:pPr>
        <w:sectPr>
          <w:pgSz w:w="11880" w:h="15480" w:orient="portrait"/>
          <w:cols w:equalWidth="0" w:num="1">
            <w:col w:w="9740"/>
          </w:cols>
          <w:pgMar w:left="920" w:top="661"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1E1E1E"/>
        </w:rPr>
        <w:t>68</w:t>
      </w:r>
    </w:p>
    <w:p>
      <w:pPr>
        <w:sectPr>
          <w:pgSz w:w="11880" w:h="15480" w:orient="portrait"/>
          <w:cols w:equalWidth="0" w:num="1">
            <w:col w:w="9740"/>
          </w:cols>
          <w:pgMar w:left="920" w:top="661" w:right="1220" w:bottom="0" w:gutter="0" w:footer="0" w:header="0"/>
          <w:type w:val="continuous"/>
        </w:sectPr>
      </w:pPr>
    </w:p>
    <w:bookmarkStart w:id="74" w:name="page75"/>
    <w:bookmarkEnd w:id="74"/>
    <w:p>
      <w:pPr>
        <w:jc w:val="center"/>
        <w:ind w:right="-119"/>
        <w:spacing w:after="0"/>
        <w:rPr>
          <w:sz w:val="20"/>
          <w:szCs w:val="20"/>
          <w:color w:val="auto"/>
        </w:rPr>
      </w:pPr>
      <w:r>
        <w:rPr>
          <w:rFonts w:ascii="Times New Roman" w:cs="Times New Roman" w:eastAsia="Times New Roman" w:hAnsi="Times New Roman"/>
          <w:sz w:val="20"/>
          <w:szCs w:val="20"/>
          <w:b w:val="1"/>
          <w:bCs w:val="1"/>
          <w:color w:val="1E1E1E"/>
        </w:rPr>
        <w:t>Signatures</w:t>
      </w:r>
    </w:p>
    <w:p>
      <w:pPr>
        <w:spacing w:after="0" w:line="200" w:lineRule="exact"/>
        <w:rPr>
          <w:sz w:val="20"/>
          <w:szCs w:val="20"/>
          <w:color w:val="auto"/>
        </w:rPr>
      </w:pPr>
    </w:p>
    <w:p>
      <w:pPr>
        <w:ind w:right="460" w:firstLine="490"/>
        <w:spacing w:after="0" w:line="281" w:lineRule="auto"/>
        <w:rPr>
          <w:sz w:val="20"/>
          <w:szCs w:val="20"/>
          <w:color w:val="auto"/>
        </w:rPr>
      </w:pPr>
      <w:r>
        <w:rPr>
          <w:rFonts w:ascii="Times New Roman" w:cs="Times New Roman" w:eastAsia="Times New Roman" w:hAnsi="Times New Roman"/>
          <w:sz w:val="20"/>
          <w:szCs w:val="20"/>
          <w:color w:val="1E1E1E"/>
        </w:rPr>
        <w:t>Pursuant to the requirements of Section 13 or 15(d)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1E1E1E"/>
        </w:rPr>
        <w:t>DULUTH HOLDINGS INC.</w:t>
      </w:r>
    </w:p>
    <w:p>
      <w:pPr>
        <w:spacing w:after="0" w:line="200" w:lineRule="exact"/>
        <w:rPr>
          <w:sz w:val="20"/>
          <w:szCs w:val="20"/>
          <w:color w:val="auto"/>
        </w:rPr>
      </w:pPr>
    </w:p>
    <w:p>
      <w:pPr>
        <w:spacing w:after="0" w:line="27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1E1E1E"/>
        </w:rPr>
        <w:t>By:</w:t>
      </w:r>
      <w:r>
        <w:rPr>
          <w:sz w:val="20"/>
          <w:szCs w:val="20"/>
          <w:color w:val="auto"/>
        </w:rPr>
        <w:tab/>
      </w:r>
      <w:r>
        <w:rPr>
          <w:rFonts w:ascii="Times New Roman" w:cs="Times New Roman" w:eastAsia="Times New Roman" w:hAnsi="Times New Roman"/>
          <w:sz w:val="20"/>
          <w:szCs w:val="20"/>
          <w:i w:val="1"/>
          <w:iCs w:val="1"/>
          <w:color w:val="1E1E1E"/>
        </w:rPr>
        <w:t>/s/ Samuel M.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9981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99815" cy="6350"/>
                    </a:xfrm>
                    <a:prstGeom prst="rect">
                      <a:avLst/>
                    </a:prstGeom>
                    <a:noFill/>
                  </pic:spPr>
                </pic:pic>
              </a:graphicData>
            </a:graphic>
          </wp:anchor>
        </w:drawing>
      </w:r>
    </w:p>
    <w:p>
      <w:pPr>
        <w:spacing w:after="0" w:line="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b w:val="1"/>
          <w:bCs w:val="1"/>
          <w:color w:val="1E1E1E"/>
        </w:rPr>
        <w:t>Samuel M. Sato</w:t>
      </w:r>
    </w:p>
    <w:p>
      <w:pPr>
        <w:spacing w:after="0" w:line="5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b w:val="1"/>
          <w:bCs w:val="1"/>
          <w:color w:val="1E1E1E"/>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DATE: March 21, 2025</w:t>
      </w:r>
    </w:p>
    <w:p>
      <w:pPr>
        <w:spacing w:after="0" w:line="202" w:lineRule="exact"/>
        <w:rPr>
          <w:sz w:val="20"/>
          <w:szCs w:val="20"/>
          <w:color w:val="auto"/>
        </w:rPr>
      </w:pPr>
    </w:p>
    <w:p>
      <w:pPr>
        <w:ind w:firstLine="490"/>
        <w:spacing w:after="0" w:line="281" w:lineRule="auto"/>
        <w:rPr>
          <w:sz w:val="20"/>
          <w:szCs w:val="20"/>
          <w:color w:val="auto"/>
        </w:rPr>
      </w:pPr>
      <w:r>
        <w:rPr>
          <w:rFonts w:ascii="Times New Roman" w:cs="Times New Roman" w:eastAsia="Times New Roman" w:hAnsi="Times New Roman"/>
          <w:sz w:val="20"/>
          <w:szCs w:val="20"/>
          <w:color w:val="1E1E1E"/>
        </w:rPr>
        <w:t>Pursuant to the requirements of the Securities Exchange Act of 1934, this report has been signed below by the following persons on behalf of the registrant and in the capacities indicated and on the dates indicated.</w:t>
      </w:r>
    </w:p>
    <w:p>
      <w:pPr>
        <w:spacing w:after="0" w:line="145" w:lineRule="exact"/>
        <w:rPr>
          <w:sz w:val="20"/>
          <w:szCs w:val="20"/>
          <w:color w:val="auto"/>
        </w:rPr>
      </w:pPr>
    </w:p>
    <w:tbl>
      <w:tblPr>
        <w:tblLayout w:type="fixed"/>
        <w:tblInd w:w="100" w:type="dxa"/>
        <w:tblCellMar>
          <w:top w:w="0" w:type="dxa"/>
          <w:left w:w="0" w:type="dxa"/>
          <w:bottom w:w="0" w:type="dxa"/>
          <w:right w:w="0" w:type="dxa"/>
        </w:tblCellMar>
      </w:tblPr>
      <w:tr>
        <w:trPr>
          <w:trHeight w:val="237"/>
        </w:trPr>
        <w:tc>
          <w:tcPr>
            <w:tcW w:w="342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1E1E1E"/>
              </w:rPr>
              <w:t>Name</w:t>
            </w:r>
          </w:p>
        </w:tc>
        <w:tc>
          <w:tcPr>
            <w:tcW w:w="34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1E1E1E"/>
              </w:rPr>
              <w:t>Title</w:t>
            </w:r>
          </w:p>
        </w:tc>
        <w:tc>
          <w:tcPr>
            <w:tcW w:w="12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1E1E1E"/>
              </w:rPr>
              <w:t>Date</w:t>
            </w:r>
          </w:p>
        </w:tc>
      </w:tr>
      <w:tr>
        <w:trPr>
          <w:trHeight w:val="20"/>
        </w:trPr>
        <w:tc>
          <w:tcPr>
            <w:tcW w:w="500" w:type="dxa"/>
            <w:vAlign w:val="bottom"/>
            <w:shd w:val="clear" w:color="auto" w:fill="1E1E1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1E1E1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0" w:type="dxa"/>
            <w:vAlign w:val="bottom"/>
            <w:shd w:val="clear" w:color="auto" w:fill="1E1E1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33"/>
        </w:trPr>
        <w:tc>
          <w:tcPr>
            <w:tcW w:w="3420" w:type="dxa"/>
            <w:vAlign w:val="bottom"/>
            <w:gridSpan w:val="4"/>
          </w:tcPr>
          <w:p>
            <w:pPr>
              <w:spacing w:after="0"/>
              <w:rPr>
                <w:sz w:val="20"/>
                <w:szCs w:val="20"/>
                <w:color w:val="auto"/>
              </w:rPr>
            </w:pPr>
            <w:r>
              <w:rPr>
                <w:rFonts w:ascii="Times New Roman" w:cs="Times New Roman" w:eastAsia="Times New Roman" w:hAnsi="Times New Roman"/>
                <w:sz w:val="20"/>
                <w:szCs w:val="20"/>
                <w:i w:val="1"/>
                <w:iCs w:val="1"/>
                <w:color w:val="1E1E1E"/>
              </w:rPr>
              <w:t>/s/ Samuel M. Sato</w:t>
            </w:r>
          </w:p>
        </w:tc>
        <w:tc>
          <w:tcPr>
            <w:tcW w:w="34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President and</w:t>
            </w:r>
          </w:p>
        </w:tc>
        <w:tc>
          <w:tcPr>
            <w:tcW w:w="1280" w:type="dxa"/>
            <w:vAlign w:val="bottom"/>
            <w:gridSpan w:val="2"/>
          </w:tcPr>
          <w:p>
            <w:pPr>
              <w:spacing w:after="0"/>
              <w:rPr>
                <w:sz w:val="20"/>
                <w:szCs w:val="20"/>
                <w:color w:val="auto"/>
              </w:rPr>
            </w:pPr>
            <w:r>
              <w:rPr>
                <w:rFonts w:ascii="Times New Roman" w:cs="Times New Roman" w:eastAsia="Times New Roman" w:hAnsi="Times New Roman"/>
                <w:sz w:val="20"/>
                <w:szCs w:val="20"/>
                <w:color w:val="1E1E1E"/>
                <w:w w:val="99"/>
              </w:rPr>
              <w:t>March 21, 2025</w:t>
            </w:r>
          </w:p>
        </w:tc>
      </w:tr>
      <w:tr>
        <w:trPr>
          <w:trHeight w:val="210"/>
        </w:trPr>
        <w:tc>
          <w:tcPr>
            <w:tcW w:w="2780" w:type="dxa"/>
            <w:vAlign w:val="bottom"/>
            <w:tcBorders>
              <w:top w:val="single" w:sz="8" w:color="1E1E1E"/>
            </w:tcBorders>
            <w:gridSpan w:val="2"/>
          </w:tcPr>
          <w:p>
            <w:pPr>
              <w:spacing w:after="0" w:line="210" w:lineRule="exact"/>
              <w:rPr>
                <w:sz w:val="20"/>
                <w:szCs w:val="20"/>
                <w:color w:val="auto"/>
              </w:rPr>
            </w:pPr>
            <w:r>
              <w:rPr>
                <w:rFonts w:ascii="Times New Roman" w:cs="Times New Roman" w:eastAsia="Times New Roman" w:hAnsi="Times New Roman"/>
                <w:sz w:val="20"/>
                <w:szCs w:val="20"/>
                <w:color w:val="1E1E1E"/>
              </w:rPr>
              <w:t>Samuel M. Sato</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2"/>
          </w:tcPr>
          <w:p>
            <w:pPr>
              <w:spacing w:after="0" w:line="210" w:lineRule="exact"/>
              <w:rPr>
                <w:sz w:val="20"/>
                <w:szCs w:val="20"/>
                <w:color w:val="auto"/>
              </w:rPr>
            </w:pPr>
            <w:r>
              <w:rPr>
                <w:rFonts w:ascii="Times New Roman" w:cs="Times New Roman" w:eastAsia="Times New Roman" w:hAnsi="Times New Roman"/>
                <w:sz w:val="20"/>
                <w:szCs w:val="20"/>
                <w:color w:val="1E1E1E"/>
              </w:rPr>
              <w:t>Chief Executive Officer</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0"/>
        </w:trPr>
        <w:tc>
          <w:tcPr>
            <w:tcW w:w="5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(Principal Executive Officer)</w:t>
            </w: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422"/>
        </w:trPr>
        <w:tc>
          <w:tcPr>
            <w:tcW w:w="3420" w:type="dxa"/>
            <w:vAlign w:val="bottom"/>
            <w:gridSpan w:val="4"/>
          </w:tcPr>
          <w:p>
            <w:pPr>
              <w:spacing w:after="0"/>
              <w:rPr>
                <w:sz w:val="20"/>
                <w:szCs w:val="20"/>
                <w:color w:val="auto"/>
              </w:rPr>
            </w:pPr>
            <w:r>
              <w:rPr>
                <w:rFonts w:ascii="Times New Roman" w:cs="Times New Roman" w:eastAsia="Times New Roman" w:hAnsi="Times New Roman"/>
                <w:sz w:val="20"/>
                <w:szCs w:val="20"/>
                <w:i w:val="1"/>
                <w:iCs w:val="1"/>
                <w:color w:val="1E1E1E"/>
              </w:rPr>
              <w:t>/s/ Heena K. Agrawal</w:t>
            </w:r>
          </w:p>
        </w:tc>
        <w:tc>
          <w:tcPr>
            <w:tcW w:w="34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Senior Vice President and</w:t>
            </w:r>
          </w:p>
        </w:tc>
        <w:tc>
          <w:tcPr>
            <w:tcW w:w="1280" w:type="dxa"/>
            <w:vAlign w:val="bottom"/>
            <w:gridSpan w:val="2"/>
          </w:tcPr>
          <w:p>
            <w:pPr>
              <w:spacing w:after="0"/>
              <w:rPr>
                <w:sz w:val="20"/>
                <w:szCs w:val="20"/>
                <w:color w:val="auto"/>
              </w:rPr>
            </w:pPr>
            <w:r>
              <w:rPr>
                <w:rFonts w:ascii="Times New Roman" w:cs="Times New Roman" w:eastAsia="Times New Roman" w:hAnsi="Times New Roman"/>
                <w:sz w:val="20"/>
                <w:szCs w:val="20"/>
                <w:color w:val="1E1E1E"/>
                <w:w w:val="99"/>
              </w:rPr>
              <w:t>March 21, 2025</w:t>
            </w:r>
          </w:p>
        </w:tc>
      </w:tr>
      <w:tr>
        <w:trPr>
          <w:trHeight w:val="210"/>
        </w:trPr>
        <w:tc>
          <w:tcPr>
            <w:tcW w:w="3180" w:type="dxa"/>
            <w:vAlign w:val="bottom"/>
            <w:tcBorders>
              <w:top w:val="single" w:sz="8" w:color="1E1E1E"/>
            </w:tcBorders>
            <w:gridSpan w:val="3"/>
          </w:tcPr>
          <w:p>
            <w:pPr>
              <w:spacing w:after="0" w:line="210" w:lineRule="exact"/>
              <w:rPr>
                <w:sz w:val="20"/>
                <w:szCs w:val="20"/>
                <w:color w:val="auto"/>
              </w:rPr>
            </w:pPr>
            <w:r>
              <w:rPr>
                <w:rFonts w:ascii="Times New Roman" w:cs="Times New Roman" w:eastAsia="Times New Roman" w:hAnsi="Times New Roman"/>
                <w:sz w:val="20"/>
                <w:szCs w:val="20"/>
                <w:color w:val="1E1E1E"/>
              </w:rPr>
              <w:t>Heena K. Agrawal</w:t>
            </w:r>
          </w:p>
        </w:tc>
        <w:tc>
          <w:tcPr>
            <w:tcW w:w="240" w:type="dxa"/>
            <w:vAlign w:val="bottom"/>
          </w:tcPr>
          <w:p>
            <w:pPr>
              <w:spacing w:after="0"/>
              <w:rPr>
                <w:sz w:val="18"/>
                <w:szCs w:val="18"/>
                <w:color w:val="auto"/>
              </w:rPr>
            </w:pPr>
          </w:p>
        </w:tc>
        <w:tc>
          <w:tcPr>
            <w:tcW w:w="3400" w:type="dxa"/>
            <w:vAlign w:val="bottom"/>
            <w:gridSpan w:val="2"/>
          </w:tcPr>
          <w:p>
            <w:pPr>
              <w:spacing w:after="0" w:line="210" w:lineRule="exact"/>
              <w:rPr>
                <w:sz w:val="20"/>
                <w:szCs w:val="20"/>
                <w:color w:val="auto"/>
              </w:rPr>
            </w:pPr>
            <w:r>
              <w:rPr>
                <w:rFonts w:ascii="Times New Roman" w:cs="Times New Roman" w:eastAsia="Times New Roman" w:hAnsi="Times New Roman"/>
                <w:sz w:val="20"/>
                <w:szCs w:val="20"/>
                <w:color w:val="1E1E1E"/>
              </w:rPr>
              <w:t>Chief Financial Officer</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0"/>
        </w:trPr>
        <w:tc>
          <w:tcPr>
            <w:tcW w:w="5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(Principal Financial Officer)</w:t>
            </w: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spacing w:after="0" w:line="285" w:lineRule="auto"/>
        <w:rPr>
          <w:sz w:val="20"/>
          <w:szCs w:val="20"/>
          <w:color w:val="auto"/>
        </w:rPr>
      </w:pPr>
      <w:r>
        <w:rPr>
          <w:rFonts w:ascii="Times New Roman" w:cs="Times New Roman" w:eastAsia="Times New Roman" w:hAnsi="Times New Roman"/>
          <w:sz w:val="20"/>
          <w:szCs w:val="20"/>
          <w:b w:val="1"/>
          <w:bCs w:val="1"/>
          <w:color w:val="1E1E1E"/>
        </w:rPr>
        <w:t xml:space="preserve">Directors: </w:t>
      </w:r>
      <w:r>
        <w:rPr>
          <w:rFonts w:ascii="Times New Roman" w:cs="Times New Roman" w:eastAsia="Times New Roman" w:hAnsi="Times New Roman"/>
          <w:sz w:val="20"/>
          <w:szCs w:val="20"/>
          <w:color w:val="1E1E1E"/>
        </w:rPr>
        <w:t>Samuel M. Sato, Brett L. Paschke, Francesca M. Edwardson, Janet H. Kennedy, David C. Finch, Susan J. Riley,</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Stephen L. Schlecht, Scott K. Williams and Ronald Robinson.</w:t>
      </w:r>
    </w:p>
    <w:p>
      <w:pPr>
        <w:spacing w:after="0" w:line="167" w:lineRule="exact"/>
        <w:rPr>
          <w:sz w:val="20"/>
          <w:szCs w:val="20"/>
          <w:color w:val="auto"/>
        </w:rPr>
      </w:pPr>
    </w:p>
    <w:p>
      <w:pPr>
        <w:ind w:left="1580" w:right="1240" w:hanging="739"/>
        <w:spacing w:after="0" w:line="245" w:lineRule="auto"/>
        <w:tabs>
          <w:tab w:leader="none" w:pos="1560" w:val="left"/>
        </w:tabs>
        <w:rPr>
          <w:sz w:val="20"/>
          <w:szCs w:val="20"/>
          <w:color w:val="auto"/>
        </w:rPr>
      </w:pPr>
      <w:r>
        <w:rPr>
          <w:rFonts w:ascii="Times New Roman" w:cs="Times New Roman" w:eastAsia="Times New Roman" w:hAnsi="Times New Roman"/>
          <w:sz w:val="20"/>
          <w:szCs w:val="20"/>
          <w:color w:val="1E1E1E"/>
        </w:rPr>
        <w:t>By:</w:t>
      </w:r>
      <w:r>
        <w:rPr>
          <w:sz w:val="20"/>
          <w:szCs w:val="20"/>
          <w:color w:val="auto"/>
        </w:rPr>
        <w:tab/>
      </w:r>
      <w:r>
        <w:rPr>
          <w:rFonts w:ascii="Times New Roman" w:cs="Times New Roman" w:eastAsia="Times New Roman" w:hAnsi="Times New Roman"/>
          <w:sz w:val="20"/>
          <w:szCs w:val="20"/>
          <w:i w:val="1"/>
          <w:iCs w:val="1"/>
          <w:color w:val="1E1E1E"/>
        </w:rPr>
        <w:t xml:space="preserve">/s/ Samuel M. Sato </w:t>
      </w:r>
      <w:r>
        <w:rPr>
          <w:rFonts w:ascii="Times New Roman" w:cs="Times New Roman" w:eastAsia="Times New Roman" w:hAnsi="Times New Roman"/>
          <w:sz w:val="20"/>
          <w:szCs w:val="20"/>
          <w:color w:val="1E1E1E"/>
        </w:rPr>
        <w:t>March 21, 2025</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Samuel M.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11430</wp:posOffset>
            </wp:positionV>
            <wp:extent cx="259715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7150" cy="6350"/>
                    </a:xfrm>
                    <a:prstGeom prst="rect">
                      <a:avLst/>
                    </a:prstGeom>
                    <a:noFill/>
                  </pic:spPr>
                </pic:pic>
              </a:graphicData>
            </a:graphic>
          </wp:anchor>
        </w:drawing>
      </w:r>
    </w:p>
    <w:p>
      <w:pPr>
        <w:spacing w:after="0" w:line="21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1E1E1E"/>
        </w:rPr>
        <w:t>Attorney-In-Fact*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1E1E1E"/>
        </w:rPr>
        <w:t>*Pursuant to authority granted by powers of attorney, copies of which are filed herewith.</w:t>
      </w:r>
    </w:p>
    <w:p>
      <w:pPr>
        <w:sectPr>
          <w:pgSz w:w="11880" w:h="15480" w:orient="portrait"/>
          <w:cols w:equalWidth="0" w:num="1">
            <w:col w:w="10120"/>
          </w:cols>
          <w:pgMar w:left="820" w:top="65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1E1E1E"/>
        </w:rPr>
        <w:t>69</w:t>
      </w:r>
    </w:p>
    <w:p>
      <w:pPr>
        <w:sectPr>
          <w:pgSz w:w="11880" w:h="15480" w:orient="portrait"/>
          <w:cols w:equalWidth="0" w:num="1">
            <w:col w:w="10120"/>
          </w:cols>
          <w:pgMar w:left="820" w:top="658" w:right="940" w:bottom="0" w:gutter="0" w:footer="0" w:header="0"/>
          <w:type w:val="continuous"/>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3"/>
          <w:szCs w:val="23"/>
          <w:color w:val="auto"/>
        </w:rPr>
        <w:t>[THIS PAGE INTENTIONALLY LEFT BLANK]</w:t>
      </w:r>
    </w:p>
    <w:p>
      <w:pPr>
        <w:sectPr>
          <w:pgSz w:w="11880" w:h="15480" w:orient="portrait"/>
          <w:cols w:equalWidth="0" w:num="1">
            <w:col w:w="9000"/>
          </w:cols>
          <w:pgMar w:left="1440" w:top="1440" w:right="1440" w:bottom="1440" w:gutter="0" w:footer="0" w:header="0"/>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3"/>
          <w:szCs w:val="23"/>
          <w:color w:val="auto"/>
        </w:rPr>
        <w:t>[THIS PAGE INTENTIONALLY LEFT BLANK]</w:t>
      </w:r>
    </w:p>
    <w:p>
      <w:pPr>
        <w:sectPr>
          <w:pgSz w:w="11880" w:h="15480" w:orient="portrait"/>
          <w:cols w:equalWidth="0" w:num="1">
            <w:col w:w="9000"/>
          </w:cols>
          <w:pgMar w:left="1440" w:top="1440" w:right="1440" w:bottom="1440" w:gutter="0" w:footer="0" w:header="0"/>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3"/>
          <w:szCs w:val="23"/>
          <w:color w:val="auto"/>
        </w:rPr>
        <w:t>[THIS PAGE INTENTIONALLY LEFT BLANK]</w:t>
      </w:r>
    </w:p>
    <w:p>
      <w:pPr>
        <w:sectPr>
          <w:pgSz w:w="11880" w:h="15480" w:orient="portrait"/>
          <w:cols w:equalWidth="0" w:num="1">
            <w:col w:w="9000"/>
          </w:cols>
          <w:pgMar w:left="1440" w:top="1440" w:right="1440" w:bottom="1440" w:gutter="0" w:footer="0" w:header="0"/>
        </w:sectPr>
      </w:pPr>
    </w:p>
    <w:bookmarkStart w:id="78" w:name="page79"/>
    <w:bookmarkEnd w:id="78"/>
    <w:p>
      <w:pPr>
        <w:spacing w:after="0"/>
        <w:rPr>
          <w:sz w:val="20"/>
          <w:szCs w:val="20"/>
          <w:color w:val="auto"/>
        </w:rPr>
      </w:pPr>
      <w:r>
        <w:rPr>
          <w:rFonts w:ascii="Arial" w:cs="Arial" w:eastAsia="Arial" w:hAnsi="Arial"/>
          <w:sz w:val="32"/>
          <w:szCs w:val="32"/>
          <w:color w:val="auto"/>
        </w:rPr>
        <mc:AlternateContent>
          <mc:Choice Requires="wps">
            <w:drawing>
              <wp:anchor simplePos="0" relativeHeight="251657728" behindDoc="1" locked="0" layoutInCell="0" allowOverlap="1">
                <wp:simplePos x="0" y="0"/>
                <wp:positionH relativeFrom="page">
                  <wp:posOffset>12065</wp:posOffset>
                </wp:positionH>
                <wp:positionV relativeFrom="page">
                  <wp:posOffset>0</wp:posOffset>
                </wp:positionV>
                <wp:extent cx="7531735" cy="982980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31735" cy="9829800"/>
                        </a:xfrm>
                        <a:prstGeom prst="rect">
                          <a:avLst/>
                        </a:prstGeom>
                        <a:solidFill>
                          <a:srgbClr val="FFFCEF"/>
                        </a:solidFill>
                      </wps:spPr>
                      <wps:bodyPr/>
                    </wps:wsp>
                  </a:graphicData>
                </a:graphic>
              </wp:anchor>
            </w:drawing>
          </mc:Choice>
          <mc:Fallback>
            <w:pict>
              <v:rect id="Shape 45" o:spid="_x0000_s1070" style="position:absolute;margin-left:0.95pt;margin-top:0pt;width:593.05pt;height:77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CEF"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65100" cy="982980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100" cy="9829800"/>
                        </a:xfrm>
                        <a:prstGeom prst="rect">
                          <a:avLst/>
                        </a:prstGeom>
                        <a:solidFill>
                          <a:srgbClr val="FFFFFF"/>
                        </a:solidFill>
                      </wps:spPr>
                      <wps:bodyPr/>
                    </wps:wsp>
                  </a:graphicData>
                </a:graphic>
              </wp:anchor>
            </w:drawing>
          </mc:Choice>
          <mc:Fallback>
            <w:pict>
              <v:rect id="Shape 46" o:spid="_x0000_s1071" style="position:absolute;margin-left:0pt;margin-top:0pt;width:13pt;height:77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EXECUTIVE MANAGEMENT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Samuel M. Sato</w:t>
      </w:r>
    </w:p>
    <w:p>
      <w:pPr>
        <w:spacing w:after="0"/>
        <w:rPr>
          <w:sz w:val="20"/>
          <w:szCs w:val="20"/>
          <w:color w:val="auto"/>
        </w:rPr>
      </w:pPr>
      <w:r>
        <w:rPr>
          <w:rFonts w:ascii="Arial" w:cs="Arial" w:eastAsia="Arial" w:hAnsi="Arial"/>
          <w:sz w:val="22"/>
          <w:szCs w:val="22"/>
          <w:color w:val="auto"/>
        </w:rPr>
        <w:t>President and Chief Executive Officer</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Heena K. Agrawal</w:t>
      </w:r>
    </w:p>
    <w:p>
      <w:pPr>
        <w:spacing w:after="0"/>
        <w:rPr>
          <w:sz w:val="20"/>
          <w:szCs w:val="20"/>
          <w:color w:val="auto"/>
        </w:rPr>
      </w:pPr>
      <w:r>
        <w:rPr>
          <w:rFonts w:ascii="Arial" w:cs="Arial" w:eastAsia="Arial" w:hAnsi="Arial"/>
          <w:sz w:val="22"/>
          <w:szCs w:val="22"/>
          <w:color w:val="auto"/>
        </w:rPr>
        <w:t>Senior Vice President and Chief Financial Officer</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Eli M. Getson</w:t>
      </w:r>
    </w:p>
    <w:p>
      <w:pPr>
        <w:spacing w:after="0"/>
        <w:rPr>
          <w:sz w:val="20"/>
          <w:szCs w:val="20"/>
          <w:color w:val="auto"/>
        </w:rPr>
      </w:pPr>
      <w:r>
        <w:rPr>
          <w:rFonts w:ascii="Arial" w:cs="Arial" w:eastAsia="Arial" w:hAnsi="Arial"/>
          <w:sz w:val="20"/>
          <w:szCs w:val="20"/>
          <w:color w:val="auto"/>
        </w:rPr>
        <w:t>Senior Vice President and Chief Merchandising Officer</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David S. Homolka</w:t>
      </w:r>
    </w:p>
    <w:p>
      <w:pPr>
        <w:spacing w:after="0"/>
        <w:rPr>
          <w:sz w:val="20"/>
          <w:szCs w:val="20"/>
          <w:color w:val="auto"/>
        </w:rPr>
      </w:pPr>
      <w:r>
        <w:rPr>
          <w:rFonts w:ascii="Arial" w:cs="Arial" w:eastAsia="Arial" w:hAnsi="Arial"/>
          <w:sz w:val="20"/>
          <w:szCs w:val="20"/>
          <w:color w:val="auto"/>
        </w:rPr>
        <w:t>Senior Vice President of Talent and Retail Operations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Richard W. Schlecht</w:t>
      </w:r>
    </w:p>
    <w:p>
      <w:pPr>
        <w:spacing w:after="0" w:line="237" w:lineRule="auto"/>
        <w:rPr>
          <w:sz w:val="20"/>
          <w:szCs w:val="20"/>
          <w:color w:val="auto"/>
        </w:rPr>
      </w:pPr>
      <w:r>
        <w:rPr>
          <w:rFonts w:ascii="Arial" w:cs="Arial" w:eastAsia="Arial" w:hAnsi="Arial"/>
          <w:sz w:val="22"/>
          <w:szCs w:val="22"/>
          <w:color w:val="auto"/>
        </w:rPr>
        <w:t>Senior Vice President of Product Development</w:t>
      </w:r>
    </w:p>
    <w:p>
      <w:pPr>
        <w:spacing w:after="0"/>
        <w:rPr>
          <w:sz w:val="20"/>
          <w:szCs w:val="20"/>
          <w:color w:val="auto"/>
        </w:rPr>
      </w:pPr>
      <w:r>
        <w:rPr>
          <w:rFonts w:ascii="Arial" w:cs="Arial" w:eastAsia="Arial" w:hAnsi="Arial"/>
          <w:sz w:val="22"/>
          <w:szCs w:val="22"/>
          <w:color w:val="auto"/>
        </w:rPr>
        <w:t>and Sourcing</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Albert J. Sutera</w:t>
      </w:r>
    </w:p>
    <w:p>
      <w:pPr>
        <w:ind w:right="960"/>
        <w:spacing w:after="0" w:line="287" w:lineRule="auto"/>
        <w:rPr>
          <w:sz w:val="20"/>
          <w:szCs w:val="20"/>
          <w:color w:val="auto"/>
        </w:rPr>
      </w:pPr>
      <w:r>
        <w:rPr>
          <w:rFonts w:ascii="Arial" w:cs="Arial" w:eastAsia="Arial" w:hAnsi="Arial"/>
          <w:sz w:val="22"/>
          <w:szCs w:val="22"/>
          <w:color w:val="auto"/>
        </w:rPr>
        <w:t>Senior Vice President and Chief Technology Officer and Logistics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Garth N. Weber</w:t>
      </w:r>
    </w:p>
    <w:p>
      <w:pPr>
        <w:spacing w:after="0"/>
        <w:rPr>
          <w:sz w:val="20"/>
          <w:szCs w:val="20"/>
          <w:color w:val="auto"/>
        </w:rPr>
      </w:pPr>
      <w:r>
        <w:rPr>
          <w:rFonts w:ascii="Arial" w:cs="Arial" w:eastAsia="Arial" w:hAnsi="Arial"/>
          <w:sz w:val="22"/>
          <w:szCs w:val="22"/>
          <w:color w:val="auto"/>
        </w:rPr>
        <w:t>Senior Vice President of Brand and Marketing</w:t>
      </w:r>
    </w:p>
    <w:p>
      <w:pPr>
        <w:spacing w:after="0" w:line="269" w:lineRule="exact"/>
        <w:rPr>
          <w:sz w:val="20"/>
          <w:szCs w:val="20"/>
          <w:color w:val="auto"/>
        </w:rPr>
      </w:pPr>
    </w:p>
    <w:p>
      <w:pPr>
        <w:spacing w:after="0"/>
        <w:rPr>
          <w:sz w:val="20"/>
          <w:szCs w:val="20"/>
          <w:color w:val="auto"/>
        </w:rPr>
      </w:pPr>
      <w:r>
        <w:rPr>
          <w:rFonts w:ascii="Arial" w:cs="Arial" w:eastAsia="Arial" w:hAnsi="Arial"/>
          <w:sz w:val="32"/>
          <w:szCs w:val="32"/>
          <w:color w:val="auto"/>
        </w:rPr>
        <w:t>BOARD OF DIRECTORS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Stephen L. Schlecht</w:t>
      </w:r>
    </w:p>
    <w:p>
      <w:pPr>
        <w:spacing w:after="0"/>
        <w:rPr>
          <w:sz w:val="20"/>
          <w:szCs w:val="20"/>
          <w:color w:val="auto"/>
        </w:rPr>
      </w:pPr>
      <w:r>
        <w:rPr>
          <w:rFonts w:ascii="Arial" w:cs="Arial" w:eastAsia="Arial" w:hAnsi="Arial"/>
          <w:sz w:val="22"/>
          <w:szCs w:val="22"/>
          <w:color w:val="auto"/>
        </w:rPr>
        <w:t>Chairman and Founder</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Samuel M. Sato</w:t>
      </w:r>
    </w:p>
    <w:p>
      <w:pPr>
        <w:spacing w:after="0"/>
        <w:rPr>
          <w:sz w:val="20"/>
          <w:szCs w:val="20"/>
          <w:color w:val="auto"/>
        </w:rPr>
      </w:pPr>
      <w:r>
        <w:rPr>
          <w:rFonts w:ascii="Arial" w:cs="Arial" w:eastAsia="Arial" w:hAnsi="Arial"/>
          <w:sz w:val="22"/>
          <w:szCs w:val="22"/>
          <w:color w:val="auto"/>
        </w:rPr>
        <w:t>President and Chief Executive Officer</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Francesca M. Edwardson</w:t>
      </w:r>
    </w:p>
    <w:p>
      <w:pPr>
        <w:spacing w:after="0" w:line="237" w:lineRule="auto"/>
        <w:rPr>
          <w:sz w:val="20"/>
          <w:szCs w:val="20"/>
          <w:color w:val="auto"/>
        </w:rPr>
      </w:pPr>
      <w:r>
        <w:rPr>
          <w:rFonts w:ascii="Arial" w:cs="Arial" w:eastAsia="Arial" w:hAnsi="Arial"/>
          <w:sz w:val="22"/>
          <w:szCs w:val="22"/>
          <w:color w:val="auto"/>
        </w:rPr>
        <w:t>Former Chief Executive Officer</w:t>
      </w:r>
    </w:p>
    <w:p>
      <w:pPr>
        <w:spacing w:after="0"/>
        <w:rPr>
          <w:sz w:val="20"/>
          <w:szCs w:val="20"/>
          <w:color w:val="auto"/>
        </w:rPr>
      </w:pPr>
      <w:r>
        <w:rPr>
          <w:rFonts w:ascii="Arial" w:cs="Arial" w:eastAsia="Arial" w:hAnsi="Arial"/>
          <w:sz w:val="20"/>
          <w:szCs w:val="20"/>
          <w:color w:val="auto"/>
        </w:rPr>
        <w:t>American Red Cross of Chicago and Northern Illinois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David C. Finch</w:t>
      </w:r>
    </w:p>
    <w:p>
      <w:pPr>
        <w:spacing w:after="0" w:line="237" w:lineRule="auto"/>
        <w:rPr>
          <w:sz w:val="20"/>
          <w:szCs w:val="20"/>
          <w:color w:val="auto"/>
        </w:rPr>
      </w:pPr>
      <w:r>
        <w:rPr>
          <w:rFonts w:ascii="Arial" w:cs="Arial" w:eastAsia="Arial" w:hAnsi="Arial"/>
          <w:sz w:val="22"/>
          <w:szCs w:val="22"/>
          <w:color w:val="auto"/>
        </w:rPr>
        <w:t>Former Chief Executive Officer</w:t>
      </w:r>
    </w:p>
    <w:p>
      <w:pPr>
        <w:spacing w:after="0"/>
        <w:rPr>
          <w:sz w:val="20"/>
          <w:szCs w:val="20"/>
          <w:color w:val="auto"/>
        </w:rPr>
      </w:pPr>
      <w:r>
        <w:rPr>
          <w:rFonts w:ascii="Arial" w:cs="Arial" w:eastAsia="Arial" w:hAnsi="Arial"/>
          <w:sz w:val="22"/>
          <w:szCs w:val="22"/>
          <w:color w:val="auto"/>
        </w:rPr>
        <w:t>Daniele International, LLC</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Janet H. Kennedy</w:t>
      </w:r>
    </w:p>
    <w:p>
      <w:pPr>
        <w:spacing w:after="0" w:line="237" w:lineRule="auto"/>
        <w:rPr>
          <w:sz w:val="20"/>
          <w:szCs w:val="20"/>
          <w:color w:val="auto"/>
        </w:rPr>
      </w:pPr>
      <w:r>
        <w:rPr>
          <w:rFonts w:ascii="Arial" w:cs="Arial" w:eastAsia="Arial" w:hAnsi="Arial"/>
          <w:sz w:val="22"/>
          <w:szCs w:val="22"/>
          <w:color w:val="auto"/>
        </w:rPr>
        <w:t>Former Vice President</w:t>
      </w:r>
    </w:p>
    <w:p>
      <w:pPr>
        <w:spacing w:after="0"/>
        <w:rPr>
          <w:sz w:val="20"/>
          <w:szCs w:val="20"/>
          <w:color w:val="auto"/>
        </w:rPr>
      </w:pPr>
      <w:r>
        <w:rPr>
          <w:rFonts w:ascii="Arial" w:cs="Arial" w:eastAsia="Arial" w:hAnsi="Arial"/>
          <w:sz w:val="20"/>
          <w:szCs w:val="20"/>
          <w:color w:val="auto"/>
        </w:rPr>
        <w:t>North America Regions of Google Cloud Alphabet, Inc.</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Brett L. Paschke</w:t>
      </w:r>
    </w:p>
    <w:p>
      <w:pPr>
        <w:spacing w:after="0" w:line="237" w:lineRule="auto"/>
        <w:rPr>
          <w:sz w:val="20"/>
          <w:szCs w:val="20"/>
          <w:color w:val="auto"/>
        </w:rPr>
      </w:pPr>
      <w:r>
        <w:rPr>
          <w:rFonts w:ascii="Arial" w:cs="Arial" w:eastAsia="Arial" w:hAnsi="Arial"/>
          <w:sz w:val="22"/>
          <w:szCs w:val="22"/>
          <w:color w:val="auto"/>
        </w:rPr>
        <w:t>Managing Partner</w:t>
      </w:r>
    </w:p>
    <w:p>
      <w:pPr>
        <w:spacing w:after="0"/>
        <w:rPr>
          <w:sz w:val="20"/>
          <w:szCs w:val="20"/>
          <w:color w:val="auto"/>
        </w:rPr>
      </w:pPr>
      <w:r>
        <w:rPr>
          <w:rFonts w:ascii="Arial" w:cs="Arial" w:eastAsia="Arial" w:hAnsi="Arial"/>
          <w:sz w:val="22"/>
          <w:szCs w:val="22"/>
          <w:color w:val="auto"/>
        </w:rPr>
        <w:t>WinForest Partners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Susan J. Riley</w:t>
      </w:r>
    </w:p>
    <w:p>
      <w:pPr>
        <w:ind w:right="840"/>
        <w:spacing w:after="0" w:line="287" w:lineRule="auto"/>
        <w:rPr>
          <w:sz w:val="20"/>
          <w:szCs w:val="20"/>
          <w:color w:val="auto"/>
        </w:rPr>
      </w:pPr>
      <w:r>
        <w:rPr>
          <w:rFonts w:ascii="Arial" w:cs="Arial" w:eastAsia="Arial" w:hAnsi="Arial"/>
          <w:sz w:val="22"/>
          <w:szCs w:val="22"/>
          <w:color w:val="auto"/>
        </w:rPr>
        <w:t>Former President and Chief Executive Officer PJM Interconnection</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Ronald Robinson</w:t>
      </w:r>
    </w:p>
    <w:p>
      <w:pPr>
        <w:spacing w:after="0" w:line="237" w:lineRule="auto"/>
        <w:rPr>
          <w:sz w:val="20"/>
          <w:szCs w:val="20"/>
          <w:color w:val="auto"/>
        </w:rPr>
      </w:pPr>
      <w:r>
        <w:rPr>
          <w:rFonts w:ascii="Arial" w:cs="Arial" w:eastAsia="Arial" w:hAnsi="Arial"/>
          <w:sz w:val="22"/>
          <w:szCs w:val="22"/>
          <w:color w:val="auto"/>
        </w:rPr>
        <w:t>Former Chief Supply Chain Officer</w:t>
      </w:r>
    </w:p>
    <w:p>
      <w:pPr>
        <w:spacing w:after="0"/>
        <w:rPr>
          <w:sz w:val="20"/>
          <w:szCs w:val="20"/>
          <w:color w:val="auto"/>
        </w:rPr>
      </w:pPr>
      <w:r>
        <w:rPr>
          <w:rFonts w:ascii="Arial" w:cs="Arial" w:eastAsia="Arial" w:hAnsi="Arial"/>
          <w:sz w:val="22"/>
          <w:szCs w:val="22"/>
          <w:color w:val="auto"/>
        </w:rPr>
        <w:t>Designer Brands, Inc.</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Scott K. Williams</w:t>
      </w:r>
    </w:p>
    <w:p>
      <w:pPr>
        <w:spacing w:after="0" w:line="237" w:lineRule="auto"/>
        <w:rPr>
          <w:sz w:val="20"/>
          <w:szCs w:val="20"/>
          <w:color w:val="auto"/>
        </w:rPr>
      </w:pPr>
      <w:r>
        <w:rPr>
          <w:rFonts w:ascii="Arial" w:cs="Arial" w:eastAsia="Arial" w:hAnsi="Arial"/>
          <w:sz w:val="22"/>
          <w:szCs w:val="22"/>
          <w:color w:val="auto"/>
        </w:rPr>
        <w:t>Chief Executive Officer</w:t>
      </w:r>
    </w:p>
    <w:p>
      <w:pPr>
        <w:spacing w:after="0"/>
        <w:rPr>
          <w:sz w:val="20"/>
          <w:szCs w:val="20"/>
          <w:color w:val="auto"/>
        </w:rPr>
      </w:pPr>
      <w:r>
        <w:rPr>
          <w:rFonts w:ascii="Arial" w:cs="Arial" w:eastAsia="Arial" w:hAnsi="Arial"/>
          <w:sz w:val="22"/>
          <w:szCs w:val="22"/>
          <w:color w:val="auto"/>
        </w:rPr>
        <w:t>Batteries Plus Bulbs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1"/>
          <w:szCs w:val="31"/>
          <w:color w:val="auto"/>
        </w:rPr>
        <w:t>CORPORATE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Offices</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Duluth Trading Company</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201 East Front Street</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Mount Horeb, WI 53572</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Tel: 608-424-1544</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Web: duluthtrading.com</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Independent Auditors</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KPMG LLP</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Registrar and Transfer Agent</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Computershare</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150 Royall Street, Suite 101</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Canton, MA 02021</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Tel: 877-736-3001</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Web: www.computershare.com/us</w:t>
      </w:r>
    </w:p>
    <w:p>
      <w:pPr>
        <w:spacing w:after="0" w:line="199" w:lineRule="exact"/>
        <w:rPr>
          <w:sz w:val="20"/>
          <w:szCs w:val="20"/>
          <w:color w:val="auto"/>
        </w:rPr>
      </w:pPr>
    </w:p>
    <w:p>
      <w:pPr>
        <w:ind w:right="1560"/>
        <w:spacing w:after="0" w:line="283" w:lineRule="auto"/>
        <w:rPr>
          <w:sz w:val="20"/>
          <w:szCs w:val="20"/>
          <w:color w:val="auto"/>
        </w:rPr>
      </w:pPr>
      <w:r>
        <w:rPr>
          <w:rFonts w:ascii="Arial" w:cs="Arial" w:eastAsia="Arial" w:hAnsi="Arial"/>
          <w:sz w:val="22"/>
          <w:szCs w:val="22"/>
          <w:b w:val="1"/>
          <w:bCs w:val="1"/>
          <w:color w:val="auto"/>
        </w:rPr>
        <w:t xml:space="preserve">Class B Common Stock </w:t>
      </w:r>
      <w:r>
        <w:rPr>
          <w:rFonts w:ascii="Arial" w:cs="Arial" w:eastAsia="Arial" w:hAnsi="Arial"/>
          <w:sz w:val="22"/>
          <w:szCs w:val="22"/>
          <w:color w:val="auto"/>
        </w:rPr>
        <w:t>NASDAQ Global Select market Symbol: DLTH</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10-K and Other Reports</w:t>
      </w:r>
    </w:p>
    <w:p>
      <w:pPr>
        <w:spacing w:after="0" w:line="19" w:lineRule="exact"/>
        <w:rPr>
          <w:sz w:val="20"/>
          <w:szCs w:val="20"/>
          <w:color w:val="auto"/>
        </w:rPr>
      </w:pPr>
    </w:p>
    <w:p>
      <w:pPr>
        <w:ind w:right="60"/>
        <w:spacing w:after="0" w:line="266" w:lineRule="auto"/>
        <w:rPr>
          <w:sz w:val="20"/>
          <w:szCs w:val="20"/>
          <w:color w:val="auto"/>
        </w:rPr>
      </w:pPr>
      <w:r>
        <w:rPr>
          <w:rFonts w:ascii="Arial" w:cs="Arial" w:eastAsia="Arial" w:hAnsi="Arial"/>
          <w:sz w:val="22"/>
          <w:szCs w:val="22"/>
          <w:color w:val="auto"/>
        </w:rPr>
        <w:t>Our Annual Report on Form 10-K, charters of the Board’s committees and our code of ethics are made available on our website: ir.duluthtrading.com. Shareholders may request printed copies (which will be provided free of charge) from Investor Relations. Email: DuluthIR@icrinc.com</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22"/>
          <w:szCs w:val="22"/>
          <w:color w:val="auto"/>
        </w:rPr>
        <w:t>The SEC also maintains a website that contains reports, proxy information, statements, and other information regarding registrants who file electronically with the SEC. The website address is: www.sec.gov</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9" w:lineRule="exact"/>
        <w:rPr>
          <w:sz w:val="20"/>
          <w:szCs w:val="20"/>
          <w:color w:val="auto"/>
        </w:rPr>
      </w:pPr>
    </w:p>
    <w:p>
      <w:pPr>
        <w:spacing w:after="0" w:line="292" w:lineRule="auto"/>
        <w:rPr>
          <w:sz w:val="20"/>
          <w:szCs w:val="20"/>
          <w:color w:val="auto"/>
        </w:rPr>
      </w:pPr>
      <w:r>
        <w:rPr>
          <w:rFonts w:ascii="Arial" w:cs="Arial" w:eastAsia="Arial" w:hAnsi="Arial"/>
          <w:sz w:val="20"/>
          <w:szCs w:val="20"/>
          <w:color w:val="auto"/>
        </w:rPr>
        <w:t>This Annual Report contains “forward-looking statements” within the meaning of the Private Securitas Litigation Reform Act of 1995. All forward-looking statements are subject to risk and uncertainties which could cause actual results to vary materially from such statements including the risks and uncertainties described under Part I, Item 1A “Risk Factors,” in our Annual Report on Form 10-K for the fiscal year ended February 2, 2025.</w:t>
      </w:r>
    </w:p>
    <w:p>
      <w:pPr>
        <w:sectPr>
          <w:pgSz w:w="11880" w:h="15480" w:orient="portrait"/>
          <w:cols w:equalWidth="0" w:num="2">
            <w:col w:w="4920" w:space="380"/>
            <w:col w:w="4300"/>
          </w:cols>
          <w:pgMar w:left="1260" w:top="699" w:right="1020" w:bottom="135"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2">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840"/>
        <w:spacing w:after="0"/>
        <w:rPr>
          <w:sz w:val="20"/>
          <w:szCs w:val="20"/>
          <w:color w:val="auto"/>
        </w:rPr>
      </w:pPr>
      <w:r>
        <w:rPr>
          <w:rFonts w:ascii="Arial" w:cs="Arial" w:eastAsia="Arial" w:hAnsi="Arial"/>
          <w:sz w:val="12"/>
          <w:szCs w:val="12"/>
          <w:b w:val="1"/>
          <w:bCs w:val="1"/>
          <w:color w:val="F2131D"/>
        </w:rPr>
        <w:t>®</w:t>
      </w: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2131D"/>
        </w:rPr>
        <w:t>PO BOX 159 | 201 EAST FRONT STREET | MOUNT HOREB, WI 53572</w:t>
      </w:r>
    </w:p>
    <w:sectPr>
      <w:pgSz w:w="11880" w:h="15480" w:orient="portrait"/>
      <w:cols w:equalWidth="0" w:num="1">
        <w:col w:w="9000"/>
      </w:cols>
      <w:pgMar w:left="1440" w:top="1440" w:right="1440" w:bottom="40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a"/>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x"/>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upperLetter"/>
      <w:start w:val="1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lowerRoman"/>
      <w:start w:val="1"/>
    </w:lvl>
  </w:abstractNum>
  <w:abstractNum w:abstractNumId="21">
    <w:nsid w:val="B03E0C6"/>
    <w:multiLevelType w:val="hybridMultilevel"/>
    <w:lvl w:ilvl="0">
      <w:lvlJc w:val="left"/>
      <w:lvlText w:val="(%1)"/>
      <w:numFmt w:val="lowerRoman"/>
      <w:start w:val="3"/>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4"/>
    </w:lvl>
  </w:abstractNum>
  <w:abstractNum w:abstractNumId="25">
    <w:nsid w:val="2CA88611"/>
    <w:multiLevelType w:val="hybridMultilevel"/>
    <w:lvl w:ilvl="0">
      <w:lvlJc w:val="left"/>
      <w:lvlText w:val="(%1)"/>
      <w:numFmt w:val="lowerRoman"/>
      <w:start w:val="1"/>
    </w:lvl>
  </w:abstractNum>
  <w:abstractNum w:abstractNumId="26">
    <w:nsid w:val="836C40E"/>
    <w:multiLevelType w:val="hybridMultilevel"/>
    <w:lvl w:ilvl="0">
      <w:lvlJc w:val="left"/>
      <w:lvlText w:val="(%1)"/>
      <w:numFmt w:val="lowerRoman"/>
      <w:start w:val="3"/>
    </w:lvl>
  </w:abstractNum>
  <w:abstractNum w:abstractNumId="27">
    <w:nsid w:val="2901D82"/>
    <w:multiLevelType w:val="hybridMultilevel"/>
    <w:lvl w:ilvl="0">
      <w:lvlJc w:val="left"/>
      <w:lvlText w:val="%1."/>
      <w:numFmt w:val="decimal"/>
      <w:start w:val="5"/>
    </w:lvl>
  </w:abstractNum>
  <w:abstractNum w:abstractNumId="28">
    <w:nsid w:val="3A95F874"/>
    <w:multiLevelType w:val="hybridMultilevel"/>
    <w:lvl w:ilvl="0">
      <w:lvlJc w:val="left"/>
      <w:lvlText w:val="(%1)"/>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2025-04-11T16:04:12Z</dcterms:created>
  <dcterms:modified xsi:type="dcterms:W3CDTF">2025-04-11T16:04:12Z</dcterms:modified>
</cp:coreProperties>
</file>