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16"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UNITED STATES</w:t>
      </w:r>
    </w:p>
    <w:p>
      <w:pPr>
        <w:spacing w:after="0" w:line="29"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SECURITIES AND EXCHANGE COMMISSION</w:t>
      </w:r>
    </w:p>
    <w:p>
      <w:pPr>
        <w:spacing w:after="0"/>
        <w:rPr>
          <w:sz w:val="20"/>
          <w:szCs w:val="20"/>
          <w:color w:val="auto"/>
        </w:rPr>
      </w:pPr>
      <w:r>
        <w:rPr>
          <w:rFonts w:ascii="Courier New" w:cs="Courier New" w:eastAsia="Courier New" w:hAnsi="Courier New"/>
          <w:sz w:val="18"/>
          <w:szCs w:val="18"/>
          <w:color w:val="auto"/>
        </w:rPr>
        <w:t>Washington, D.C. 20549</w:t>
      </w:r>
    </w:p>
    <w:p>
      <w:pPr>
        <w:spacing w:after="0" w:line="169"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SCHEDULE 13G</w:t>
      </w:r>
    </w:p>
    <w:p>
      <w:pPr>
        <w:spacing w:after="0" w:line="29"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Under the Securities Exchange Act of 1934</w:t>
      </w:r>
    </w:p>
    <w:p>
      <w:pPr>
        <w:spacing w:after="0"/>
        <w:rPr>
          <w:sz w:val="20"/>
          <w:szCs w:val="20"/>
          <w:color w:val="auto"/>
        </w:rPr>
      </w:pPr>
      <w:r>
        <w:rPr>
          <w:rFonts w:ascii="Courier New" w:cs="Courier New" w:eastAsia="Courier New" w:hAnsi="Courier New"/>
          <w:sz w:val="18"/>
          <w:szCs w:val="18"/>
          <w:color w:val="auto"/>
        </w:rPr>
        <w:t>(Amendment No.1)*</w:t>
      </w:r>
    </w:p>
    <w:p>
      <w:pPr>
        <w:spacing w:after="0" w:line="169"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Duluth Holdings Inc.</w:t>
      </w:r>
    </w:p>
    <w:p>
      <w:pPr>
        <w:spacing w:after="0" w:line="29"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(Name of Issuer)</w:t>
      </w:r>
    </w:p>
    <w:p>
      <w:pPr>
        <w:spacing w:after="0" w:line="238" w:lineRule="auto"/>
        <w:rPr>
          <w:sz w:val="20"/>
          <w:szCs w:val="20"/>
          <w:color w:val="auto"/>
        </w:rPr>
      </w:pPr>
      <w:r>
        <w:rPr>
          <w:rFonts w:ascii="Courier New" w:cs="Courier New" w:eastAsia="Courier New" w:hAnsi="Courier New"/>
          <w:sz w:val="18"/>
          <w:szCs w:val="18"/>
          <w:color w:val="auto"/>
        </w:rPr>
        <w:t>Class B Common Stock, No Par Value</w:t>
      </w:r>
    </w:p>
    <w:p>
      <w:pPr>
        <w:spacing w:after="0" w:line="238" w:lineRule="auto"/>
        <w:rPr>
          <w:sz w:val="20"/>
          <w:szCs w:val="20"/>
          <w:color w:val="auto"/>
        </w:rPr>
      </w:pPr>
      <w:r>
        <w:rPr>
          <w:rFonts w:ascii="Courier New" w:cs="Courier New" w:eastAsia="Courier New" w:hAnsi="Courier New"/>
          <w:sz w:val="18"/>
          <w:szCs w:val="18"/>
          <w:color w:val="auto"/>
        </w:rPr>
        <w:t>(Title of Class of Securities)</w:t>
      </w:r>
    </w:p>
    <w:p>
      <w:pPr>
        <w:spacing w:after="0"/>
        <w:rPr>
          <w:sz w:val="20"/>
          <w:szCs w:val="20"/>
          <w:color w:val="auto"/>
        </w:rPr>
      </w:pPr>
      <w:r>
        <w:rPr>
          <w:rFonts w:ascii="Courier New" w:cs="Courier New" w:eastAsia="Courier New" w:hAnsi="Courier New"/>
          <w:sz w:val="18"/>
          <w:szCs w:val="18"/>
          <w:color w:val="auto"/>
        </w:rPr>
        <w:t>26443V101</w:t>
      </w:r>
    </w:p>
    <w:p>
      <w:pPr>
        <w:spacing w:after="0" w:line="238" w:lineRule="auto"/>
        <w:rPr>
          <w:sz w:val="20"/>
          <w:szCs w:val="20"/>
          <w:color w:val="auto"/>
        </w:rPr>
      </w:pPr>
      <w:r>
        <w:rPr>
          <w:rFonts w:ascii="Courier New" w:cs="Courier New" w:eastAsia="Courier New" w:hAnsi="Courier New"/>
          <w:sz w:val="18"/>
          <w:szCs w:val="18"/>
          <w:color w:val="auto"/>
        </w:rPr>
        <w:t>(CUSIP Number)</w:t>
      </w:r>
    </w:p>
    <w:p>
      <w:pPr>
        <w:spacing w:after="0" w:line="238" w:lineRule="auto"/>
        <w:rPr>
          <w:sz w:val="20"/>
          <w:szCs w:val="20"/>
          <w:color w:val="auto"/>
        </w:rPr>
      </w:pPr>
      <w:r>
        <w:rPr>
          <w:rFonts w:ascii="Courier New" w:cs="Courier New" w:eastAsia="Courier New" w:hAnsi="Courier New"/>
          <w:sz w:val="18"/>
          <w:szCs w:val="18"/>
          <w:color w:val="auto"/>
        </w:rPr>
        <w:t>August 9, 2024</w:t>
      </w:r>
    </w:p>
    <w:p>
      <w:pPr>
        <w:spacing w:after="0" w:line="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(Date of Event Which Requires Filing of this Statement)</w:t>
      </w:r>
    </w:p>
    <w:p>
      <w:pPr>
        <w:spacing w:after="0" w:line="169" w:lineRule="exact"/>
        <w:rPr>
          <w:sz w:val="24"/>
          <w:szCs w:val="24"/>
          <w:color w:val="auto"/>
        </w:rPr>
      </w:pPr>
    </w:p>
    <w:p>
      <w:pPr>
        <w:ind w:right="3919"/>
        <w:spacing w:after="0" w:line="346" w:lineRule="auto"/>
        <w:rPr>
          <w:sz w:val="20"/>
          <w:szCs w:val="20"/>
          <w:color w:val="auto"/>
        </w:rPr>
      </w:pPr>
      <w:r>
        <w:rPr>
          <w:rFonts w:ascii="Courier New" w:cs="Courier New" w:eastAsia="Courier New" w:hAnsi="Courier New"/>
          <w:sz w:val="18"/>
          <w:szCs w:val="18"/>
          <w:color w:val="auto"/>
        </w:rPr>
        <w:t>Check the appropriate box to designate the rule pursuant to which this Schedule is filed:</w:t>
      </w:r>
    </w:p>
    <w:p>
      <w:pPr>
        <w:spacing w:after="0" w:line="20" w:lineRule="exact"/>
        <w:rPr>
          <w:sz w:val="24"/>
          <w:szCs w:val="24"/>
          <w:color w:val="auto"/>
        </w:rPr>
      </w:pPr>
    </w:p>
    <w:p>
      <w:pPr>
        <w:jc w:val="both"/>
        <w:ind w:right="8439" w:firstLine="8"/>
        <w:spacing w:after="0" w:line="289" w:lineRule="auto"/>
        <w:tabs>
          <w:tab w:leader="none" w:pos="211" w:val="left"/>
        </w:tabs>
        <w:numPr>
          <w:ilvl w:val="0"/>
          <w:numId w:val="1"/>
        </w:numPr>
        <w:rPr>
          <w:rFonts w:ascii="Courier New" w:cs="Courier New" w:eastAsia="Courier New" w:hAnsi="Courier New"/>
          <w:sz w:val="16"/>
          <w:szCs w:val="16"/>
          <w:color w:val="auto"/>
        </w:rPr>
      </w:pPr>
      <w:r>
        <w:rPr>
          <w:rFonts w:ascii="Courier New" w:cs="Courier New" w:eastAsia="Courier New" w:hAnsi="Courier New"/>
          <w:sz w:val="16"/>
          <w:szCs w:val="16"/>
          <w:color w:val="auto"/>
        </w:rPr>
        <w:t>]Rule 13d-1(b) [x]Rule 13d-1(c)</w:t>
      </w:r>
    </w:p>
    <w:p>
      <w:pPr>
        <w:ind w:left="220" w:hanging="212"/>
        <w:spacing w:after="0"/>
        <w:tabs>
          <w:tab w:leader="none" w:pos="220" w:val="left"/>
        </w:tabs>
        <w:numPr>
          <w:ilvl w:val="0"/>
          <w:numId w:val="1"/>
        </w:numPr>
        <w:rPr>
          <w:rFonts w:ascii="Courier New" w:cs="Courier New" w:eastAsia="Courier New" w:hAnsi="Courier New"/>
          <w:sz w:val="18"/>
          <w:szCs w:val="18"/>
          <w:color w:val="auto"/>
        </w:rPr>
      </w:pPr>
      <w:r>
        <w:rPr>
          <w:rFonts w:ascii="Courier New" w:cs="Courier New" w:eastAsia="Courier New" w:hAnsi="Courier New"/>
          <w:sz w:val="18"/>
          <w:szCs w:val="18"/>
          <w:color w:val="auto"/>
        </w:rPr>
        <w:t>]Rule 13d-1(d)</w:t>
      </w:r>
    </w:p>
    <w:p>
      <w:pPr>
        <w:spacing w:after="0" w:line="169" w:lineRule="exact"/>
        <w:rPr>
          <w:sz w:val="24"/>
          <w:szCs w:val="24"/>
          <w:color w:val="auto"/>
        </w:rPr>
      </w:pPr>
    </w:p>
    <w:p>
      <w:pPr>
        <w:ind w:right="1919"/>
        <w:spacing w:after="0" w:line="282" w:lineRule="auto"/>
        <w:rPr>
          <w:sz w:val="20"/>
          <w:szCs w:val="20"/>
          <w:color w:val="auto"/>
        </w:rPr>
      </w:pPr>
      <w:r>
        <w:rPr>
          <w:rFonts w:ascii="Courier New" w:cs="Courier New" w:eastAsia="Courier New" w:hAnsi="Courier New"/>
          <w:sz w:val="16"/>
          <w:szCs w:val="16"/>
          <w:color w:val="auto"/>
        </w:rPr>
        <w:t>*The remainder of this cover page shall be filled out for a reporting person's initial filing on this form with respect to the subject class of securities, and for any subsequent amendment containing information which would alter</w:t>
      </w:r>
    </w:p>
    <w:p>
      <w:pPr>
        <w:spacing w:after="0" w:line="1" w:lineRule="exact"/>
        <w:rPr>
          <w:sz w:val="24"/>
          <w:szCs w:val="24"/>
          <w:color w:val="auto"/>
        </w:rPr>
      </w:pPr>
    </w:p>
    <w:p>
      <w:pPr>
        <w:ind w:right="2559"/>
        <w:spacing w:after="0" w:line="268" w:lineRule="auto"/>
        <w:rPr>
          <w:sz w:val="20"/>
          <w:szCs w:val="20"/>
          <w:color w:val="auto"/>
        </w:rPr>
      </w:pPr>
      <w:r>
        <w:rPr>
          <w:rFonts w:ascii="Courier New" w:cs="Courier New" w:eastAsia="Courier New" w:hAnsi="Courier New"/>
          <w:sz w:val="16"/>
          <w:szCs w:val="16"/>
          <w:color w:val="auto"/>
        </w:rPr>
        <w:t>the disclosures provided in a prior cover page. The information required in the remainder of this cover page shall not be deemed to be "filed"</w:t>
      </w:r>
    </w:p>
    <w:p>
      <w:pPr>
        <w:jc w:val="both"/>
        <w:ind w:right="2119"/>
        <w:spacing w:after="0" w:line="323" w:lineRule="auto"/>
        <w:rPr>
          <w:sz w:val="20"/>
          <w:szCs w:val="20"/>
          <w:color w:val="auto"/>
        </w:rPr>
      </w:pPr>
      <w:r>
        <w:rPr>
          <w:rFonts w:ascii="Courier New" w:cs="Courier New" w:eastAsia="Courier New" w:hAnsi="Courier New"/>
          <w:sz w:val="16"/>
          <w:szCs w:val="16"/>
          <w:color w:val="auto"/>
        </w:rPr>
        <w:t>for the purpose of Section 18 of the Securities Exchange Act of 1934 ("Act") or otherwise subject to the liabilities of that section of the Act but shall be subject to all other provisions of the Act (however, see the Notes).</w:t>
      </w:r>
    </w:p>
    <w:p>
      <w:pPr>
        <w:spacing w:after="0" w:line="46"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CUSIP No. 26443V101</w:t>
      </w:r>
    </w:p>
    <w:p>
      <w:pPr>
        <w:spacing w:after="0" w:line="29" w:lineRule="exact"/>
        <w:rPr>
          <w:sz w:val="24"/>
          <w:szCs w:val="24"/>
          <w:color w:val="auto"/>
        </w:rPr>
      </w:pPr>
    </w:p>
    <w:p>
      <w:pPr>
        <w:ind w:left="120"/>
        <w:spacing w:after="0"/>
        <w:rPr>
          <w:sz w:val="20"/>
          <w:szCs w:val="20"/>
          <w:color w:val="auto"/>
        </w:rPr>
      </w:pPr>
      <w:r>
        <w:rPr>
          <w:rFonts w:ascii="Courier New" w:cs="Courier New" w:eastAsia="Courier New" w:hAnsi="Courier New"/>
          <w:sz w:val="18"/>
          <w:szCs w:val="18"/>
          <w:color w:val="auto"/>
        </w:rPr>
        <w:t>1.</w:t>
      </w:r>
    </w:p>
    <w:p>
      <w:pPr>
        <w:spacing w:after="0" w:line="238" w:lineRule="auto"/>
        <w:rPr>
          <w:sz w:val="20"/>
          <w:szCs w:val="20"/>
          <w:color w:val="auto"/>
        </w:rPr>
      </w:pPr>
      <w:r>
        <w:rPr>
          <w:rFonts w:ascii="Courier New" w:cs="Courier New" w:eastAsia="Courier New" w:hAnsi="Courier New"/>
          <w:sz w:val="18"/>
          <w:szCs w:val="18"/>
          <w:color w:val="auto"/>
        </w:rPr>
        <w:t>Names of Reporting Persons.</w:t>
      </w:r>
    </w:p>
    <w:p>
      <w:pPr>
        <w:ind w:left="120"/>
        <w:spacing w:after="0" w:line="238" w:lineRule="auto"/>
        <w:rPr>
          <w:sz w:val="20"/>
          <w:szCs w:val="20"/>
          <w:color w:val="auto"/>
        </w:rPr>
      </w:pPr>
      <w:r>
        <w:rPr>
          <w:rFonts w:ascii="Courier New" w:cs="Courier New" w:eastAsia="Courier New" w:hAnsi="Courier New"/>
          <w:sz w:val="18"/>
          <w:szCs w:val="18"/>
          <w:color w:val="auto"/>
        </w:rPr>
        <w:t>Askeladden Capital Management, LLC</w:t>
      </w:r>
    </w:p>
    <w:p>
      <w:pPr>
        <w:ind w:left="120"/>
        <w:spacing w:after="0"/>
        <w:rPr>
          <w:sz w:val="20"/>
          <w:szCs w:val="20"/>
          <w:color w:val="auto"/>
        </w:rPr>
      </w:pPr>
      <w:r>
        <w:rPr>
          <w:rFonts w:ascii="Courier New" w:cs="Courier New" w:eastAsia="Courier New" w:hAnsi="Courier New"/>
          <w:sz w:val="18"/>
          <w:szCs w:val="18"/>
          <w:color w:val="auto"/>
        </w:rPr>
        <w:t>2.</w:t>
      </w:r>
    </w:p>
    <w:p>
      <w:pPr>
        <w:spacing w:after="0" w:line="238" w:lineRule="auto"/>
        <w:rPr>
          <w:sz w:val="20"/>
          <w:szCs w:val="20"/>
          <w:color w:val="auto"/>
        </w:rPr>
      </w:pPr>
      <w:r>
        <w:rPr>
          <w:rFonts w:ascii="Courier New" w:cs="Courier New" w:eastAsia="Courier New" w:hAnsi="Courier New"/>
          <w:sz w:val="18"/>
          <w:szCs w:val="18"/>
          <w:color w:val="auto"/>
        </w:rPr>
        <w:t>Check the Appropriate Box if a Member of a Group (See Instructions)</w:t>
      </w:r>
    </w:p>
    <w:p>
      <w:pPr>
        <w:ind w:left="420" w:hanging="412"/>
        <w:spacing w:after="0" w:line="238" w:lineRule="auto"/>
        <w:tabs>
          <w:tab w:leader="none" w:pos="42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 ]</w:t>
      </w:r>
    </w:p>
    <w:p>
      <w:pPr>
        <w:ind w:left="420" w:hanging="412"/>
        <w:spacing w:after="0" w:line="238" w:lineRule="auto"/>
        <w:tabs>
          <w:tab w:leader="none" w:pos="42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[x]</w:t>
      </w:r>
    </w:p>
    <w:p>
      <w:pPr>
        <w:ind w:left="12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3.</w:t>
      </w:r>
    </w:p>
    <w:p>
      <w:pPr>
        <w:spacing w:after="0" w:line="238" w:lineRule="auto"/>
        <w:rPr>
          <w:sz w:val="20"/>
          <w:szCs w:val="20"/>
          <w:color w:val="auto"/>
        </w:rPr>
      </w:pPr>
      <w:r>
        <w:rPr>
          <w:rFonts w:ascii="Courier New" w:cs="Courier New" w:eastAsia="Courier New" w:hAnsi="Courier New"/>
          <w:sz w:val="18"/>
          <w:szCs w:val="18"/>
          <w:color w:val="auto"/>
        </w:rPr>
        <w:t>SEC Use Only</w:t>
      </w:r>
    </w:p>
    <w:p>
      <w:pPr>
        <w:ind w:left="120"/>
        <w:spacing w:after="0"/>
        <w:rPr>
          <w:sz w:val="20"/>
          <w:szCs w:val="20"/>
          <w:color w:val="auto"/>
        </w:rPr>
      </w:pPr>
      <w:r>
        <w:rPr>
          <w:rFonts w:ascii="Courier New" w:cs="Courier New" w:eastAsia="Courier New" w:hAnsi="Courier New"/>
          <w:sz w:val="18"/>
          <w:szCs w:val="18"/>
          <w:color w:val="auto"/>
        </w:rPr>
        <w:t>4.</w:t>
      </w:r>
    </w:p>
    <w:p>
      <w:pPr>
        <w:spacing w:after="0" w:line="238" w:lineRule="auto"/>
        <w:rPr>
          <w:sz w:val="20"/>
          <w:szCs w:val="20"/>
          <w:color w:val="auto"/>
        </w:rPr>
      </w:pPr>
      <w:r>
        <w:rPr>
          <w:rFonts w:ascii="Courier New" w:cs="Courier New" w:eastAsia="Courier New" w:hAnsi="Courier New"/>
          <w:sz w:val="18"/>
          <w:szCs w:val="18"/>
          <w:color w:val="auto"/>
        </w:rPr>
        <w:t>Citizenship or Place of Organization</w:t>
      </w:r>
    </w:p>
    <w:p>
      <w:pPr>
        <w:spacing w:after="0" w:line="238" w:lineRule="auto"/>
        <w:rPr>
          <w:sz w:val="20"/>
          <w:szCs w:val="20"/>
          <w:color w:val="auto"/>
        </w:rPr>
      </w:pPr>
      <w:r>
        <w:rPr>
          <w:rFonts w:ascii="Courier New" w:cs="Courier New" w:eastAsia="Courier New" w:hAnsi="Courier New"/>
          <w:sz w:val="18"/>
          <w:szCs w:val="18"/>
          <w:color w:val="auto"/>
        </w:rPr>
        <w:t>Texas</w:t>
      </w:r>
    </w:p>
    <w:p>
      <w:pPr>
        <w:spacing w:after="0"/>
        <w:rPr>
          <w:sz w:val="20"/>
          <w:szCs w:val="20"/>
          <w:color w:val="auto"/>
        </w:rPr>
      </w:pPr>
      <w:r>
        <w:rPr>
          <w:rFonts w:ascii="Courier New" w:cs="Courier New" w:eastAsia="Courier New" w:hAnsi="Courier New"/>
          <w:sz w:val="18"/>
          <w:szCs w:val="18"/>
          <w:color w:val="auto"/>
        </w:rPr>
        <w:t>Number of Shares Beneficially Owned by Each Reporting Person With:</w:t>
      </w:r>
    </w:p>
    <w:p>
      <w:pPr>
        <w:spacing w:after="0" w:line="238" w:lineRule="auto"/>
        <w:rPr>
          <w:sz w:val="20"/>
          <w:szCs w:val="20"/>
          <w:color w:val="auto"/>
        </w:rPr>
      </w:pPr>
      <w:r>
        <w:rPr>
          <w:rFonts w:ascii="Courier New" w:cs="Courier New" w:eastAsia="Courier New" w:hAnsi="Courier New"/>
          <w:sz w:val="18"/>
          <w:szCs w:val="18"/>
          <w:color w:val="auto"/>
        </w:rPr>
        <w:t>5.</w:t>
      </w:r>
    </w:p>
    <w:p>
      <w:pPr>
        <w:spacing w:after="0" w:line="238" w:lineRule="auto"/>
        <w:rPr>
          <w:sz w:val="20"/>
          <w:szCs w:val="20"/>
          <w:color w:val="auto"/>
        </w:rPr>
      </w:pPr>
      <w:r>
        <w:rPr>
          <w:rFonts w:ascii="Courier New" w:cs="Courier New" w:eastAsia="Courier New" w:hAnsi="Courier New"/>
          <w:sz w:val="18"/>
          <w:szCs w:val="18"/>
          <w:color w:val="auto"/>
        </w:rPr>
        <w:t>Sole Voting Power</w:t>
      </w:r>
    </w:p>
    <w:p>
      <w:pPr>
        <w:spacing w:after="0" w:line="1" w:lineRule="exact"/>
        <w:rPr>
          <w:sz w:val="24"/>
          <w:szCs w:val="24"/>
          <w:color w:val="auto"/>
        </w:rPr>
      </w:pPr>
    </w:p>
    <w:p>
      <w:pPr>
        <w:ind w:left="320"/>
        <w:spacing w:after="0"/>
        <w:rPr>
          <w:sz w:val="20"/>
          <w:szCs w:val="20"/>
          <w:color w:val="auto"/>
        </w:rPr>
      </w:pPr>
      <w:r>
        <w:rPr>
          <w:rFonts w:ascii="Courier New" w:cs="Courier New" w:eastAsia="Courier New" w:hAnsi="Courier New"/>
          <w:sz w:val="18"/>
          <w:szCs w:val="18"/>
          <w:color w:val="auto"/>
        </w:rPr>
        <w:t>0</w:t>
      </w:r>
    </w:p>
    <w:p>
      <w:pPr>
        <w:spacing w:after="0" w:line="169"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6.</w:t>
      </w:r>
    </w:p>
    <w:p>
      <w:pPr>
        <w:spacing w:after="0" w:line="29"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Shared Voting Power</w:t>
      </w:r>
    </w:p>
    <w:p>
      <w:pPr>
        <w:spacing w:after="0"/>
        <w:rPr>
          <w:sz w:val="20"/>
          <w:szCs w:val="20"/>
          <w:color w:val="auto"/>
        </w:rPr>
      </w:pPr>
      <w:r>
        <w:rPr>
          <w:rFonts w:ascii="Courier New" w:cs="Courier New" w:eastAsia="Courier New" w:hAnsi="Courier New"/>
          <w:sz w:val="18"/>
          <w:szCs w:val="18"/>
          <w:color w:val="auto"/>
        </w:rPr>
        <w:t>2,207,214</w:t>
      </w:r>
    </w:p>
    <w:p>
      <w:pPr>
        <w:spacing w:after="0" w:line="169"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7.</w:t>
      </w:r>
    </w:p>
    <w:p>
      <w:pPr>
        <w:spacing w:after="0" w:line="29"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Sole Dispositive Power</w:t>
      </w:r>
    </w:p>
    <w:p>
      <w:pPr>
        <w:ind w:left="320"/>
        <w:spacing w:after="0"/>
        <w:rPr>
          <w:sz w:val="20"/>
          <w:szCs w:val="20"/>
          <w:color w:val="auto"/>
        </w:rPr>
      </w:pPr>
      <w:r>
        <w:rPr>
          <w:rFonts w:ascii="Courier New" w:cs="Courier New" w:eastAsia="Courier New" w:hAnsi="Courier New"/>
          <w:sz w:val="18"/>
          <w:szCs w:val="18"/>
          <w:color w:val="auto"/>
        </w:rPr>
        <w:t>0</w:t>
      </w:r>
    </w:p>
    <w:p>
      <w:pPr>
        <w:spacing w:after="0" w:line="169"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8.</w:t>
      </w:r>
    </w:p>
    <w:p>
      <w:pPr>
        <w:spacing w:after="0" w:line="29"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Shared Dispositive Power</w:t>
      </w:r>
    </w:p>
    <w:p>
      <w:pPr>
        <w:spacing w:after="0" w:line="238" w:lineRule="auto"/>
        <w:rPr>
          <w:sz w:val="20"/>
          <w:szCs w:val="20"/>
          <w:color w:val="auto"/>
        </w:rPr>
      </w:pPr>
      <w:r>
        <w:rPr>
          <w:rFonts w:ascii="Courier New" w:cs="Courier New" w:eastAsia="Courier New" w:hAnsi="Courier New"/>
          <w:sz w:val="18"/>
          <w:szCs w:val="18"/>
          <w:color w:val="auto"/>
        </w:rPr>
        <w:t>2,207,214</w:t>
      </w:r>
    </w:p>
    <w:p>
      <w:pPr>
        <w:ind w:left="120"/>
        <w:spacing w:after="0" w:line="238" w:lineRule="auto"/>
        <w:rPr>
          <w:sz w:val="20"/>
          <w:szCs w:val="20"/>
          <w:color w:val="auto"/>
        </w:rPr>
      </w:pPr>
      <w:r>
        <w:rPr>
          <w:rFonts w:ascii="Courier New" w:cs="Courier New" w:eastAsia="Courier New" w:hAnsi="Courier New"/>
          <w:sz w:val="18"/>
          <w:szCs w:val="18"/>
          <w:color w:val="auto"/>
        </w:rPr>
        <w:t>9.</w:t>
      </w:r>
    </w:p>
    <w:p>
      <w:pPr>
        <w:spacing w:after="0"/>
        <w:rPr>
          <w:sz w:val="20"/>
          <w:szCs w:val="20"/>
          <w:color w:val="auto"/>
        </w:rPr>
      </w:pPr>
      <w:r>
        <w:rPr>
          <w:rFonts w:ascii="Courier New" w:cs="Courier New" w:eastAsia="Courier New" w:hAnsi="Courier New"/>
          <w:sz w:val="18"/>
          <w:szCs w:val="18"/>
          <w:color w:val="auto"/>
        </w:rPr>
        <w:t>Aggregate Amount Beneficially Owned by Each Reporting Person</w:t>
      </w:r>
    </w:p>
    <w:p>
      <w:pPr>
        <w:spacing w:after="0" w:line="238" w:lineRule="auto"/>
        <w:rPr>
          <w:sz w:val="20"/>
          <w:szCs w:val="20"/>
          <w:color w:val="auto"/>
        </w:rPr>
      </w:pPr>
      <w:r>
        <w:rPr>
          <w:rFonts w:ascii="Courier New" w:cs="Courier New" w:eastAsia="Courier New" w:hAnsi="Courier New"/>
          <w:sz w:val="18"/>
          <w:szCs w:val="18"/>
          <w:color w:val="auto"/>
        </w:rPr>
        <w:t>2,207,214</w:t>
      </w:r>
    </w:p>
    <w:p>
      <w:pPr>
        <w:spacing w:after="0" w:line="238" w:lineRule="auto"/>
        <w:rPr>
          <w:sz w:val="20"/>
          <w:szCs w:val="20"/>
          <w:color w:val="auto"/>
        </w:rPr>
      </w:pPr>
      <w:r>
        <w:rPr>
          <w:rFonts w:ascii="Courier New" w:cs="Courier New" w:eastAsia="Courier New" w:hAnsi="Courier New"/>
          <w:sz w:val="18"/>
          <w:szCs w:val="18"/>
          <w:color w:val="auto"/>
        </w:rPr>
        <w:t>10.</w:t>
      </w:r>
    </w:p>
    <w:p>
      <w:pPr>
        <w:spacing w:after="0"/>
        <w:rPr>
          <w:sz w:val="20"/>
          <w:szCs w:val="20"/>
          <w:color w:val="auto"/>
        </w:rPr>
      </w:pPr>
      <w:r>
        <w:rPr>
          <w:rFonts w:ascii="Courier New" w:cs="Courier New" w:eastAsia="Courier New" w:hAnsi="Courier New"/>
          <w:sz w:val="18"/>
          <w:szCs w:val="18"/>
          <w:color w:val="auto"/>
        </w:rPr>
        <w:t>Check if the Aggregate Amount in Row (9)</w:t>
      </w:r>
    </w:p>
    <w:p>
      <w:pPr>
        <w:spacing w:after="0" w:line="238" w:lineRule="auto"/>
        <w:rPr>
          <w:sz w:val="20"/>
          <w:szCs w:val="20"/>
          <w:color w:val="auto"/>
        </w:rPr>
      </w:pPr>
      <w:r>
        <w:rPr>
          <w:rFonts w:ascii="Courier New" w:cs="Courier New" w:eastAsia="Courier New" w:hAnsi="Courier New"/>
          <w:sz w:val="18"/>
          <w:szCs w:val="18"/>
          <w:color w:val="auto"/>
        </w:rPr>
        <w:t>Excludes Certain Shares (See Instructions)[ ]</w:t>
      </w:r>
    </w:p>
    <w:p>
      <w:pPr>
        <w:spacing w:after="0" w:line="238" w:lineRule="auto"/>
        <w:rPr>
          <w:sz w:val="20"/>
          <w:szCs w:val="20"/>
          <w:color w:val="auto"/>
        </w:rPr>
      </w:pPr>
      <w:r>
        <w:rPr>
          <w:rFonts w:ascii="Courier New" w:cs="Courier New" w:eastAsia="Courier New" w:hAnsi="Courier New"/>
          <w:sz w:val="18"/>
          <w:szCs w:val="18"/>
          <w:color w:val="auto"/>
        </w:rPr>
        <w:t>11.</w:t>
      </w:r>
    </w:p>
    <w:p>
      <w:pPr>
        <w:spacing w:after="0"/>
        <w:rPr>
          <w:sz w:val="20"/>
          <w:szCs w:val="20"/>
          <w:color w:val="auto"/>
        </w:rPr>
      </w:pPr>
      <w:r>
        <w:rPr>
          <w:rFonts w:ascii="Courier New" w:cs="Courier New" w:eastAsia="Courier New" w:hAnsi="Courier New"/>
          <w:sz w:val="18"/>
          <w:szCs w:val="18"/>
          <w:color w:val="auto"/>
        </w:rPr>
        <w:t>Percent of Class Represented by Amount in Row (9)</w:t>
      </w:r>
    </w:p>
    <w:p>
      <w:pPr>
        <w:ind w:left="220" w:hanging="212"/>
        <w:spacing w:after="0" w:line="238" w:lineRule="auto"/>
        <w:tabs>
          <w:tab w:leader="none" w:pos="22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12.</w:t>
      </w: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Type of Reporting Person (See Instructions)</w:t>
      </w:r>
    </w:p>
    <w:p>
      <w:pPr>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IA</w:t>
      </w:r>
    </w:p>
    <w:p>
      <w:pPr>
        <w:spacing w:after="0" w:line="200" w:lineRule="exact"/>
        <w:rPr>
          <w:sz w:val="24"/>
          <w:szCs w:val="24"/>
          <w:color w:val="auto"/>
        </w:rPr>
      </w:pPr>
    </w:p>
    <w:p>
      <w:pPr>
        <w:spacing w:after="0" w:line="374"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CUSIP No. 26443V101</w:t>
      </w:r>
    </w:p>
    <w:p>
      <w:pPr>
        <w:spacing w:after="0" w:line="29" w:lineRule="exact"/>
        <w:rPr>
          <w:sz w:val="24"/>
          <w:szCs w:val="24"/>
          <w:color w:val="auto"/>
        </w:rPr>
      </w:pPr>
    </w:p>
    <w:p>
      <w:pPr>
        <w:ind w:left="120"/>
        <w:spacing w:after="0"/>
        <w:rPr>
          <w:sz w:val="20"/>
          <w:szCs w:val="20"/>
          <w:color w:val="auto"/>
        </w:rPr>
      </w:pPr>
      <w:r>
        <w:rPr>
          <w:rFonts w:ascii="Courier New" w:cs="Courier New" w:eastAsia="Courier New" w:hAnsi="Courier New"/>
          <w:sz w:val="18"/>
          <w:szCs w:val="18"/>
          <w:color w:val="auto"/>
        </w:rPr>
        <w:t>1.</w:t>
      </w:r>
    </w:p>
    <w:p>
      <w:pPr>
        <w:spacing w:after="0" w:line="238" w:lineRule="auto"/>
        <w:rPr>
          <w:sz w:val="20"/>
          <w:szCs w:val="20"/>
          <w:color w:val="auto"/>
        </w:rPr>
      </w:pPr>
      <w:r>
        <w:rPr>
          <w:rFonts w:ascii="Courier New" w:cs="Courier New" w:eastAsia="Courier New" w:hAnsi="Courier New"/>
          <w:sz w:val="18"/>
          <w:szCs w:val="18"/>
          <w:color w:val="auto"/>
        </w:rPr>
        <w:t>Names of Reporting Persons.</w:t>
      </w:r>
    </w:p>
    <w:p>
      <w:pPr>
        <w:ind w:left="120"/>
        <w:spacing w:after="0"/>
        <w:rPr>
          <w:sz w:val="20"/>
          <w:szCs w:val="20"/>
          <w:color w:val="auto"/>
        </w:rPr>
      </w:pPr>
      <w:r>
        <w:rPr>
          <w:rFonts w:ascii="Courier New" w:cs="Courier New" w:eastAsia="Courier New" w:hAnsi="Courier New"/>
          <w:sz w:val="18"/>
          <w:szCs w:val="18"/>
          <w:color w:val="auto"/>
        </w:rPr>
        <w:t>Samir Patel</w:t>
      </w:r>
    </w:p>
    <w:p>
      <w:pPr>
        <w:sectPr>
          <w:pgSz w:w="11900" w:h="16854" w:orient="portrait"/>
          <w:cols w:equalWidth="0" w:num="1">
            <w:col w:w="10139"/>
          </w:cols>
          <w:pgMar w:left="320" w:top="218" w:right="1440" w:bottom="0" w:gutter="0" w:footer="0" w:header="0"/>
        </w:sectPr>
      </w:pPr>
    </w:p>
    <w:bookmarkStart w:id="1" w:name="page2"/>
    <w:bookmarkEnd w:id="1"/>
    <w:p>
      <w:pPr>
        <w:spacing w:after="0" w:line="46" w:lineRule="exact"/>
        <w:rPr>
          <w:sz w:val="20"/>
          <w:szCs w:val="20"/>
          <w:color w:val="auto"/>
        </w:rPr>
      </w:pPr>
    </w:p>
    <w:p>
      <w:pPr>
        <w:ind w:left="120"/>
        <w:spacing w:after="0"/>
        <w:rPr>
          <w:sz w:val="20"/>
          <w:szCs w:val="20"/>
          <w:color w:val="auto"/>
        </w:rPr>
      </w:pPr>
      <w:r>
        <w:rPr>
          <w:rFonts w:ascii="Courier New" w:cs="Courier New" w:eastAsia="Courier New" w:hAnsi="Courier New"/>
          <w:sz w:val="18"/>
          <w:szCs w:val="18"/>
          <w:color w:val="auto"/>
        </w:rPr>
        <w:t>2.</w:t>
      </w:r>
    </w:p>
    <w:p>
      <w:pPr>
        <w:spacing w:after="0" w:line="3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Check the Appropriate Box if a Member of a Group (See Instructions)</w:t>
      </w:r>
    </w:p>
    <w:p>
      <w:pPr>
        <w:spacing w:after="0" w:line="20" w:lineRule="exact"/>
        <w:rPr>
          <w:sz w:val="20"/>
          <w:szCs w:val="20"/>
          <w:color w:val="auto"/>
        </w:rPr>
      </w:pPr>
    </w:p>
    <w:p>
      <w:pPr>
        <w:ind w:left="420" w:hanging="412"/>
        <w:spacing w:after="0"/>
        <w:tabs>
          <w:tab w:leader="none" w:pos="42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 ]</w:t>
      </w:r>
    </w:p>
    <w:p>
      <w:pPr>
        <w:ind w:left="420" w:hanging="412"/>
        <w:spacing w:after="0" w:line="238" w:lineRule="auto"/>
        <w:tabs>
          <w:tab w:leader="none" w:pos="42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[x]</w:t>
      </w:r>
    </w:p>
    <w:p>
      <w:pPr>
        <w:ind w:left="12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3.</w:t>
      </w:r>
    </w:p>
    <w:p>
      <w:pPr>
        <w:spacing w:after="0" w:line="238" w:lineRule="auto"/>
        <w:rPr>
          <w:sz w:val="20"/>
          <w:szCs w:val="20"/>
          <w:color w:val="auto"/>
        </w:rPr>
      </w:pPr>
      <w:r>
        <w:rPr>
          <w:rFonts w:ascii="Courier New" w:cs="Courier New" w:eastAsia="Courier New" w:hAnsi="Courier New"/>
          <w:sz w:val="18"/>
          <w:szCs w:val="18"/>
          <w:color w:val="auto"/>
        </w:rPr>
        <w:t>SEC Use Only</w:t>
      </w:r>
    </w:p>
    <w:p>
      <w:pPr>
        <w:ind w:left="120"/>
        <w:spacing w:after="0"/>
        <w:rPr>
          <w:sz w:val="20"/>
          <w:szCs w:val="20"/>
          <w:color w:val="auto"/>
        </w:rPr>
      </w:pPr>
      <w:r>
        <w:rPr>
          <w:rFonts w:ascii="Courier New" w:cs="Courier New" w:eastAsia="Courier New" w:hAnsi="Courier New"/>
          <w:sz w:val="18"/>
          <w:szCs w:val="18"/>
          <w:color w:val="auto"/>
        </w:rPr>
        <w:t>4.</w:t>
      </w:r>
    </w:p>
    <w:p>
      <w:pPr>
        <w:spacing w:after="0" w:line="238" w:lineRule="auto"/>
        <w:rPr>
          <w:sz w:val="20"/>
          <w:szCs w:val="20"/>
          <w:color w:val="auto"/>
        </w:rPr>
      </w:pPr>
      <w:r>
        <w:rPr>
          <w:rFonts w:ascii="Courier New" w:cs="Courier New" w:eastAsia="Courier New" w:hAnsi="Courier New"/>
          <w:sz w:val="18"/>
          <w:szCs w:val="18"/>
          <w:color w:val="auto"/>
        </w:rPr>
        <w:t>Citizenship or Place of Organization</w:t>
      </w:r>
    </w:p>
    <w:p>
      <w:pPr>
        <w:spacing w:after="0" w:line="238" w:lineRule="auto"/>
        <w:rPr>
          <w:sz w:val="20"/>
          <w:szCs w:val="20"/>
          <w:color w:val="auto"/>
        </w:rPr>
      </w:pPr>
      <w:r>
        <w:rPr>
          <w:rFonts w:ascii="Courier New" w:cs="Courier New" w:eastAsia="Courier New" w:hAnsi="Courier New"/>
          <w:sz w:val="18"/>
          <w:szCs w:val="18"/>
          <w:color w:val="auto"/>
        </w:rPr>
        <w:t>United States</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Number of Shares Beneficially Owned by Each Reporting Person With:</w:t>
      </w:r>
    </w:p>
    <w:p>
      <w:pPr>
        <w:spacing w:after="0" w:line="20"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5.</w:t>
      </w:r>
    </w:p>
    <w:p>
      <w:pPr>
        <w:spacing w:after="0" w:line="238" w:lineRule="auto"/>
        <w:rPr>
          <w:sz w:val="20"/>
          <w:szCs w:val="20"/>
          <w:color w:val="auto"/>
        </w:rPr>
      </w:pPr>
      <w:r>
        <w:rPr>
          <w:rFonts w:ascii="Courier New" w:cs="Courier New" w:eastAsia="Courier New" w:hAnsi="Courier New"/>
          <w:sz w:val="18"/>
          <w:szCs w:val="18"/>
          <w:color w:val="auto"/>
        </w:rPr>
        <w:t>Sole Voting Power</w:t>
      </w:r>
    </w:p>
    <w:p>
      <w:pPr>
        <w:ind w:left="320"/>
        <w:spacing w:after="0"/>
        <w:rPr>
          <w:sz w:val="20"/>
          <w:szCs w:val="20"/>
          <w:color w:val="auto"/>
        </w:rPr>
      </w:pPr>
      <w:r>
        <w:rPr>
          <w:rFonts w:ascii="Courier New" w:cs="Courier New" w:eastAsia="Courier New" w:hAnsi="Courier New"/>
          <w:sz w:val="18"/>
          <w:szCs w:val="18"/>
          <w:color w:val="auto"/>
        </w:rPr>
        <w:t>0</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6.</w:t>
      </w:r>
    </w:p>
    <w:p>
      <w:pPr>
        <w:spacing w:after="0" w:line="2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Shared Voting Power</w:t>
      </w:r>
    </w:p>
    <w:p>
      <w:pPr>
        <w:spacing w:after="0"/>
        <w:rPr>
          <w:sz w:val="20"/>
          <w:szCs w:val="20"/>
          <w:color w:val="auto"/>
        </w:rPr>
      </w:pPr>
      <w:r>
        <w:rPr>
          <w:rFonts w:ascii="Courier New" w:cs="Courier New" w:eastAsia="Courier New" w:hAnsi="Courier New"/>
          <w:sz w:val="18"/>
          <w:szCs w:val="18"/>
          <w:color w:val="auto"/>
        </w:rPr>
        <w:t>2,207,214</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7.</w:t>
      </w:r>
    </w:p>
    <w:p>
      <w:pPr>
        <w:spacing w:after="0" w:line="2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Sole Dispositive Power</w:t>
      </w:r>
    </w:p>
    <w:p>
      <w:pPr>
        <w:ind w:left="320"/>
        <w:spacing w:after="0"/>
        <w:rPr>
          <w:sz w:val="20"/>
          <w:szCs w:val="20"/>
          <w:color w:val="auto"/>
        </w:rPr>
      </w:pPr>
      <w:r>
        <w:rPr>
          <w:rFonts w:ascii="Courier New" w:cs="Courier New" w:eastAsia="Courier New" w:hAnsi="Courier New"/>
          <w:sz w:val="18"/>
          <w:szCs w:val="18"/>
          <w:color w:val="auto"/>
        </w:rPr>
        <w:t>0</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8.</w:t>
      </w:r>
    </w:p>
    <w:p>
      <w:pPr>
        <w:spacing w:after="0" w:line="2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Shared Dispositive Power</w:t>
      </w:r>
    </w:p>
    <w:p>
      <w:pPr>
        <w:spacing w:after="0" w:line="238" w:lineRule="auto"/>
        <w:rPr>
          <w:sz w:val="20"/>
          <w:szCs w:val="20"/>
          <w:color w:val="auto"/>
        </w:rPr>
      </w:pPr>
      <w:r>
        <w:rPr>
          <w:rFonts w:ascii="Courier New" w:cs="Courier New" w:eastAsia="Courier New" w:hAnsi="Courier New"/>
          <w:sz w:val="18"/>
          <w:szCs w:val="18"/>
          <w:color w:val="auto"/>
        </w:rPr>
        <w:t>2,207,214</w:t>
      </w:r>
    </w:p>
    <w:p>
      <w:pPr>
        <w:ind w:left="120"/>
        <w:spacing w:after="0" w:line="238" w:lineRule="auto"/>
        <w:rPr>
          <w:sz w:val="20"/>
          <w:szCs w:val="20"/>
          <w:color w:val="auto"/>
        </w:rPr>
      </w:pPr>
      <w:r>
        <w:rPr>
          <w:rFonts w:ascii="Courier New" w:cs="Courier New" w:eastAsia="Courier New" w:hAnsi="Courier New"/>
          <w:sz w:val="18"/>
          <w:szCs w:val="18"/>
          <w:color w:val="auto"/>
        </w:rPr>
        <w:t>9.</w:t>
      </w:r>
    </w:p>
    <w:p>
      <w:pPr>
        <w:spacing w:after="0"/>
        <w:rPr>
          <w:sz w:val="20"/>
          <w:szCs w:val="20"/>
          <w:color w:val="auto"/>
        </w:rPr>
      </w:pPr>
      <w:r>
        <w:rPr>
          <w:rFonts w:ascii="Courier New" w:cs="Courier New" w:eastAsia="Courier New" w:hAnsi="Courier New"/>
          <w:sz w:val="18"/>
          <w:szCs w:val="18"/>
          <w:color w:val="auto"/>
        </w:rPr>
        <w:t>Aggregate Amount Beneficially Owned by Each Reporting Person</w:t>
      </w:r>
    </w:p>
    <w:p>
      <w:pPr>
        <w:spacing w:after="0" w:line="238" w:lineRule="auto"/>
        <w:rPr>
          <w:sz w:val="20"/>
          <w:szCs w:val="20"/>
          <w:color w:val="auto"/>
        </w:rPr>
      </w:pPr>
      <w:r>
        <w:rPr>
          <w:rFonts w:ascii="Courier New" w:cs="Courier New" w:eastAsia="Courier New" w:hAnsi="Courier New"/>
          <w:sz w:val="18"/>
          <w:szCs w:val="18"/>
          <w:color w:val="auto"/>
        </w:rPr>
        <w:t>2,207,214</w:t>
      </w:r>
    </w:p>
    <w:p>
      <w:pPr>
        <w:spacing w:after="0" w:line="238" w:lineRule="auto"/>
        <w:rPr>
          <w:sz w:val="20"/>
          <w:szCs w:val="20"/>
          <w:color w:val="auto"/>
        </w:rPr>
      </w:pPr>
      <w:r>
        <w:rPr>
          <w:rFonts w:ascii="Courier New" w:cs="Courier New" w:eastAsia="Courier New" w:hAnsi="Courier New"/>
          <w:sz w:val="18"/>
          <w:szCs w:val="18"/>
          <w:color w:val="auto"/>
        </w:rPr>
        <w:t>10.</w:t>
      </w:r>
    </w:p>
    <w:p>
      <w:pPr>
        <w:spacing w:after="0"/>
        <w:rPr>
          <w:sz w:val="20"/>
          <w:szCs w:val="20"/>
          <w:color w:val="auto"/>
        </w:rPr>
      </w:pPr>
      <w:r>
        <w:rPr>
          <w:rFonts w:ascii="Courier New" w:cs="Courier New" w:eastAsia="Courier New" w:hAnsi="Courier New"/>
          <w:sz w:val="18"/>
          <w:szCs w:val="18"/>
          <w:color w:val="auto"/>
        </w:rPr>
        <w:t>Check if the Aggregate Amount in Row (9)</w:t>
      </w:r>
    </w:p>
    <w:p>
      <w:pPr>
        <w:spacing w:after="0" w:line="238" w:lineRule="auto"/>
        <w:rPr>
          <w:sz w:val="20"/>
          <w:szCs w:val="20"/>
          <w:color w:val="auto"/>
        </w:rPr>
      </w:pPr>
      <w:r>
        <w:rPr>
          <w:rFonts w:ascii="Courier New" w:cs="Courier New" w:eastAsia="Courier New" w:hAnsi="Courier New"/>
          <w:sz w:val="18"/>
          <w:szCs w:val="18"/>
          <w:color w:val="auto"/>
        </w:rPr>
        <w:t>Excludes Certain Shares (See Instructions)[ ]</w:t>
      </w:r>
    </w:p>
    <w:p>
      <w:pPr>
        <w:spacing w:after="0" w:line="238" w:lineRule="auto"/>
        <w:rPr>
          <w:sz w:val="20"/>
          <w:szCs w:val="20"/>
          <w:color w:val="auto"/>
        </w:rPr>
      </w:pPr>
      <w:r>
        <w:rPr>
          <w:rFonts w:ascii="Courier New" w:cs="Courier New" w:eastAsia="Courier New" w:hAnsi="Courier New"/>
          <w:sz w:val="18"/>
          <w:szCs w:val="18"/>
          <w:color w:val="auto"/>
        </w:rPr>
        <w:t>11.</w:t>
      </w:r>
    </w:p>
    <w:p>
      <w:pPr>
        <w:spacing w:after="0"/>
        <w:rPr>
          <w:sz w:val="20"/>
          <w:szCs w:val="20"/>
          <w:color w:val="auto"/>
        </w:rPr>
      </w:pPr>
      <w:r>
        <w:rPr>
          <w:rFonts w:ascii="Courier New" w:cs="Courier New" w:eastAsia="Courier New" w:hAnsi="Courier New"/>
          <w:sz w:val="18"/>
          <w:szCs w:val="18"/>
          <w:color w:val="auto"/>
        </w:rPr>
        <w:t>Percent of Class Represented by Amount in Row (9)</w:t>
      </w:r>
    </w:p>
    <w:p>
      <w:pPr>
        <w:ind w:left="220" w:hanging="212"/>
        <w:spacing w:after="0" w:line="238" w:lineRule="auto"/>
        <w:tabs>
          <w:tab w:leader="none" w:pos="220"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12.</w:t>
      </w:r>
    </w:p>
    <w:p>
      <w:pPr>
        <w:ind w:left="120" w:right="5599" w:hanging="105"/>
        <w:spacing w:after="0" w:line="309"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Type of Reporting Person (See Instructions) IN, HC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spacing w:after="0"/>
        <w:tabs>
          <w:tab w:leader="none" w:pos="620" w:val="left"/>
        </w:tabs>
        <w:rPr>
          <w:sz w:val="20"/>
          <w:szCs w:val="20"/>
          <w:color w:val="auto"/>
        </w:rPr>
      </w:pPr>
      <w:r>
        <w:rPr>
          <w:rFonts w:ascii="Courier New" w:cs="Courier New" w:eastAsia="Courier New" w:hAnsi="Courier New"/>
          <w:sz w:val="18"/>
          <w:szCs w:val="18"/>
          <w:color w:val="auto"/>
        </w:rPr>
        <w:t>Item</w:t>
        <w:tab/>
        <w:t>1.</w:t>
      </w:r>
    </w:p>
    <w:p>
      <w:pPr>
        <w:spacing w:after="0" w:line="31" w:lineRule="exact"/>
        <w:rPr>
          <w:sz w:val="20"/>
          <w:szCs w:val="20"/>
          <w:color w:val="auto"/>
        </w:rPr>
      </w:pPr>
    </w:p>
    <w:p>
      <w:pPr>
        <w:ind w:right="8019" w:firstLine="8"/>
        <w:spacing w:after="0" w:line="377" w:lineRule="auto"/>
        <w:tabs>
          <w:tab w:leader="none" w:pos="421" w:val="left"/>
        </w:tabs>
        <w:numPr>
          <w:ilvl w:val="0"/>
          <w:numId w:val="6"/>
        </w:numPr>
        <w:rPr>
          <w:rFonts w:ascii="Courier New" w:cs="Courier New" w:eastAsia="Courier New" w:hAnsi="Courier New"/>
          <w:sz w:val="16"/>
          <w:szCs w:val="16"/>
          <w:color w:val="auto"/>
        </w:rPr>
      </w:pPr>
      <w:r>
        <w:rPr>
          <w:rFonts w:ascii="Courier New" w:cs="Courier New" w:eastAsia="Courier New" w:hAnsi="Courier New"/>
          <w:sz w:val="16"/>
          <w:szCs w:val="16"/>
          <w:color w:val="auto"/>
        </w:rPr>
        <w:t>Name of Issuer Duluth Holdings Inc.</w:t>
      </w:r>
    </w:p>
    <w:p>
      <w:pPr>
        <w:spacing w:after="0" w:line="6" w:lineRule="exact"/>
        <w:rPr>
          <w:rFonts w:ascii="Courier New" w:cs="Courier New" w:eastAsia="Courier New" w:hAnsi="Courier New"/>
          <w:sz w:val="16"/>
          <w:szCs w:val="16"/>
          <w:color w:val="auto"/>
        </w:rPr>
      </w:pPr>
    </w:p>
    <w:p>
      <w:pPr>
        <w:ind w:left="420" w:hanging="412"/>
        <w:spacing w:after="0"/>
        <w:tabs>
          <w:tab w:leader="none" w:pos="42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Address of Issuer's Principal Executive Offices</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201 East Front Street,</w:t>
      </w:r>
    </w:p>
    <w:p>
      <w:pPr>
        <w:spacing w:after="0" w:line="3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Mount Horeb, Wisconsin 53572, USA</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2.</w:t>
      </w:r>
    </w:p>
    <w:p>
      <w:pPr>
        <w:spacing w:after="0" w:line="2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 Name of Persons Filing</w:t>
      </w:r>
    </w:p>
    <w:p>
      <w:pPr>
        <w:spacing w:after="0" w:line="238" w:lineRule="auto"/>
        <w:rPr>
          <w:sz w:val="20"/>
          <w:szCs w:val="20"/>
          <w:color w:val="auto"/>
        </w:rPr>
      </w:pPr>
      <w:r>
        <w:rPr>
          <w:rFonts w:ascii="Courier New" w:cs="Courier New" w:eastAsia="Courier New" w:hAnsi="Courier New"/>
          <w:sz w:val="18"/>
          <w:szCs w:val="18"/>
          <w:color w:val="auto"/>
        </w:rPr>
        <w:t>This statement is being jointly filed by and on</w:t>
      </w:r>
    </w:p>
    <w:p>
      <w:pPr>
        <w:spacing w:after="0" w:line="238" w:lineRule="auto"/>
        <w:rPr>
          <w:sz w:val="20"/>
          <w:szCs w:val="20"/>
          <w:color w:val="auto"/>
        </w:rPr>
      </w:pPr>
      <w:r>
        <w:rPr>
          <w:rFonts w:ascii="Courier New" w:cs="Courier New" w:eastAsia="Courier New" w:hAnsi="Courier New"/>
          <w:sz w:val="18"/>
          <w:szCs w:val="18"/>
          <w:color w:val="auto"/>
        </w:rPr>
        <w:t>behalf of each of Askeladden Capital Management,</w:t>
      </w:r>
    </w:p>
    <w:p>
      <w:pPr>
        <w:spacing w:after="0"/>
        <w:rPr>
          <w:sz w:val="20"/>
          <w:szCs w:val="20"/>
          <w:color w:val="auto"/>
        </w:rPr>
      </w:pPr>
      <w:r>
        <w:rPr>
          <w:rFonts w:ascii="Courier New" w:cs="Courier New" w:eastAsia="Courier New" w:hAnsi="Courier New"/>
          <w:sz w:val="18"/>
          <w:szCs w:val="18"/>
          <w:color w:val="auto"/>
        </w:rPr>
        <w:t>LLC, a Texas limited liability company</w:t>
      </w:r>
    </w:p>
    <w:p>
      <w:pPr>
        <w:spacing w:after="0"/>
        <w:rPr>
          <w:sz w:val="20"/>
          <w:szCs w:val="20"/>
          <w:color w:val="auto"/>
        </w:rPr>
      </w:pPr>
      <w:r>
        <w:rPr>
          <w:rFonts w:ascii="Courier New" w:cs="Courier New" w:eastAsia="Courier New" w:hAnsi="Courier New"/>
          <w:sz w:val="18"/>
          <w:szCs w:val="18"/>
          <w:color w:val="auto"/>
        </w:rPr>
        <w:t>("Askeladden") and Samir Patel.</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The separately managed accounts on behalf of</w:t>
      </w:r>
    </w:p>
    <w:p>
      <w:pPr>
        <w:spacing w:after="0" w:line="2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investment advisory clients ("Managed Accounts")</w:t>
      </w:r>
    </w:p>
    <w:p>
      <w:pPr>
        <w:spacing w:after="0" w:line="238" w:lineRule="auto"/>
        <w:rPr>
          <w:sz w:val="20"/>
          <w:szCs w:val="20"/>
          <w:color w:val="auto"/>
        </w:rPr>
      </w:pPr>
      <w:r>
        <w:rPr>
          <w:rFonts w:ascii="Courier New" w:cs="Courier New" w:eastAsia="Courier New" w:hAnsi="Courier New"/>
          <w:sz w:val="18"/>
          <w:szCs w:val="18"/>
          <w:color w:val="auto"/>
        </w:rPr>
        <w:t>of Askeladden are the record and</w:t>
      </w:r>
    </w:p>
    <w:p>
      <w:pPr>
        <w:ind w:right="4859"/>
        <w:spacing w:after="0" w:line="250" w:lineRule="auto"/>
        <w:rPr>
          <w:sz w:val="20"/>
          <w:szCs w:val="20"/>
          <w:color w:val="auto"/>
        </w:rPr>
      </w:pPr>
      <w:r>
        <w:rPr>
          <w:rFonts w:ascii="Courier New" w:cs="Courier New" w:eastAsia="Courier New" w:hAnsi="Courier New"/>
          <w:sz w:val="18"/>
          <w:szCs w:val="18"/>
          <w:color w:val="auto"/>
        </w:rPr>
        <w:t>direct beneficial owners of the securities covered by this statement. As the investment adviser to the Managed Accounts, Askeladden may be deemed to beneficially own the securities covered by this statement. Mr. Patel is the Member of, and may be deemed to beneficially own securities owned by, Askeladden.</w:t>
      </w:r>
    </w:p>
    <w:p>
      <w:pPr>
        <w:spacing w:after="0" w:line="101" w:lineRule="exact"/>
        <w:rPr>
          <w:sz w:val="20"/>
          <w:szCs w:val="20"/>
          <w:color w:val="auto"/>
        </w:rPr>
      </w:pPr>
    </w:p>
    <w:p>
      <w:pPr>
        <w:ind w:right="4119"/>
        <w:spacing w:after="0" w:line="278" w:lineRule="auto"/>
        <w:rPr>
          <w:sz w:val="20"/>
          <w:szCs w:val="20"/>
          <w:color w:val="auto"/>
        </w:rPr>
      </w:pPr>
      <w:r>
        <w:rPr>
          <w:rFonts w:ascii="Courier New" w:cs="Courier New" w:eastAsia="Courier New" w:hAnsi="Courier New"/>
          <w:sz w:val="16"/>
          <w:szCs w:val="16"/>
          <w:color w:val="auto"/>
        </w:rPr>
        <w:t>Each reporting person declares that neither the filing of this statement nor anything herein shall be construed as an admission that such person is, for the purposes of Section 13(d) or 13(g) of the Act or any other purpose,</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the beneficial owner of any securities covered by this statement.</w:t>
      </w:r>
    </w:p>
    <w:p>
      <w:pPr>
        <w:spacing w:after="0" w:line="169" w:lineRule="exact"/>
        <w:rPr>
          <w:sz w:val="20"/>
          <w:szCs w:val="20"/>
          <w:color w:val="auto"/>
        </w:rPr>
      </w:pPr>
    </w:p>
    <w:p>
      <w:pPr>
        <w:ind w:right="3599"/>
        <w:spacing w:after="0" w:line="344" w:lineRule="auto"/>
        <w:rPr>
          <w:sz w:val="20"/>
          <w:szCs w:val="20"/>
          <w:color w:val="auto"/>
        </w:rPr>
      </w:pPr>
      <w:r>
        <w:rPr>
          <w:rFonts w:ascii="Courier New" w:cs="Courier New" w:eastAsia="Courier New" w:hAnsi="Courier New"/>
          <w:sz w:val="16"/>
          <w:szCs w:val="16"/>
          <w:color w:val="auto"/>
        </w:rPr>
        <w:t>Each reporting person may be deemed to be a member of a group with respect to the issuer or securities of the issuer for the purposes of Section 13(d) or 13(g) of the Act. Each reporting</w:t>
      </w:r>
    </w:p>
    <w:p>
      <w:pPr>
        <w:sectPr>
          <w:pgSz w:w="11900" w:h="16885" w:orient="portrait"/>
          <w:cols w:equalWidth="0" w:num="1">
            <w:col w:w="10139"/>
          </w:cols>
          <w:pgMar w:left="320" w:top="110" w:right="1440" w:bottom="0" w:gutter="0" w:footer="0" w:header="0"/>
        </w:sectPr>
      </w:pPr>
    </w:p>
    <w:bookmarkStart w:id="2" w:name="page3"/>
    <w:bookmarkEnd w:id="2"/>
    <w:p>
      <w:pPr>
        <w:ind w:right="3699"/>
        <w:spacing w:after="0" w:line="244" w:lineRule="auto"/>
        <w:rPr>
          <w:sz w:val="20"/>
          <w:szCs w:val="20"/>
          <w:color w:val="auto"/>
        </w:rPr>
      </w:pPr>
      <w:r>
        <w:rPr>
          <w:rFonts w:ascii="Courier New" w:cs="Courier New" w:eastAsia="Courier New" w:hAnsi="Courier New"/>
          <w:sz w:val="18"/>
          <w:szCs w:val="18"/>
          <w:color w:val="auto"/>
        </w:rPr>
        <w:t>person declares that neither the filing of this statement nor anything herein shall be construed as an admission that such person is, for the purposes of Section 13(d) or 13(g) of the Act or any other purpose, (i) acting (or has agreed or is agreeing to act together with any other person) as a partnership, limited partnership, syndicate, or other</w:t>
      </w:r>
    </w:p>
    <w:p>
      <w:pPr>
        <w:spacing w:after="0" w:line="3" w:lineRule="exact"/>
        <w:rPr>
          <w:sz w:val="20"/>
          <w:szCs w:val="20"/>
          <w:color w:val="auto"/>
        </w:rPr>
      </w:pPr>
    </w:p>
    <w:p>
      <w:pPr>
        <w:ind w:right="4119"/>
        <w:spacing w:after="0" w:line="256" w:lineRule="auto"/>
        <w:rPr>
          <w:sz w:val="20"/>
          <w:szCs w:val="20"/>
          <w:color w:val="auto"/>
        </w:rPr>
      </w:pPr>
      <w:r>
        <w:rPr>
          <w:rFonts w:ascii="Courier New" w:cs="Courier New" w:eastAsia="Courier New" w:hAnsi="Courier New"/>
          <w:sz w:val="18"/>
          <w:szCs w:val="18"/>
          <w:color w:val="auto"/>
        </w:rPr>
        <w:t>group for the purpose of acquiring, holding, or disposing of securities of the issuer or otherwise with respect to the issuer or any securities of the issuer or (ii) a member of any group with respect to the issuer or any securities of the issuer.</w:t>
      </w:r>
    </w:p>
    <w:p>
      <w:pPr>
        <w:spacing w:after="0" w:line="95" w:lineRule="exact"/>
        <w:rPr>
          <w:sz w:val="20"/>
          <w:szCs w:val="20"/>
          <w:color w:val="auto"/>
        </w:rPr>
      </w:pPr>
    </w:p>
    <w:p>
      <w:pPr>
        <w:ind w:right="2979" w:firstLine="8"/>
        <w:spacing w:after="0" w:line="257" w:lineRule="auto"/>
        <w:tabs>
          <w:tab w:leader="none" w:pos="843"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Address of Principal Business Office or, if none, Residence. 14 Sunrise Ct, Trophy Club, Texas, 76262</w:t>
      </w:r>
    </w:p>
    <w:p>
      <w:pPr>
        <w:ind w:left="860" w:hanging="852"/>
        <w:spacing w:after="0"/>
        <w:tabs>
          <w:tab w:leader="none" w:pos="860"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Citizenship</w:t>
      </w:r>
    </w:p>
    <w:p>
      <w:pPr>
        <w:spacing w:after="0" w:line="169" w:lineRule="exact"/>
        <w:rPr>
          <w:sz w:val="20"/>
          <w:szCs w:val="20"/>
          <w:color w:val="auto"/>
        </w:rPr>
      </w:pPr>
    </w:p>
    <w:p>
      <w:pPr>
        <w:ind w:right="6339" w:firstLine="8"/>
        <w:spacing w:after="0" w:line="289" w:lineRule="auto"/>
        <w:tabs>
          <w:tab w:leader="none" w:pos="843" w:val="left"/>
        </w:tabs>
        <w:numPr>
          <w:ilvl w:val="0"/>
          <w:numId w:val="8"/>
        </w:numPr>
        <w:rPr>
          <w:rFonts w:ascii="Courier New" w:cs="Courier New" w:eastAsia="Courier New" w:hAnsi="Courier New"/>
          <w:sz w:val="16"/>
          <w:szCs w:val="16"/>
          <w:color w:val="auto"/>
        </w:rPr>
      </w:pPr>
      <w:r>
        <w:rPr>
          <w:rFonts w:ascii="Courier New" w:cs="Courier New" w:eastAsia="Courier New" w:hAnsi="Courier New"/>
          <w:sz w:val="16"/>
          <w:szCs w:val="16"/>
          <w:color w:val="auto"/>
        </w:rPr>
        <w:t>Title of Class of Securities Class B Common Stock, No Par Value</w:t>
      </w:r>
    </w:p>
    <w:p>
      <w:pPr>
        <w:ind w:left="860" w:hanging="852"/>
        <w:spacing w:after="0" w:line="238" w:lineRule="auto"/>
        <w:tabs>
          <w:tab w:leader="none" w:pos="860" w:val="left"/>
        </w:tabs>
        <w:numPr>
          <w:ilvl w:val="0"/>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CUSIP Number</w:t>
      </w:r>
    </w:p>
    <w:p>
      <w:pPr>
        <w:spacing w:after="0"/>
        <w:rPr>
          <w:sz w:val="20"/>
          <w:szCs w:val="20"/>
          <w:color w:val="auto"/>
        </w:rPr>
      </w:pPr>
      <w:r>
        <w:rPr>
          <w:rFonts w:ascii="Courier New" w:cs="Courier New" w:eastAsia="Courier New" w:hAnsi="Courier New"/>
          <w:sz w:val="18"/>
          <w:szCs w:val="18"/>
          <w:color w:val="auto"/>
        </w:rPr>
        <w:t>26443V101</w:t>
      </w:r>
    </w:p>
    <w:p>
      <w:pPr>
        <w:spacing w:after="0" w:line="169" w:lineRule="exact"/>
        <w:rPr>
          <w:sz w:val="20"/>
          <w:szCs w:val="20"/>
          <w:color w:val="auto"/>
        </w:rPr>
      </w:pPr>
    </w:p>
    <w:p>
      <w:pPr>
        <w:ind w:right="3599"/>
        <w:spacing w:after="0" w:line="346" w:lineRule="auto"/>
        <w:rPr>
          <w:sz w:val="20"/>
          <w:szCs w:val="20"/>
          <w:color w:val="auto"/>
        </w:rPr>
      </w:pPr>
      <w:r>
        <w:rPr>
          <w:rFonts w:ascii="Courier New" w:cs="Courier New" w:eastAsia="Courier New" w:hAnsi="Courier New"/>
          <w:sz w:val="18"/>
          <w:szCs w:val="18"/>
          <w:color w:val="auto"/>
        </w:rPr>
        <w:t>Item 3. If this statement is filed pursuant to 240.13d-1(b) or 240.13d-2(b) or (c), check whether the person filing is:</w:t>
      </w:r>
    </w:p>
    <w:p>
      <w:pPr>
        <w:spacing w:after="0" w:line="20" w:lineRule="exact"/>
        <w:rPr>
          <w:sz w:val="20"/>
          <w:szCs w:val="20"/>
          <w:color w:val="auto"/>
        </w:rPr>
      </w:pPr>
    </w:p>
    <w:p>
      <w:pPr>
        <w:ind w:right="1819"/>
        <w:spacing w:after="0" w:line="250" w:lineRule="auto"/>
        <w:rPr>
          <w:sz w:val="20"/>
          <w:szCs w:val="20"/>
          <w:color w:val="auto"/>
        </w:rPr>
      </w:pPr>
      <w:r>
        <w:rPr>
          <w:rFonts w:ascii="Courier New" w:cs="Courier New" w:eastAsia="Courier New" w:hAnsi="Courier New"/>
          <w:sz w:val="18"/>
          <w:szCs w:val="18"/>
          <w:color w:val="auto"/>
        </w:rPr>
        <w:t>(a)[ ] A broker or dealer registered under Section 15 of the Act (15U.S.C.78o); (b)[ ] A bank as defined in Section 3(a)(6) of the Act (15U.S.C.78c); (c)[ ] An insurance company as defined in Section 3(a)(19)</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of the Act (15 U.S.C. 78c);</w:t>
      </w:r>
    </w:p>
    <w:p>
      <w:pPr>
        <w:ind w:right="3599"/>
        <w:spacing w:after="0" w:line="238" w:lineRule="auto"/>
        <w:rPr>
          <w:sz w:val="20"/>
          <w:szCs w:val="20"/>
          <w:color w:val="auto"/>
        </w:rPr>
      </w:pPr>
      <w:r>
        <w:rPr>
          <w:rFonts w:ascii="Courier New" w:cs="Courier New" w:eastAsia="Courier New" w:hAnsi="Courier New"/>
          <w:sz w:val="18"/>
          <w:szCs w:val="18"/>
          <w:color w:val="auto"/>
        </w:rPr>
        <w:t>(d)[ ] An investment company registered under Section 8 of the Investment Company Act of 1940 (15 U.S.C.80a-8);</w:t>
      </w:r>
    </w:p>
    <w:p>
      <w:pPr>
        <w:spacing w:after="0" w:line="1" w:lineRule="exact"/>
        <w:rPr>
          <w:sz w:val="20"/>
          <w:szCs w:val="20"/>
          <w:color w:val="auto"/>
        </w:rPr>
      </w:pPr>
    </w:p>
    <w:p>
      <w:pPr>
        <w:ind w:right="2659"/>
        <w:spacing w:after="0" w:line="238" w:lineRule="auto"/>
        <w:rPr>
          <w:sz w:val="20"/>
          <w:szCs w:val="20"/>
          <w:color w:val="auto"/>
        </w:rPr>
      </w:pPr>
      <w:r>
        <w:rPr>
          <w:rFonts w:ascii="Courier New" w:cs="Courier New" w:eastAsia="Courier New" w:hAnsi="Courier New"/>
          <w:sz w:val="18"/>
          <w:szCs w:val="18"/>
          <w:color w:val="auto"/>
        </w:rPr>
        <w:t>(e)[ ] An investment adviser in accordance with 240.13d-1(b)(1)(ii)(E); (f)[ ] An employee benefit plan or endowment fund in accordance with 240.13d-1(b)(1)(ii)(F);</w:t>
      </w:r>
    </w:p>
    <w:p>
      <w:pPr>
        <w:spacing w:after="0" w:line="1" w:lineRule="exact"/>
        <w:rPr>
          <w:sz w:val="20"/>
          <w:szCs w:val="20"/>
          <w:color w:val="auto"/>
        </w:rPr>
      </w:pPr>
    </w:p>
    <w:p>
      <w:pPr>
        <w:ind w:right="2979"/>
        <w:spacing w:after="0" w:line="238" w:lineRule="auto"/>
        <w:rPr>
          <w:sz w:val="20"/>
          <w:szCs w:val="20"/>
          <w:color w:val="auto"/>
        </w:rPr>
      </w:pPr>
      <w:r>
        <w:rPr>
          <w:rFonts w:ascii="Courier New" w:cs="Courier New" w:eastAsia="Courier New" w:hAnsi="Courier New"/>
          <w:sz w:val="18"/>
          <w:szCs w:val="18"/>
          <w:color w:val="auto"/>
        </w:rPr>
        <w:t>(g)[ ] A parent holding company or control person in accordance with 240.13d-1(b)(1)(ii)(G);</w:t>
      </w:r>
    </w:p>
    <w:p>
      <w:pPr>
        <w:spacing w:after="0" w:line="1" w:lineRule="exact"/>
        <w:rPr>
          <w:sz w:val="20"/>
          <w:szCs w:val="20"/>
          <w:color w:val="auto"/>
        </w:rPr>
      </w:pPr>
    </w:p>
    <w:p>
      <w:pPr>
        <w:ind w:right="3499"/>
        <w:spacing w:after="0" w:line="238" w:lineRule="auto"/>
        <w:rPr>
          <w:sz w:val="20"/>
          <w:szCs w:val="20"/>
          <w:color w:val="auto"/>
        </w:rPr>
      </w:pPr>
      <w:r>
        <w:rPr>
          <w:rFonts w:ascii="Courier New" w:cs="Courier New" w:eastAsia="Courier New" w:hAnsi="Courier New"/>
          <w:sz w:val="18"/>
          <w:szCs w:val="18"/>
          <w:color w:val="auto"/>
        </w:rPr>
        <w:t>(h)[ ] A savings associations as defined in Section 3(b) of the Federal Deposit Insurance Act (12 U.S.C. 1813);</w:t>
      </w:r>
    </w:p>
    <w:p>
      <w:pPr>
        <w:spacing w:after="0" w:line="1" w:lineRule="exact"/>
        <w:rPr>
          <w:sz w:val="20"/>
          <w:szCs w:val="20"/>
          <w:color w:val="auto"/>
        </w:rPr>
      </w:pPr>
    </w:p>
    <w:p>
      <w:pPr>
        <w:ind w:right="3079"/>
        <w:spacing w:after="0" w:line="238" w:lineRule="auto"/>
        <w:rPr>
          <w:sz w:val="20"/>
          <w:szCs w:val="20"/>
          <w:color w:val="auto"/>
        </w:rPr>
      </w:pPr>
      <w:r>
        <w:rPr>
          <w:rFonts w:ascii="Courier New" w:cs="Courier New" w:eastAsia="Courier New" w:hAnsi="Courier New"/>
          <w:sz w:val="18"/>
          <w:szCs w:val="18"/>
          <w:color w:val="auto"/>
        </w:rPr>
        <w:t>(i)[ ] A church plan that is excluded from the definition of an investment company under Section 3(c)(14) of the Investment Company Act of 1940 (15 U.S.C. 80a-3);</w:t>
      </w:r>
    </w:p>
    <w:p>
      <w:pPr>
        <w:spacing w:after="0" w:line="1" w:lineRule="exact"/>
        <w:rPr>
          <w:sz w:val="20"/>
          <w:szCs w:val="20"/>
          <w:color w:val="auto"/>
        </w:rPr>
      </w:pPr>
    </w:p>
    <w:p>
      <w:pPr>
        <w:ind w:right="2439"/>
        <w:spacing w:after="0" w:line="377" w:lineRule="auto"/>
        <w:rPr>
          <w:sz w:val="20"/>
          <w:szCs w:val="20"/>
          <w:color w:val="auto"/>
        </w:rPr>
      </w:pPr>
      <w:r>
        <w:rPr>
          <w:rFonts w:ascii="Courier New" w:cs="Courier New" w:eastAsia="Courier New" w:hAnsi="Courier New"/>
          <w:sz w:val="16"/>
          <w:szCs w:val="16"/>
          <w:color w:val="auto"/>
        </w:rPr>
        <w:t>(j)[ ] A non -U.S. institution in accordance with 240.13d-1(b)(1)(ii)(J); (k)[ ] A group, in accordance with 240.13d-1(b)(1)(ii)(K).</w:t>
      </w:r>
    </w:p>
    <w:p>
      <w:pPr>
        <w:spacing w:after="0" w:line="6" w:lineRule="exact"/>
        <w:rPr>
          <w:sz w:val="20"/>
          <w:szCs w:val="20"/>
          <w:color w:val="auto"/>
        </w:rPr>
      </w:pPr>
    </w:p>
    <w:p>
      <w:pPr>
        <w:ind w:left="420"/>
        <w:spacing w:after="0"/>
        <w:rPr>
          <w:sz w:val="20"/>
          <w:szCs w:val="20"/>
          <w:color w:val="auto"/>
        </w:rPr>
      </w:pPr>
      <w:r>
        <w:rPr>
          <w:rFonts w:ascii="Courier New" w:cs="Courier New" w:eastAsia="Courier New" w:hAnsi="Courier New"/>
          <w:sz w:val="18"/>
          <w:szCs w:val="18"/>
          <w:color w:val="auto"/>
        </w:rPr>
        <w:t>If filing as a non-U.S. institution in accordance with</w:t>
      </w:r>
    </w:p>
    <w:p>
      <w:pPr>
        <w:spacing w:after="0" w:line="3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Rule 13d-1(b)(1)(ii)(J), please specify the type of institution:</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4. Ownership.</w:t>
      </w:r>
    </w:p>
    <w:p>
      <w:pPr>
        <w:spacing w:after="0" w:line="29" w:lineRule="exact"/>
        <w:rPr>
          <w:sz w:val="20"/>
          <w:szCs w:val="20"/>
          <w:color w:val="auto"/>
        </w:rPr>
      </w:pPr>
    </w:p>
    <w:p>
      <w:pPr>
        <w:ind w:left="860" w:hanging="852"/>
        <w:spacing w:after="0"/>
        <w:tabs>
          <w:tab w:leader="none" w:pos="860" w:val="left"/>
        </w:tabs>
        <w:numPr>
          <w:ilvl w:val="0"/>
          <w:numId w:val="9"/>
        </w:numPr>
        <w:rPr>
          <w:rFonts w:ascii="Courier New" w:cs="Courier New" w:eastAsia="Courier New" w:hAnsi="Courier New"/>
          <w:sz w:val="18"/>
          <w:szCs w:val="18"/>
          <w:color w:val="auto"/>
        </w:rPr>
      </w:pPr>
      <w:r>
        <w:rPr>
          <w:rFonts w:ascii="Courier New" w:cs="Courier New" w:eastAsia="Courier New" w:hAnsi="Courier New"/>
          <w:sz w:val="18"/>
          <w:szCs w:val="18"/>
          <w:color w:val="auto"/>
        </w:rPr>
        <w:t>Amount beneficially owned: See Item 9 on the cover page(s) hereto.</w:t>
      </w:r>
    </w:p>
    <w:p>
      <w:pPr>
        <w:ind w:left="860" w:hanging="852"/>
        <w:spacing w:after="0" w:line="238" w:lineRule="auto"/>
        <w:tabs>
          <w:tab w:leader="none" w:pos="860" w:val="left"/>
        </w:tabs>
        <w:numPr>
          <w:ilvl w:val="0"/>
          <w:numId w:val="9"/>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Percent of class: The percentage calculated in Item 11</w:t>
      </w:r>
    </w:p>
    <w:p>
      <w:pPr>
        <w:ind w:right="3599"/>
        <w:spacing w:after="0" w:line="238" w:lineRule="auto"/>
        <w:rPr>
          <w:sz w:val="20"/>
          <w:szCs w:val="20"/>
          <w:color w:val="auto"/>
        </w:rPr>
      </w:pPr>
      <w:r>
        <w:rPr>
          <w:rFonts w:ascii="Courier New" w:cs="Courier New" w:eastAsia="Courier New" w:hAnsi="Courier New"/>
          <w:sz w:val="18"/>
          <w:szCs w:val="18"/>
          <w:color w:val="auto"/>
        </w:rPr>
        <w:t>is based on 31,671,201 shares of Class B Common Stock outstanding as of August 28, 2024, as reported in the Issuer's Quarterly Report on Form 10-Q for the quarter ended July 28, 2024 and as filed with the SEC on August 30, 2024.</w:t>
      </w:r>
    </w:p>
    <w:p>
      <w:pPr>
        <w:ind w:left="860" w:hanging="852"/>
        <w:spacing w:after="0"/>
        <w:tabs>
          <w:tab w:leader="none" w:pos="860" w:val="left"/>
        </w:tabs>
        <w:numPr>
          <w:ilvl w:val="0"/>
          <w:numId w:val="10"/>
        </w:numPr>
        <w:rPr>
          <w:rFonts w:ascii="Courier New" w:cs="Courier New" w:eastAsia="Courier New" w:hAnsi="Courier New"/>
          <w:sz w:val="18"/>
          <w:szCs w:val="18"/>
          <w:color w:val="auto"/>
        </w:rPr>
      </w:pPr>
      <w:r>
        <w:rPr>
          <w:rFonts w:ascii="Courier New" w:cs="Courier New" w:eastAsia="Courier New" w:hAnsi="Courier New"/>
          <w:sz w:val="18"/>
          <w:szCs w:val="18"/>
          <w:color w:val="auto"/>
        </w:rPr>
        <w:t>Number of shares as to which such person has:</w:t>
      </w:r>
    </w:p>
    <w:p>
      <w:pPr>
        <w:ind w:right="3819" w:firstLine="8"/>
        <w:spacing w:after="0" w:line="238" w:lineRule="auto"/>
        <w:tabs>
          <w:tab w:leader="none" w:pos="843" w:val="left"/>
        </w:tabs>
        <w:numPr>
          <w:ilvl w:val="0"/>
          <w:numId w:val="11"/>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power to vote or to direct the vote: See Item 5 on the cover page(s) hereto.</w:t>
      </w:r>
    </w:p>
    <w:p>
      <w:pPr>
        <w:ind w:right="3599" w:firstLine="8"/>
        <w:spacing w:after="0" w:line="238" w:lineRule="auto"/>
        <w:tabs>
          <w:tab w:leader="none" w:pos="843" w:val="left"/>
        </w:tabs>
        <w:numPr>
          <w:ilvl w:val="0"/>
          <w:numId w:val="11"/>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power to vote or to direct the vote: See Item 6 on the cover page(s) hereto.</w:t>
      </w:r>
    </w:p>
    <w:p>
      <w:pPr>
        <w:ind w:right="2439" w:firstLine="8"/>
        <w:spacing w:after="0" w:line="238" w:lineRule="auto"/>
        <w:tabs>
          <w:tab w:leader="none" w:pos="843" w:val="left"/>
        </w:tabs>
        <w:numPr>
          <w:ilvl w:val="0"/>
          <w:numId w:val="11"/>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power to dispose or to direct the disposition of: See Item 7 on the cover page(s) hereto.</w:t>
      </w:r>
    </w:p>
    <w:p>
      <w:pPr>
        <w:ind w:right="2239" w:firstLine="8"/>
        <w:spacing w:after="0" w:line="309" w:lineRule="auto"/>
        <w:tabs>
          <w:tab w:leader="none" w:pos="843" w:val="left"/>
        </w:tabs>
        <w:numPr>
          <w:ilvl w:val="0"/>
          <w:numId w:val="11"/>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power to dispose or to direct the disposition of: See Item 8 on the cover page(s) hereto.</w:t>
      </w:r>
    </w:p>
    <w:p>
      <w:pPr>
        <w:spacing w:after="0" w:line="50"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5. Ownership of Five Percent or Less of a Class.</w:t>
      </w:r>
    </w:p>
    <w:p>
      <w:pPr>
        <w:spacing w:after="0" w:line="31" w:lineRule="exact"/>
        <w:rPr>
          <w:sz w:val="20"/>
          <w:szCs w:val="20"/>
          <w:color w:val="auto"/>
        </w:rPr>
      </w:pPr>
    </w:p>
    <w:p>
      <w:pPr>
        <w:ind w:right="2759"/>
        <w:spacing w:after="0" w:line="268" w:lineRule="auto"/>
        <w:rPr>
          <w:sz w:val="20"/>
          <w:szCs w:val="20"/>
          <w:color w:val="auto"/>
        </w:rPr>
      </w:pPr>
      <w:r>
        <w:rPr>
          <w:rFonts w:ascii="Courier New" w:cs="Courier New" w:eastAsia="Courier New" w:hAnsi="Courier New"/>
          <w:sz w:val="16"/>
          <w:szCs w:val="16"/>
          <w:color w:val="auto"/>
        </w:rPr>
        <w:t>If this statement is being filed to report the fact that as of the date hereof the reporting person has ceased to be the beneficial owner</w:t>
      </w:r>
    </w:p>
    <w:p>
      <w:pPr>
        <w:spacing w:after="0"/>
        <w:rPr>
          <w:sz w:val="20"/>
          <w:szCs w:val="20"/>
          <w:color w:val="auto"/>
        </w:rPr>
      </w:pPr>
      <w:r>
        <w:rPr>
          <w:rFonts w:ascii="Courier New" w:cs="Courier New" w:eastAsia="Courier New" w:hAnsi="Courier New"/>
          <w:sz w:val="16"/>
          <w:szCs w:val="16"/>
          <w:color w:val="auto"/>
        </w:rPr>
        <w:t>of more than five percent of the class of securities, check the following [ ].</w:t>
      </w:r>
    </w:p>
    <w:p>
      <w:pPr>
        <w:spacing w:after="0" w:line="192" w:lineRule="exact"/>
        <w:rPr>
          <w:sz w:val="20"/>
          <w:szCs w:val="20"/>
          <w:color w:val="auto"/>
        </w:rPr>
      </w:pPr>
    </w:p>
    <w:p>
      <w:pPr>
        <w:spacing w:after="0"/>
        <w:tabs>
          <w:tab w:leader="none" w:pos="620" w:val="left"/>
        </w:tabs>
        <w:rPr>
          <w:sz w:val="20"/>
          <w:szCs w:val="20"/>
          <w:color w:val="auto"/>
        </w:rPr>
      </w:pPr>
      <w:r>
        <w:rPr>
          <w:rFonts w:ascii="Courier New" w:cs="Courier New" w:eastAsia="Courier New" w:hAnsi="Courier New"/>
          <w:sz w:val="18"/>
          <w:szCs w:val="18"/>
          <w:color w:val="auto"/>
        </w:rPr>
        <w:t>Item</w:t>
        <w:tab/>
        <w:t>6. Ownership of More than Five Percent on Behalf of Another Person.</w:t>
      </w:r>
    </w:p>
    <w:p>
      <w:pPr>
        <w:spacing w:after="0" w:line="3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Not applicable.</w:t>
      </w:r>
    </w:p>
    <w:p>
      <w:pPr>
        <w:spacing w:after="0" w:line="169" w:lineRule="exact"/>
        <w:rPr>
          <w:sz w:val="20"/>
          <w:szCs w:val="20"/>
          <w:color w:val="auto"/>
        </w:rPr>
      </w:pPr>
    </w:p>
    <w:p>
      <w:pPr>
        <w:ind w:right="3819"/>
        <w:spacing w:after="0" w:line="257" w:lineRule="auto"/>
        <w:rPr>
          <w:sz w:val="20"/>
          <w:szCs w:val="20"/>
          <w:color w:val="auto"/>
        </w:rPr>
      </w:pPr>
      <w:r>
        <w:rPr>
          <w:rFonts w:ascii="Courier New" w:cs="Courier New" w:eastAsia="Courier New" w:hAnsi="Courier New"/>
          <w:sz w:val="18"/>
          <w:szCs w:val="18"/>
          <w:color w:val="auto"/>
        </w:rPr>
        <w:t>Item 7. Identification and Classification of the Subsidiary Which Acquired the Security Being Reported on</w:t>
      </w:r>
    </w:p>
    <w:p>
      <w:pPr>
        <w:spacing w:after="0" w:line="238" w:lineRule="auto"/>
        <w:rPr>
          <w:sz w:val="20"/>
          <w:szCs w:val="20"/>
          <w:color w:val="auto"/>
        </w:rPr>
      </w:pPr>
      <w:r>
        <w:rPr>
          <w:rFonts w:ascii="Courier New" w:cs="Courier New" w:eastAsia="Courier New" w:hAnsi="Courier New"/>
          <w:sz w:val="18"/>
          <w:szCs w:val="18"/>
          <w:color w:val="auto"/>
        </w:rPr>
        <w:t>by the Parent Holding Company or Control Person.</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Not Applicable.</w:t>
      </w:r>
    </w:p>
    <w:p>
      <w:pPr>
        <w:spacing w:after="0" w:line="169" w:lineRule="exact"/>
        <w:rPr>
          <w:sz w:val="20"/>
          <w:szCs w:val="20"/>
          <w:color w:val="auto"/>
        </w:rPr>
      </w:pPr>
    </w:p>
    <w:p>
      <w:pPr>
        <w:spacing w:after="0"/>
        <w:tabs>
          <w:tab w:leader="none" w:pos="620" w:val="left"/>
        </w:tabs>
        <w:rPr>
          <w:sz w:val="20"/>
          <w:szCs w:val="20"/>
          <w:color w:val="auto"/>
        </w:rPr>
      </w:pPr>
      <w:r>
        <w:rPr>
          <w:rFonts w:ascii="Courier New" w:cs="Courier New" w:eastAsia="Courier New" w:hAnsi="Courier New"/>
          <w:sz w:val="18"/>
          <w:szCs w:val="18"/>
          <w:color w:val="auto"/>
        </w:rPr>
        <w:t>Item</w:t>
        <w:tab/>
        <w:t>8. Identification and Classification of Members of the Group.</w:t>
      </w:r>
    </w:p>
    <w:p>
      <w:pPr>
        <w:spacing w:after="0" w:line="3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Not Applicable.</w:t>
      </w:r>
    </w:p>
    <w:p>
      <w:pPr>
        <w:spacing w:after="0" w:line="169" w:lineRule="exact"/>
        <w:rPr>
          <w:sz w:val="20"/>
          <w:szCs w:val="20"/>
          <w:color w:val="auto"/>
        </w:rPr>
      </w:pPr>
    </w:p>
    <w:p>
      <w:pPr>
        <w:spacing w:after="0"/>
        <w:tabs>
          <w:tab w:leader="none" w:pos="620" w:val="left"/>
        </w:tabs>
        <w:rPr>
          <w:sz w:val="20"/>
          <w:szCs w:val="20"/>
          <w:color w:val="auto"/>
        </w:rPr>
      </w:pPr>
      <w:r>
        <w:rPr>
          <w:rFonts w:ascii="Courier New" w:cs="Courier New" w:eastAsia="Courier New" w:hAnsi="Courier New"/>
          <w:sz w:val="18"/>
          <w:szCs w:val="18"/>
          <w:color w:val="auto"/>
        </w:rPr>
        <w:t>Item</w:t>
        <w:tab/>
        <w:t>9. Notice of Dissolution of Group.</w:t>
      </w:r>
    </w:p>
    <w:p>
      <w:pPr>
        <w:spacing w:after="0" w:line="3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Not Applicable.</w:t>
      </w:r>
    </w:p>
    <w:p>
      <w:pPr>
        <w:sectPr>
          <w:pgSz w:w="11900" w:h="16838" w:orient="portrait"/>
          <w:cols w:equalWidth="0" w:num="1">
            <w:col w:w="10139"/>
          </w:cols>
          <w:pgMar w:left="320" w:top="110" w:right="1440" w:bottom="0" w:gutter="0" w:footer="0" w:header="0"/>
        </w:sectPr>
      </w:pPr>
    </w:p>
    <w:bookmarkStart w:id="3" w:name="page4"/>
    <w:bookmarkEnd w:id="3"/>
    <w:p>
      <w:pPr>
        <w:spacing w:after="0"/>
        <w:tabs>
          <w:tab w:leader="none" w:pos="620" w:val="left"/>
        </w:tabs>
        <w:rPr>
          <w:sz w:val="20"/>
          <w:szCs w:val="20"/>
          <w:color w:val="auto"/>
        </w:rPr>
      </w:pPr>
      <w:r>
        <w:rPr>
          <w:rFonts w:ascii="Courier New" w:cs="Courier New" w:eastAsia="Courier New" w:hAnsi="Courier New"/>
          <w:sz w:val="18"/>
          <w:szCs w:val="18"/>
          <w:color w:val="auto"/>
        </w:rPr>
        <w:t>Item</w:t>
        <w:tab/>
        <w:t>10. Certifications.</w:t>
      </w:r>
    </w:p>
    <w:p>
      <w:pPr>
        <w:spacing w:after="0" w:line="31" w:lineRule="exact"/>
        <w:rPr>
          <w:sz w:val="20"/>
          <w:szCs w:val="20"/>
          <w:color w:val="auto"/>
        </w:rPr>
      </w:pPr>
    </w:p>
    <w:p>
      <w:pPr>
        <w:ind w:right="2559"/>
        <w:spacing w:after="0" w:line="268" w:lineRule="auto"/>
        <w:rPr>
          <w:sz w:val="20"/>
          <w:szCs w:val="20"/>
          <w:color w:val="auto"/>
        </w:rPr>
      </w:pPr>
      <w:r>
        <w:rPr>
          <w:rFonts w:ascii="Courier New" w:cs="Courier New" w:eastAsia="Courier New" w:hAnsi="Courier New"/>
          <w:sz w:val="16"/>
          <w:szCs w:val="16"/>
          <w:color w:val="auto"/>
        </w:rPr>
        <w:t>By signing below I certify that, to the best of my knowledge and belief, the securities referred to above were not acquired and are not held for</w:t>
      </w:r>
    </w:p>
    <w:p>
      <w:pPr>
        <w:ind w:right="1819"/>
        <w:spacing w:after="0" w:line="238" w:lineRule="auto"/>
        <w:rPr>
          <w:sz w:val="20"/>
          <w:szCs w:val="20"/>
          <w:color w:val="auto"/>
        </w:rPr>
      </w:pPr>
      <w:r>
        <w:rPr>
          <w:rFonts w:ascii="Courier New" w:cs="Courier New" w:eastAsia="Courier New" w:hAnsi="Courier New"/>
          <w:sz w:val="18"/>
          <w:szCs w:val="18"/>
          <w:color w:val="auto"/>
        </w:rPr>
        <w:t>the purpose of or with the effect of changing or influencing the control of the issuer of the securities and were not acquired and are not held</w:t>
      </w:r>
    </w:p>
    <w:p>
      <w:pPr>
        <w:spacing w:after="0" w:line="1" w:lineRule="exact"/>
        <w:rPr>
          <w:sz w:val="20"/>
          <w:szCs w:val="20"/>
          <w:color w:val="auto"/>
        </w:rPr>
      </w:pPr>
    </w:p>
    <w:p>
      <w:pPr>
        <w:ind w:right="2859"/>
        <w:spacing w:after="0" w:line="273" w:lineRule="auto"/>
        <w:rPr>
          <w:sz w:val="20"/>
          <w:szCs w:val="20"/>
          <w:color w:val="auto"/>
        </w:rPr>
      </w:pPr>
      <w:r>
        <w:rPr>
          <w:rFonts w:ascii="Courier New" w:cs="Courier New" w:eastAsia="Courier New" w:hAnsi="Courier New"/>
          <w:sz w:val="18"/>
          <w:szCs w:val="18"/>
          <w:color w:val="auto"/>
        </w:rPr>
        <w:t>in connection with or as a participant in any transaction having that purpose or effect other than activities solely in connection with a nomination under 240.14a-11.</w:t>
      </w:r>
    </w:p>
    <w:p>
      <w:pPr>
        <w:spacing w:after="0" w:line="8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SIGNATURE</w:t>
      </w:r>
    </w:p>
    <w:p>
      <w:pPr>
        <w:spacing w:after="0" w:line="31" w:lineRule="exact"/>
        <w:rPr>
          <w:sz w:val="20"/>
          <w:szCs w:val="20"/>
          <w:color w:val="auto"/>
        </w:rPr>
      </w:pPr>
    </w:p>
    <w:p>
      <w:pPr>
        <w:ind w:right="4239"/>
        <w:spacing w:after="0" w:line="323" w:lineRule="auto"/>
        <w:rPr>
          <w:sz w:val="20"/>
          <w:szCs w:val="20"/>
          <w:color w:val="auto"/>
        </w:rPr>
      </w:pPr>
      <w:r>
        <w:rPr>
          <w:rFonts w:ascii="Courier New" w:cs="Courier New" w:eastAsia="Courier New" w:hAnsi="Courier New"/>
          <w:sz w:val="16"/>
          <w:szCs w:val="16"/>
          <w:color w:val="auto"/>
        </w:rPr>
        <w:t>After reasonable inquiry and to the best of my knowledge and belief, I certify that the information set forth in this statement is true, complete and correct.</w:t>
      </w:r>
    </w:p>
    <w:p>
      <w:pPr>
        <w:spacing w:after="0" w:line="4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December 2, 2024</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Askeladden Capital Management, LLC</w:t>
      </w:r>
    </w:p>
    <w:p>
      <w:pPr>
        <w:spacing w:after="0" w:line="201" w:lineRule="exact"/>
        <w:rPr>
          <w:sz w:val="20"/>
          <w:szCs w:val="20"/>
          <w:color w:val="auto"/>
        </w:rPr>
      </w:pPr>
    </w:p>
    <w:p>
      <w:pPr>
        <w:ind w:left="1060"/>
        <w:spacing w:after="0"/>
        <w:rPr>
          <w:sz w:val="20"/>
          <w:szCs w:val="20"/>
          <w:color w:val="auto"/>
        </w:rPr>
      </w:pPr>
      <w:r>
        <w:rPr>
          <w:rFonts w:ascii="Courier New" w:cs="Courier New" w:eastAsia="Courier New" w:hAnsi="Courier New"/>
          <w:sz w:val="18"/>
          <w:szCs w:val="18"/>
          <w:color w:val="auto"/>
        </w:rPr>
        <w:t>By:/s/ Samir Patel</w:t>
      </w:r>
    </w:p>
    <w:p>
      <w:pPr>
        <w:spacing w:after="0" w:line="201" w:lineRule="exact"/>
        <w:rPr>
          <w:sz w:val="20"/>
          <w:szCs w:val="20"/>
          <w:color w:val="auto"/>
        </w:rPr>
      </w:pPr>
    </w:p>
    <w:p>
      <w:pPr>
        <w:spacing w:after="0"/>
        <w:tabs>
          <w:tab w:leader="none" w:pos="720" w:val="left"/>
        </w:tabs>
        <w:rPr>
          <w:sz w:val="20"/>
          <w:szCs w:val="20"/>
          <w:color w:val="auto"/>
        </w:rPr>
      </w:pPr>
      <w:r>
        <w:rPr>
          <w:rFonts w:ascii="Courier New" w:cs="Courier New" w:eastAsia="Courier New" w:hAnsi="Courier New"/>
          <w:sz w:val="18"/>
          <w:szCs w:val="18"/>
          <w:color w:val="auto"/>
        </w:rPr>
        <w:t>Name:</w:t>
        <w:tab/>
        <w:t>Samir Patel</w:t>
      </w:r>
    </w:p>
    <w:p>
      <w:pPr>
        <w:spacing w:after="0" w:line="3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Title: Managing Member</w:t>
      </w:r>
    </w:p>
    <w:p>
      <w:pPr>
        <w:spacing w:after="0" w:line="37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EXHIBIT INDEX</w:t>
      </w:r>
    </w:p>
    <w:p>
      <w:pPr>
        <w:spacing w:after="0" w:line="201" w:lineRule="exact"/>
        <w:rPr>
          <w:sz w:val="20"/>
          <w:szCs w:val="20"/>
          <w:color w:val="auto"/>
        </w:rPr>
      </w:pPr>
    </w:p>
    <w:p>
      <w:pPr>
        <w:spacing w:after="0"/>
        <w:tabs>
          <w:tab w:leader="none" w:pos="1680" w:val="left"/>
        </w:tabs>
        <w:rPr>
          <w:sz w:val="20"/>
          <w:szCs w:val="20"/>
          <w:color w:val="auto"/>
        </w:rPr>
      </w:pPr>
      <w:r>
        <w:rPr>
          <w:rFonts w:ascii="Courier New" w:cs="Courier New" w:eastAsia="Courier New" w:hAnsi="Courier New"/>
          <w:sz w:val="18"/>
          <w:szCs w:val="18"/>
          <w:color w:val="auto"/>
        </w:rPr>
        <w:t>Exhibit</w:t>
      </w:r>
      <w:r>
        <w:rPr>
          <w:sz w:val="20"/>
          <w:szCs w:val="20"/>
          <w:color w:val="auto"/>
        </w:rPr>
        <w:tab/>
      </w:r>
      <w:r>
        <w:rPr>
          <w:rFonts w:ascii="Courier New" w:cs="Courier New" w:eastAsia="Courier New" w:hAnsi="Courier New"/>
          <w:sz w:val="18"/>
          <w:szCs w:val="18"/>
          <w:color w:val="auto"/>
        </w:rPr>
        <w:t>Description of Exhibit</w:t>
      </w:r>
    </w:p>
    <w:p>
      <w:pPr>
        <w:spacing w:after="0" w:line="200" w:lineRule="exact"/>
        <w:rPr>
          <w:sz w:val="20"/>
          <w:szCs w:val="20"/>
          <w:color w:val="auto"/>
        </w:rPr>
      </w:pPr>
    </w:p>
    <w:p>
      <w:pPr>
        <w:spacing w:after="0" w:line="204" w:lineRule="exact"/>
        <w:rPr>
          <w:sz w:val="20"/>
          <w:szCs w:val="20"/>
          <w:color w:val="auto"/>
        </w:rPr>
      </w:pPr>
    </w:p>
    <w:p>
      <w:pPr>
        <w:ind w:right="3399"/>
        <w:spacing w:after="0" w:line="274" w:lineRule="auto"/>
        <w:rPr>
          <w:sz w:val="20"/>
          <w:szCs w:val="20"/>
          <w:color w:val="auto"/>
        </w:rPr>
      </w:pPr>
      <w:r>
        <w:rPr>
          <w:rFonts w:ascii="Courier New" w:cs="Courier New" w:eastAsia="Courier New" w:hAnsi="Courier New"/>
          <w:sz w:val="18"/>
          <w:szCs w:val="18"/>
          <w:color w:val="auto"/>
        </w:rPr>
        <w:t>99.1 Joint Filing Agreement (incorporated herein by reference to Exhibit 99.1 to the Schedule 13G, as amended, filed on August 19, 2024 by the reporting persons with the Securities and Exchange Commission).</w:t>
      </w:r>
    </w:p>
    <w:sectPr>
      <w:pgSz w:w="11900" w:h="16838" w:orient="portrait"/>
      <w:cols w:equalWidth="0" w:num="1">
        <w:col w:w="10139"/>
      </w:cols>
      <w:pgMar w:left="320" w:top="312"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507ED7AB"/>
    <w:multiLevelType w:val="hybridMultilevel"/>
    <w:lvl w:ilvl="0">
      <w:lvlJc w:val="left"/>
      <w:lvlText w:val="["/>
      <w:numFmt w:val="bullet"/>
      <w:start w:val="1"/>
    </w:lvl>
  </w:abstractNum>
  <w:abstractNum w:abstractNumId="1">
    <w:nsid w:val="2EB141F2"/>
    <w:multiLevelType w:val="hybridMultilevel"/>
    <w:lvl w:ilvl="0">
      <w:lvlJc w:val="left"/>
      <w:lvlText w:val="(%1)"/>
      <w:numFmt w:val="lowerLetter"/>
      <w:start w:val="1"/>
    </w:lvl>
  </w:abstractNum>
  <w:abstractNum w:abstractNumId="2">
    <w:nsid w:val="41B71EFB"/>
    <w:multiLevelType w:val="hybridMultilevel"/>
    <w:lvl w:ilvl="0">
      <w:lvlJc w:val="left"/>
      <w:lvlText w:val="7"/>
      <w:numFmt w:val="bullet"/>
      <w:start w:val="1"/>
    </w:lvl>
  </w:abstractNum>
  <w:abstractNum w:abstractNumId="3">
    <w:nsid w:val="79E2A9E3"/>
    <w:multiLevelType w:val="hybridMultilevel"/>
    <w:lvl w:ilvl="0">
      <w:lvlJc w:val="left"/>
      <w:lvlText w:val="(%1)"/>
      <w:numFmt w:val="lowerLetter"/>
      <w:start w:val="1"/>
    </w:lvl>
  </w:abstractNum>
  <w:abstractNum w:abstractNumId="4">
    <w:nsid w:val="7545E146"/>
    <w:multiLevelType w:val="hybridMultilevel"/>
    <w:lvl w:ilvl="0">
      <w:lvlJc w:val="left"/>
      <w:lvlText w:val="7"/>
      <w:numFmt w:val="bullet"/>
      <w:start w:val="1"/>
    </w:lvl>
  </w:abstractNum>
  <w:abstractNum w:abstractNumId="5">
    <w:nsid w:val="515F007C"/>
    <w:multiLevelType w:val="hybridMultilevel"/>
    <w:lvl w:ilvl="0">
      <w:lvlJc w:val="left"/>
      <w:lvlText w:val="(%1)"/>
      <w:numFmt w:val="lowerLetter"/>
      <w:start w:val="1"/>
    </w:lvl>
  </w:abstractNum>
  <w:abstractNum w:abstractNumId="6">
    <w:nsid w:val="5BD062C2"/>
    <w:multiLevelType w:val="hybridMultilevel"/>
    <w:lvl w:ilvl="0">
      <w:lvlJc w:val="left"/>
      <w:lvlText w:val="(%1)"/>
      <w:numFmt w:val="lowerLetter"/>
      <w:start w:val="2"/>
    </w:lvl>
  </w:abstractNum>
  <w:abstractNum w:abstractNumId="7">
    <w:nsid w:val="12200854"/>
    <w:multiLevelType w:val="hybridMultilevel"/>
    <w:lvl w:ilvl="0">
      <w:lvlJc w:val="left"/>
      <w:lvlText w:val="(%1)"/>
      <w:numFmt w:val="lowerLetter"/>
      <w:start w:val="4"/>
    </w:lvl>
  </w:abstractNum>
  <w:abstractNum w:abstractNumId="8">
    <w:nsid w:val="4DB127F8"/>
    <w:multiLevelType w:val="hybridMultilevel"/>
    <w:lvl w:ilvl="0">
      <w:lvlJc w:val="left"/>
      <w:lvlText w:val="(%1)"/>
      <w:numFmt w:val="lowerLetter"/>
      <w:start w:val="1"/>
    </w:lvl>
  </w:abstractNum>
  <w:abstractNum w:abstractNumId="9">
    <w:nsid w:val="216231B"/>
    <w:multiLevelType w:val="hybridMultilevel"/>
    <w:lvl w:ilvl="0">
      <w:lvlJc w:val="left"/>
      <w:lvlText w:val="(%1)"/>
      <w:numFmt w:val="lowerLetter"/>
      <w:start w:val="3"/>
    </w:lvl>
  </w:abstractNum>
  <w:abstractNum w:abstractNumId="10">
    <w:nsid w:val="1F16E9E8"/>
    <w:multiLevelType w:val="hybridMultilevel"/>
    <w:lvl w:ilvl="0">
      <w:lvlJc w:val="left"/>
      <w:lvlText w:val="(%1)"/>
      <w:numFmt w:val="lowerRoman"/>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2024-12-02T16:41:39Z</dcterms:created>
  <dcterms:modified xsi:type="dcterms:W3CDTF">2024-12-02T16:41:39Z</dcterms:modified>
</cp:coreProperties>
</file>