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February 1,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16"/>
                <w:szCs w:val="16"/>
                <w:color w:val="auto"/>
              </w:rPr>
            </w:pPr>
          </w:p>
        </w:tc>
        <w:tc>
          <w:tcPr>
            <w:tcW w:w="3280" w:type="dxa"/>
            <w:vAlign w:val="bottom"/>
          </w:tcPr>
          <w:p>
            <w:pPr>
              <w:jc w:val="center"/>
              <w:ind w:left="603"/>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No. 001-37641</w:t>
            </w:r>
          </w:p>
        </w:tc>
        <w:tc>
          <w:tcPr>
            <w:tcW w:w="7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10560" w:type="dxa"/>
            <w:vAlign w:val="bottom"/>
            <w:gridSpan w:val="4"/>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DULUTH HOLDINGS INC.</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jc w:val="center"/>
              <w:ind w:left="1458"/>
              <w:spacing w:after="0"/>
              <w:rPr>
                <w:sz w:val="20"/>
                <w:szCs w:val="20"/>
                <w:color w:val="auto"/>
              </w:rPr>
            </w:pPr>
            <w:r>
              <w:rPr>
                <w:rFonts w:ascii="Times New Roman" w:cs="Times New Roman" w:eastAsia="Times New Roman" w:hAnsi="Times New Roman"/>
                <w:sz w:val="14"/>
                <w:szCs w:val="14"/>
                <w:b w:val="1"/>
                <w:bCs w:val="1"/>
                <w:color w:val="auto"/>
              </w:rPr>
              <w:t>Wisconsin</w:t>
            </w:r>
          </w:p>
        </w:tc>
        <w:tc>
          <w:tcPr>
            <w:tcW w:w="3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80" w:type="dxa"/>
            <w:vAlign w:val="bottom"/>
          </w:tcPr>
          <w:p>
            <w:pPr>
              <w:jc w:val="right"/>
              <w:ind w:right="1890"/>
              <w:spacing w:after="0"/>
              <w:rPr>
                <w:sz w:val="20"/>
                <w:szCs w:val="20"/>
                <w:color w:val="auto"/>
              </w:rPr>
            </w:pPr>
            <w:r>
              <w:rPr>
                <w:rFonts w:ascii="Times New Roman" w:cs="Times New Roman" w:eastAsia="Times New Roman" w:hAnsi="Times New Roman"/>
                <w:sz w:val="14"/>
                <w:szCs w:val="14"/>
                <w:b w:val="1"/>
                <w:bCs w:val="1"/>
                <w:color w:val="auto"/>
              </w:rPr>
              <w:t>39-1564801</w:t>
            </w:r>
          </w:p>
        </w:tc>
        <w:tc>
          <w:tcPr>
            <w:tcW w:w="0" w:type="dxa"/>
            <w:vAlign w:val="bottom"/>
          </w:tcPr>
          <w:p>
            <w:pPr>
              <w:spacing w:after="0"/>
              <w:rPr>
                <w:sz w:val="1"/>
                <w:szCs w:val="1"/>
                <w:color w:val="auto"/>
              </w:rPr>
            </w:pPr>
          </w:p>
        </w:tc>
      </w:tr>
      <w:tr>
        <w:trPr>
          <w:trHeight w:val="182"/>
        </w:trPr>
        <w:tc>
          <w:tcPr>
            <w:tcW w:w="3300" w:type="dxa"/>
            <w:vAlign w:val="bottom"/>
          </w:tcPr>
          <w:p>
            <w:pPr>
              <w:jc w:val="center"/>
              <w:ind w:left="145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80" w:type="dxa"/>
            <w:vAlign w:val="bottom"/>
          </w:tcPr>
          <w:p>
            <w:pPr>
              <w:jc w:val="center"/>
              <w:ind w:right="1270"/>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300" w:type="dxa"/>
            <w:vAlign w:val="bottom"/>
          </w:tcPr>
          <w:p>
            <w:pPr>
              <w:jc w:val="center"/>
              <w:ind w:left="145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80" w:type="dxa"/>
            <w:vAlign w:val="bottom"/>
          </w:tcPr>
          <w:p>
            <w:pPr>
              <w:jc w:val="center"/>
              <w:ind w:right="1270"/>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c>
          <w:tcPr>
            <w:tcW w:w="0" w:type="dxa"/>
            <w:vAlign w:val="bottom"/>
          </w:tcPr>
          <w:p>
            <w:pPr>
              <w:spacing w:after="0"/>
              <w:rPr>
                <w:sz w:val="1"/>
                <w:szCs w:val="1"/>
                <w:color w:val="auto"/>
              </w:rPr>
            </w:pPr>
          </w:p>
        </w:tc>
      </w:tr>
      <w:tr>
        <w:trPr>
          <w:trHeight w:val="240"/>
        </w:trPr>
        <w:tc>
          <w:tcPr>
            <w:tcW w:w="6580" w:type="dxa"/>
            <w:vAlign w:val="bottom"/>
            <w:gridSpan w:val="2"/>
          </w:tcPr>
          <w:p>
            <w:pPr>
              <w:jc w:val="center"/>
              <w:ind w:right="1683"/>
              <w:spacing w:after="0"/>
              <w:rPr>
                <w:sz w:val="20"/>
                <w:szCs w:val="20"/>
                <w:color w:val="auto"/>
              </w:rPr>
            </w:pPr>
            <w:r>
              <w:rPr>
                <w:rFonts w:ascii="Times New Roman" w:cs="Times New Roman" w:eastAsia="Times New Roman" w:hAnsi="Times New Roman"/>
                <w:sz w:val="14"/>
                <w:szCs w:val="14"/>
                <w:b w:val="1"/>
                <w:bCs w:val="1"/>
                <w:color w:val="auto"/>
              </w:rPr>
              <w:t>201 East Front Street, Mount Horeb, Wisconsin</w:t>
            </w:r>
          </w:p>
        </w:tc>
        <w:tc>
          <w:tcPr>
            <w:tcW w:w="700" w:type="dxa"/>
            <w:vAlign w:val="bottom"/>
          </w:tcPr>
          <w:p>
            <w:pPr>
              <w:spacing w:after="0"/>
              <w:rPr>
                <w:sz w:val="20"/>
                <w:szCs w:val="20"/>
                <w:color w:val="auto"/>
              </w:rPr>
            </w:pPr>
          </w:p>
        </w:tc>
        <w:tc>
          <w:tcPr>
            <w:tcW w:w="3280" w:type="dxa"/>
            <w:vAlign w:val="bottom"/>
          </w:tcPr>
          <w:p>
            <w:pPr>
              <w:jc w:val="right"/>
              <w:ind w:right="2070"/>
              <w:spacing w:after="0"/>
              <w:rPr>
                <w:sz w:val="20"/>
                <w:szCs w:val="20"/>
                <w:color w:val="auto"/>
              </w:rPr>
            </w:pPr>
            <w:r>
              <w:rPr>
                <w:rFonts w:ascii="Times New Roman" w:cs="Times New Roman" w:eastAsia="Times New Roman" w:hAnsi="Times New Roman"/>
                <w:sz w:val="14"/>
                <w:szCs w:val="14"/>
                <w:b w:val="1"/>
                <w:bCs w:val="1"/>
                <w:color w:val="auto"/>
              </w:rPr>
              <w:t>53572</w:t>
            </w:r>
          </w:p>
        </w:tc>
        <w:tc>
          <w:tcPr>
            <w:tcW w:w="0" w:type="dxa"/>
            <w:vAlign w:val="bottom"/>
          </w:tcPr>
          <w:p>
            <w:pPr>
              <w:spacing w:after="0"/>
              <w:rPr>
                <w:sz w:val="1"/>
                <w:szCs w:val="1"/>
                <w:color w:val="auto"/>
              </w:rPr>
            </w:pPr>
          </w:p>
        </w:tc>
      </w:tr>
      <w:tr>
        <w:trPr>
          <w:trHeight w:val="178"/>
        </w:trPr>
        <w:tc>
          <w:tcPr>
            <w:tcW w:w="6580" w:type="dxa"/>
            <w:vAlign w:val="bottom"/>
            <w:gridSpan w:val="2"/>
          </w:tcPr>
          <w:p>
            <w:pPr>
              <w:jc w:val="center"/>
              <w:ind w:right="166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700" w:type="dxa"/>
            <w:vAlign w:val="bottom"/>
          </w:tcPr>
          <w:p>
            <w:pPr>
              <w:spacing w:after="0"/>
              <w:rPr>
                <w:sz w:val="15"/>
                <w:szCs w:val="15"/>
                <w:color w:val="auto"/>
              </w:rPr>
            </w:pPr>
          </w:p>
        </w:tc>
        <w:tc>
          <w:tcPr>
            <w:tcW w:w="3280" w:type="dxa"/>
            <w:vAlign w:val="bottom"/>
          </w:tcPr>
          <w:p>
            <w:pPr>
              <w:jc w:val="center"/>
              <w:ind w:right="127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41"/>
        </w:trPr>
        <w:tc>
          <w:tcPr>
            <w:tcW w:w="105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(608) 424-1544</w:t>
            </w: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0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280" w:type="dxa"/>
            <w:vAlign w:val="bottom"/>
            <w:tcBorders>
              <w:bottom w:val="single" w:sz="8" w:color="auto"/>
            </w:tcBorders>
          </w:tcPr>
          <w:p>
            <w:pPr>
              <w:jc w:val="center"/>
              <w:ind w:left="623"/>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7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300" w:type="dxa"/>
            <w:vAlign w:val="bottom"/>
          </w:tcPr>
          <w:p>
            <w:pPr>
              <w:jc w:val="center"/>
              <w:ind w:left="358"/>
              <w:spacing w:after="0"/>
              <w:rPr>
                <w:sz w:val="20"/>
                <w:szCs w:val="20"/>
                <w:color w:val="auto"/>
              </w:rPr>
            </w:pPr>
            <w:r>
              <w:rPr>
                <w:rFonts w:ascii="Times New Roman" w:cs="Times New Roman" w:eastAsia="Times New Roman" w:hAnsi="Times New Roman"/>
                <w:sz w:val="14"/>
                <w:szCs w:val="14"/>
                <w:color w:val="auto"/>
              </w:rPr>
              <w:t>Class B Common Stock, No Par Value</w:t>
            </w:r>
          </w:p>
        </w:tc>
        <w:tc>
          <w:tcPr>
            <w:tcW w:w="3280" w:type="dxa"/>
            <w:vAlign w:val="bottom"/>
          </w:tcPr>
          <w:p>
            <w:pPr>
              <w:jc w:val="center"/>
              <w:ind w:left="623"/>
              <w:spacing w:after="0"/>
              <w:rPr>
                <w:sz w:val="20"/>
                <w:szCs w:val="20"/>
                <w:color w:val="auto"/>
              </w:rPr>
            </w:pPr>
            <w:r>
              <w:rPr>
                <w:rFonts w:ascii="Times New Roman" w:cs="Times New Roman" w:eastAsia="Times New Roman" w:hAnsi="Times New Roman"/>
                <w:sz w:val="14"/>
                <w:szCs w:val="14"/>
                <w:color w:val="auto"/>
              </w:rPr>
              <w:t>DLTH</w:t>
            </w:r>
          </w:p>
        </w:tc>
        <w:tc>
          <w:tcPr>
            <w:tcW w:w="700" w:type="dxa"/>
            <w:vAlign w:val="bottom"/>
          </w:tcPr>
          <w:p>
            <w:pPr>
              <w:spacing w:after="0"/>
              <w:rPr>
                <w:sz w:val="15"/>
                <w:szCs w:val="15"/>
                <w:color w:val="auto"/>
              </w:rPr>
            </w:pPr>
          </w:p>
        </w:tc>
        <w:tc>
          <w:tcPr>
            <w:tcW w:w="3280" w:type="dxa"/>
            <w:vAlign w:val="bottom"/>
          </w:tcPr>
          <w:p>
            <w:pPr>
              <w:jc w:val="center"/>
              <w:ind w:right="35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39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3280" w:type="dxa"/>
            <w:vAlign w:val="bottom"/>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None</w:t>
            </w:r>
          </w:p>
        </w:tc>
        <w:tc>
          <w:tcPr>
            <w:tcW w:w="700" w:type="dxa"/>
            <w:vAlign w:val="bottom"/>
          </w:tcPr>
          <w:p>
            <w:pPr>
              <w:spacing w:after="0"/>
              <w:rPr>
                <w:sz w:val="16"/>
                <w:szCs w:val="16"/>
                <w:color w:val="auto"/>
              </w:rPr>
            </w:pPr>
          </w:p>
        </w:tc>
        <w:tc>
          <w:tcPr>
            <w:tcW w:w="3280" w:type="dxa"/>
            <w:vAlign w:val="bottom"/>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8"/>
        </w:trPr>
        <w:tc>
          <w:tcPr>
            <w:tcW w:w="72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520"/>
        <w:spacing w:after="0" w:line="161" w:lineRule="exact"/>
        <w:tabs>
          <w:tab w:leader="none" w:pos="80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00" w:type="dxa"/>
        <w:tblCellMar>
          <w:top w:w="0" w:type="dxa"/>
          <w:left w:w="0" w:type="dxa"/>
          <w:bottom w:w="0" w:type="dxa"/>
          <w:right w:w="0" w:type="dxa"/>
        </w:tblCellMar>
      </w:tblPr>
      <w:tr>
        <w:trPr>
          <w:trHeight w:val="189"/>
        </w:trPr>
        <w:tc>
          <w:tcPr>
            <w:tcW w:w="3020" w:type="dxa"/>
            <w:vAlign w:val="bottom"/>
          </w:tcPr>
          <w:p>
            <w:pPr>
              <w:jc w:val="center"/>
              <w:ind w:right="1288"/>
              <w:spacing w:after="0"/>
              <w:rPr>
                <w:sz w:val="20"/>
                <w:szCs w:val="20"/>
                <w:color w:val="auto"/>
              </w:rPr>
            </w:pPr>
            <w:r>
              <w:rPr>
                <w:rFonts w:ascii="Times New Roman" w:cs="Times New Roman" w:eastAsia="Times New Roman" w:hAnsi="Times New Roman"/>
                <w:sz w:val="14"/>
                <w:szCs w:val="14"/>
                <w:color w:val="auto"/>
              </w:rPr>
              <w:t>Large accelerated filer</w:t>
            </w:r>
          </w:p>
        </w:tc>
        <w:tc>
          <w:tcPr>
            <w:tcW w:w="3080" w:type="dxa"/>
            <w:vAlign w:val="bottom"/>
          </w:tcPr>
          <w:p>
            <w:pPr>
              <w:ind w:left="138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3020" w:type="dxa"/>
            <w:vAlign w:val="bottom"/>
          </w:tcPr>
          <w:p>
            <w:pPr>
              <w:jc w:val="center"/>
              <w:ind w:right="1288"/>
              <w:spacing w:after="0"/>
              <w:rPr>
                <w:sz w:val="20"/>
                <w:szCs w:val="20"/>
                <w:color w:val="auto"/>
              </w:rPr>
            </w:pPr>
            <w:r>
              <w:rPr>
                <w:rFonts w:ascii="Times New Roman" w:cs="Times New Roman" w:eastAsia="Times New Roman" w:hAnsi="Times New Roman"/>
                <w:sz w:val="14"/>
                <w:szCs w:val="14"/>
                <w:color w:val="auto"/>
              </w:rPr>
              <w:t>Non-accelerated filer</w:t>
            </w:r>
          </w:p>
        </w:tc>
        <w:tc>
          <w:tcPr>
            <w:tcW w:w="3080" w:type="dxa"/>
            <w:vAlign w:val="bottom"/>
          </w:tcPr>
          <w:p>
            <w:pPr>
              <w:ind w:left="138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3020" w:type="dxa"/>
            <w:vAlign w:val="bottom"/>
          </w:tcPr>
          <w:p>
            <w:pPr>
              <w:jc w:val="center"/>
              <w:ind w:right="1308"/>
              <w:spacing w:after="0"/>
              <w:rPr>
                <w:sz w:val="20"/>
                <w:szCs w:val="20"/>
                <w:color w:val="auto"/>
              </w:rPr>
            </w:pPr>
            <w:r>
              <w:rPr>
                <w:rFonts w:ascii="Times New Roman" w:cs="Times New Roman" w:eastAsia="Times New Roman" w:hAnsi="Times New Roman"/>
                <w:sz w:val="14"/>
                <w:szCs w:val="14"/>
                <w:color w:val="auto"/>
              </w:rPr>
              <w:t>Emerging Growth Company</w:t>
            </w:r>
          </w:p>
        </w:tc>
        <w:tc>
          <w:tcPr>
            <w:tcW w:w="3080" w:type="dxa"/>
            <w:vAlign w:val="bottom"/>
          </w:tcPr>
          <w:p>
            <w:pPr>
              <w:ind w:left="138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6"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580" w:firstLine="509"/>
        <w:spacing w:after="0" w:line="261" w:lineRule="auto"/>
        <w:rPr>
          <w:sz w:val="20"/>
          <w:szCs w:val="20"/>
          <w:color w:val="auto"/>
        </w:rPr>
      </w:pPr>
      <w:r>
        <w:rPr>
          <w:rFonts w:ascii="Times New Roman" w:cs="Times New Roman" w:eastAsia="Times New Roman" w:hAnsi="Times New Roman"/>
          <w:sz w:val="14"/>
          <w:szCs w:val="14"/>
          <w:color w:val="auto"/>
        </w:rPr>
        <w:t>The aggregate market value of voting stock held by non-affiliates of the Registrant was approximately $29.6 million based upon the closing price on the last business day of the registrant’s most recently completed second fiscal quarter (August 3, 2025).</w:t>
      </w:r>
    </w:p>
    <w:p>
      <w:pPr>
        <w:spacing w:after="0" w:line="1" w:lineRule="exact"/>
        <w:rPr>
          <w:sz w:val="24"/>
          <w:szCs w:val="24"/>
          <w:color w:val="auto"/>
        </w:rPr>
      </w:pPr>
    </w:p>
    <w:p>
      <w:pPr>
        <w:ind w:right="180" w:firstLine="509"/>
        <w:spacing w:after="0" w:line="260" w:lineRule="auto"/>
        <w:rPr>
          <w:sz w:val="20"/>
          <w:szCs w:val="20"/>
          <w:color w:val="auto"/>
        </w:rPr>
      </w:pPr>
      <w:r>
        <w:rPr>
          <w:rFonts w:ascii="Times New Roman" w:cs="Times New Roman" w:eastAsia="Times New Roman" w:hAnsi="Times New Roman"/>
          <w:sz w:val="14"/>
          <w:szCs w:val="14"/>
          <w:color w:val="auto"/>
        </w:rPr>
        <w:t>The number of shares outstanding of the Registrant’s Class A common stock, no par value, as of March 19, 2026, was 3,364,200. The number of shares outstanding of the Registrant’s Class B common stock, no par value, as of March 19, 2026 was 33,398,984.</w:t>
      </w: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right="200"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within 120 days of February 1, 2026 are incorporated by reference in this Annual Report on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60" w:type="dxa"/>
            <w:vAlign w:val="bottom"/>
            <w:gridSpan w:val="11"/>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60" w:type="dxa"/>
            <w:vAlign w:val="bottom"/>
            <w:gridSpan w:val="9"/>
            <w:vMerge w:val="restart"/>
          </w:tcPr>
          <w:p>
            <w:pPr>
              <w:jc w:val="center"/>
              <w:ind w:right="456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60" w:type="dxa"/>
            <w:vAlign w:val="bottom"/>
            <w:gridSpan w:val="9"/>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60" w:type="dxa"/>
            <w:vAlign w:val="bottom"/>
            <w:gridSpan w:val="10"/>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THE REGISTRANT’S COMMON EQUITY, RELATED SHAREHOLDER MATTERS AND ISSUER</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2980" w:type="dxa"/>
            <w:vAlign w:val="bottom"/>
            <w:tcBorders>
              <w:top w:val="single" w:sz="8" w:color="0000FF"/>
            </w:tcBorders>
            <w:gridSpan w:val="5"/>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2480" w:type="dxa"/>
            <w:vAlign w:val="bottom"/>
            <w:gridSpan w:val="5"/>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4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FF"/>
            </w:tcBorders>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EE"/>
            </w:tcBorders>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MATTERS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5460" w:type="dxa"/>
            <w:vAlign w:val="bottom"/>
            <w:gridSpan w:val="10"/>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4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STATEMENTS AND SCHEDULE</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620" w:type="dxa"/>
            <w:vAlign w:val="bottom"/>
            <w:tcBorders>
              <w:left w:val="single" w:sz="8" w:color="0000FF"/>
            </w:tcBorders>
            <w:gridSpan w:val="7"/>
            <w:shd w:val="clear" w:color="auto" w:fill="0000FF"/>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669"/>
        </w:trPr>
        <w:tc>
          <w:tcPr>
            <w:tcW w:w="1040" w:type="dxa"/>
            <w:vAlign w:val="bottom"/>
          </w:tcPr>
          <w:p>
            <w:pPr>
              <w:spacing w:after="0"/>
              <w:rPr>
                <w:sz w:val="24"/>
                <w:szCs w:val="24"/>
                <w:color w:val="auto"/>
              </w:rPr>
            </w:pPr>
          </w:p>
        </w:tc>
        <w:tc>
          <w:tcPr>
            <w:tcW w:w="1100" w:type="dxa"/>
            <w:vAlign w:val="bottom"/>
            <w:tcBorders>
              <w:top w:val="single" w:sz="8" w:color="0000FF"/>
            </w:tcBorders>
            <w:gridSpan w:val="3"/>
          </w:tcPr>
          <w:p>
            <w:pPr>
              <w:spacing w:after="0"/>
              <w:rPr>
                <w:sz w:val="24"/>
                <w:szCs w:val="24"/>
                <w:color w:val="auto"/>
              </w:rPr>
            </w:pPr>
          </w:p>
        </w:tc>
        <w:tc>
          <w:tcPr>
            <w:tcW w:w="3640" w:type="dxa"/>
            <w:vAlign w:val="bottom"/>
            <w:gridSpan w:val="11"/>
          </w:tcPr>
          <w:p>
            <w:pPr>
              <w:jc w:val="center"/>
              <w:ind w:left="3230"/>
              <w:spacing w:after="0"/>
              <w:rPr>
                <w:sz w:val="20"/>
                <w:szCs w:val="20"/>
                <w:color w:val="auto"/>
              </w:rPr>
            </w:pPr>
            <w:r>
              <w:rPr>
                <w:rFonts w:ascii="Times New Roman" w:cs="Times New Roman" w:eastAsia="Times New Roman" w:hAnsi="Times New Roman"/>
                <w:sz w:val="18"/>
                <w:szCs w:val="18"/>
                <w:color w:val="auto"/>
                <w:w w:val="88"/>
              </w:rPr>
              <w:t>1</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that are subject to risks and uncertainties. All statements other than statements of historical or current facts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and measures to control inflation on our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prolonged effects of economic uncertainties on store and website traffic;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distribution network, supply chains and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inventory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a strong brand and sub-brand image;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declines in consumer confidence, inflation and decreases in consumer spending;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e-commerce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customer delivery time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allocate inventory throughout our distribution network to fulfill customer demand;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our debt covenant ratios;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unusually adverse weather conditions, boycotts, prolonged public health crises, epidemics or pandemics and unanticipated events;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adequate cash from our existing stores and direct sales to support our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corporate tax regulations and sales tax;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responding to new and changing customer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locations in which our stores are located;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relying on sources for merchandise located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 including port congestion;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timely and effectively obtain shipments of products from our suppliers and deliver merchandise to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the performance of our maturing store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deploy marketing tactics and commit adequate resources to support marketing in order to retain and attract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new stores;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adapting to new challenges associated with our expansion into new geographic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in an environment of intense competition or elevated promotions;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significant changes in sales due to the seasonality of our business;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reductions or inventory shortages resulting from failure to purchase the appropriate amount of inventory in advance of the season in which it will be sold;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further increases in price and lack of availability of raw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vendors to provide us with sufficient quantities of merchandise at acceptable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susceptibility of the price and availability of our merchandise to international trade conditions including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vendors and their manufacturing sources to use acceptable labor or other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key executive management or our inability to hire or retain the talent required for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fuel or other energy, transportation or utility costs and in the costs of labor and employment;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information technology systems to support our current and growing business, before and after our planned upgrades;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and fulfillment centers;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trademarks or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on the intellectual property of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terrorism or civil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laws and regulations and the outcomes of legal proceedings;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non-U.S. laws affecting the importation and taxation of goods, including imposition of unilateral tariffs on imported goods;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the personal and/or financial information of our customers and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data privacy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security standards for the credit card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adequate internal controls over our financial and management systems;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disposition, and development risks.</w:t>
      </w:r>
    </w:p>
    <w:p>
      <w:pPr>
        <w:spacing w:after="0" w:line="18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4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See the “Risk Factors” section of this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w:t>
      </w:r>
    </w:p>
    <w:p>
      <w:pPr>
        <w:spacing w:after="0" w:line="13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BUSINESS</w:t>
      </w:r>
    </w:p>
    <w:p>
      <w:pPr>
        <w:spacing w:after="0" w:line="196"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the terms the “Company,” “Duluth,” “Duluth Trading,” “Duluth Holdings,” “Duluth Trading Company,” “Duluth Trading Co.,” “we,” “our” or “us” are used to refer to Duluth Holdings Inc.</w:t>
      </w:r>
    </w:p>
    <w:p>
      <w:pPr>
        <w:spacing w:after="0" w:line="118"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contains references to fiscal years 2025 and 2024, which refer to our fiscal years ended February 1, 2026 and February 2, 2025, respectively. Fiscal year 2025 was a 52-week period and 2024 was a 53-week period.</w:t>
      </w:r>
    </w:p>
    <w:p>
      <w:pPr>
        <w:spacing w:after="0" w:line="12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Duluth Trading is a lifestyle brand of men’s and women’s workwear, casual wear, outdoor apparel and accessories primarily sold through our own omnichannel platform. We offer products nationwide through our website. In 2010, we initiated our omnichannel platform with the opening of our first store. Since then, we have expanded our retail presence, and as of February 1, 2026, we operated 63 retail stores and three outlet stores.</w:t>
      </w:r>
    </w:p>
    <w:p>
      <w:pPr>
        <w:spacing w:after="0" w:line="14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 Wisconsin corporation and an agricultural and horticultural supply catalog 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 proceeds from that sale were used to fund the growth of Duluth Trading. With that transaction, GEMPLER’S changed its corporate name to Duluth Holdings Inc.</w:t>
      </w:r>
    </w:p>
    <w:p>
      <w:pPr>
        <w:spacing w:after="0" w:line="1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From what began as an idea aimed at those working in the building trades, Duluth Trading has become a widely recognized brand and proprietary line of innovative and functional apparel and gear. We have created strong brand awareness and built a loyal customer base. We believe the foundation of our success is our culture of “poking average in the eye” </w:t>
      </w:r>
      <w:r>
        <w:rPr>
          <w:rFonts w:ascii="Times New Roman" w:cs="Times New Roman" w:eastAsia="Times New Roman" w:hAnsi="Times New Roman"/>
          <w:sz w:val="18"/>
          <w:szCs w:val="18"/>
          <w:i w:val="1"/>
          <w:iCs w:val="1"/>
          <w:color w:val="auto"/>
        </w:rPr>
        <w:t>by seeing things for what they could be and should be and finding a way to make them exactly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and we like to do it all with a big, toothy grin.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Omnichannel</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omnichannel business strategy allows our sales channels to work in synergy to seamlessly deliver a consistent brand experience to the customer, including consistent marketing, pricing and product presentation. All sales channels are fully integrated, including stores, website, direct mail and customer contact centers. Our omnichannel services include order-in-store, buy-online-pickup-in-store, and ship-from-store as well as retail store and mobile shopping experiences.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Store Environment</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retail stores are designed to bring our brand to life by creating a unique and entertaining experience, including engaging sales associates, a compelling and complete product assortment, and custom-made fixtures to fit our brand. We also showcase unique attractions at each retail store that celebrate the heritage of the local area, such as the tool museum in our Mt. Horeb, Wisconsin store and the “Exploded Tractor” exhibit in our Ankeny, Iowa store. We believe these local community elements help promote customer loyalty and drive repeat purchases.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8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offer a comprehensive line of innovative, durable and functional workwear, casual wear, outdoor apparel and accessories for both men and women. Our product assortment includes shirts, pants, shorts, underwear, outerwear, footwear, accessories and hard goods. Our products feature proprietary designs and distinct names, such as our Longtail T® shirts, Buck Naked® underwear, Fire Hose® work pants and No-Yank® Tank.</w:t>
      </w:r>
    </w:p>
    <w:p>
      <w:pPr>
        <w:spacing w:after="0" w:line="14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product assortment appeals to our customers for their everyday and on-the-job use. The majority of our products represent enduring styles that go beyond short-lived fashion trends. We believe many of our customers’ purchases are driven by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our thoughtful design and high-quality craftsmanship, and our best-selling styles tend to be items that carry over year to year with only minor updates.</w:t>
      </w:r>
    </w:p>
    <w:p>
      <w:pPr>
        <w:spacing w:after="0" w:line="198"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8"/>
          <w:szCs w:val="18"/>
          <w:color w:val="auto"/>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 DuluthFlex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Fire Hose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cotton canvas into products to provide strength and abrasion resistance with stretch for freedom of movement.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focused on developing apparel and gear that builds upon the Duluth Trading brand’s product heritage of “there’s gotta be a better way,” resulting in distinctive products with enhanced features.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Our marketing strategy is designed to drive brand awareness, enhance customer loyalty, drive sales and efficiently acquire new customers. We are nationally recognized for our signature wit and compelling storytelling—balancing our iconic, humorous campaigns with authentic demonstrations of our gear's rugged, problem-solving functionality. By highlighting the durability and innovation of our products, we strive to connect deeply with a core customer who values hard work, a hands-on lifestyle, and gear they can trust.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execute a digitally-led, omnichannel Go-To-Market strategy to deliver this narrative seamlessly across every touchpoint:</w:t>
      </w:r>
    </w:p>
    <w:p>
      <w:pPr>
        <w:spacing w:after="0" w:line="113" w:lineRule="exact"/>
        <w:rPr>
          <w:sz w:val="20"/>
          <w:szCs w:val="20"/>
          <w:color w:val="auto"/>
        </w:rPr>
      </w:pPr>
    </w:p>
    <w:p>
      <w:pPr>
        <w:ind w:left="1020" w:right="8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Digital &amp; Search: </w:t>
      </w:r>
      <w:r>
        <w:rPr>
          <w:rFonts w:ascii="Times New Roman" w:cs="Times New Roman" w:eastAsia="Times New Roman" w:hAnsi="Times New Roman"/>
          <w:sz w:val="18"/>
          <w:szCs w:val="18"/>
          <w:color w:val="auto"/>
        </w:rPr>
        <w:t>We deploy highly targeted performance media, including programmatic display, paid social, and robust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SEO/AEO (Answer Engine Optimization), to ensure our brand is highly discoverable and captures high-intent traffic. This is supported by a data-driven CRM engine, utilizing personalized email and SMS to drive retention and lifetime value.</w:t>
      </w:r>
    </w:p>
    <w:p>
      <w:pPr>
        <w:spacing w:after="0" w:line="62" w:lineRule="exact"/>
        <w:rPr>
          <w:rFonts w:ascii="Times New Roman" w:cs="Times New Roman" w:eastAsia="Times New Roman" w:hAnsi="Times New Roman"/>
          <w:sz w:val="18"/>
          <w:szCs w:val="18"/>
          <w:color w:val="auto"/>
        </w:rPr>
      </w:pPr>
    </w:p>
    <w:p>
      <w:pPr>
        <w:ind w:left="1020" w:right="14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Video &amp; Audio: </w:t>
      </w:r>
      <w:r>
        <w:rPr>
          <w:rFonts w:ascii="Times New Roman" w:cs="Times New Roman" w:eastAsia="Times New Roman" w:hAnsi="Times New Roman"/>
          <w:sz w:val="18"/>
          <w:szCs w:val="18"/>
          <w:color w:val="auto"/>
        </w:rPr>
        <w:t>We leverage dynamic storytelling across Linear, Connected and Addressable TV, streaming video, and on-demand audio.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channels combine our distinct brand humor with high-quality product demonstrations, scaling our reach and driving top-of-funnel brand heat to a national audience.</w:t>
      </w:r>
    </w:p>
    <w:p>
      <w:pPr>
        <w:spacing w:after="0" w:line="62"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Social &amp; Influencer Media: </w:t>
      </w:r>
      <w:r>
        <w:rPr>
          <w:rFonts w:ascii="Times New Roman" w:cs="Times New Roman" w:eastAsia="Times New Roman" w:hAnsi="Times New Roman"/>
          <w:sz w:val="18"/>
          <w:szCs w:val="18"/>
          <w:color w:val="auto"/>
        </w:rPr>
        <w:t>We actively engage communities and drive social commerce across platforms like Meta, YouTube and TikTok.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partnering with creators and utilizing rapid, data-tested creative, we strive to turn brand engagement into measurable customer acquisition.</w:t>
      </w:r>
    </w:p>
    <w:p>
      <w:pPr>
        <w:spacing w:after="0" w:line="62" w:lineRule="exact"/>
        <w:rPr>
          <w:rFonts w:ascii="Times New Roman" w:cs="Times New Roman" w:eastAsia="Times New Roman" w:hAnsi="Times New Roman"/>
          <w:sz w:val="18"/>
          <w:szCs w:val="18"/>
          <w:color w:val="auto"/>
        </w:rPr>
      </w:pPr>
    </w:p>
    <w:p>
      <w:pPr>
        <w:ind w:left="1020" w:right="8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 Mail: </w:t>
      </w:r>
      <w:r>
        <w:rPr>
          <w:rFonts w:ascii="Times New Roman" w:cs="Times New Roman" w:eastAsia="Times New Roman" w:hAnsi="Times New Roman"/>
          <w:sz w:val="18"/>
          <w:szCs w:val="18"/>
          <w:color w:val="auto"/>
        </w:rPr>
        <w:t>Honoring our legacy catalog heritage, direct mail remains a premium, tactile storytelling vehicle for us. It serves as a powerful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omnichannel driver that strategically lifts both our e-commerce traffic and physical retail footfall.</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committed to providing outstanding customer service and believe in treating our customers like next-door neighbors. Our retail stores are stocked with a comprehensive assortment of our products and staffed with knowledgeable and well-trained sales associates. We stand behind all purchases with our “No Bull Guarantee.”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do not own or operate any manufacturing facilities. Instead, we arrange with third-party vendors for the manufacturing of our merchandise. We have built strong, long-term relationships with our vendors. </w:t>
      </w:r>
      <w:r>
        <w:rPr>
          <w:rFonts w:ascii="Times New Roman" w:cs="Times New Roman" w:eastAsia="Times New Roman" w:hAnsi="Times New Roman"/>
          <w:sz w:val="18"/>
          <w:szCs w:val="18"/>
          <w:color w:val="222222"/>
        </w:rPr>
        <w:t>In Fiscal 2025, 57% of our purchases are sourced directly from the factory and 43%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sourced from our agents. Goods manufactured on our behalf ("non-market buy") are sourced from multiple factories across the globe, including concentrations in Vietnam, Indonesia, Pakistan, Bangladesh, Cambodia and India.</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6" w:name="page7"/>
    <w:bookmarkEnd w:id="6"/>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partners. All of our products are produced according to our specifications, and we require all of our manufacturers to adhere to strict regulatory compliance and standards of conduct. We seek to ensure the consistent product quality by training Duluth Trading-certified factory auditors to selectively examine pre-production samples, conduct periodic site visits to certain of our vendors’ production facilities and inspect inbound shipments at our fulfillment centers.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Fulfillment Centers</w:t>
      </w:r>
    </w:p>
    <w:p>
      <w:pPr>
        <w:spacing w:after="0" w:line="18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operate fulfillment centers located in Belleville, Wisconsin, Salt Lake City, Utah and Adairsville, Georgia. The approximate square footage of each facility is included in Item 2 of Part I of this report. In January 2026, we announced our intention to close the Salt Lake City fulfillment center in the first quarter of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20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direct mail businesses and online apparel businesses. We compete principally on the basis of brand recognition, innovation, product quality, customer service and price. To stay ahead of our competition, we continue to develop innovative solution-based products for which we create unique selling propositions that incorporate humor and storytelling.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trademarks are important to our marketing efforts. We own or have the rights to use certain trademarks, service marks and trade names that are registered with the U.S. Patent and Trademark Office, trademark offices in other jurisdictions, or exist under common law in the United States and other jurisdictions. The “Duluth Trading Co” trade name and trademark is used both in the United States and internationally and is material to our business. Trademarks that are important in identifying and distinguishing our products and services are AKHG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Alaskan Hardgear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Armachillo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Ballroom</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Buck Naked</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Bullpen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Cab Commander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Crouch Gusset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Dang Soft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Dry on the Fly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Duluth Trading Co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DuluthFlex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Fire Hose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Flexpedition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Longtail 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NoGA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No Polo Shirt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No Yank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Spit &amp; Polish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and Wild Boar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Our rights to some of these trademarks may be limited to select markets. We also own domain names, including “duluthtrading.com.”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As of February 1, 2026, we employed 746 full-time and 1,311 part-time and flexible part-time employees, 1,101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business experiences seasonal fluctuations. Our net sales and net income are generally highest in the fourth fiscal quarter, which includes the holiday sales period. As a result, our quarterly operating results and working capital requirements fluctuate significantly from quarter to quarter. Further, the impact of certain unusual or non-recurring items, economic conditions, weather or other factors affecting our operations may vary from one year to the next.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0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labor and employment laws, truth-in-advertising laws, privacy laws, safety regulations, consumer protection regulations and other laws that regulate retailers and govern the promotion and sale of merchandise and the operation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of stores and warehouse facilities. We monitor changes in these laws and believe that we are in material compliance with applicable laws.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reports filed or furnished pursuant to Sections 13(a) and 15(d) of the Securities Exchange Act of 1934, as amended (the “Exchange Act”), are made available free of charge on or through our website at www.duluthtrading.com under the “Investors” tab as soon as reasonably practicable after such reports are filed with, or furnished to the SEC.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9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These risk factors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products that customers want to purchase, our business and results of operations could be adversely affected.</w:t>
      </w:r>
    </w:p>
    <w:p>
      <w:pPr>
        <w:spacing w:after="0" w:line="20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3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affect our ability to accurately forecast consumer demand for our products include:</w:t>
      </w:r>
    </w:p>
    <w:p>
      <w:pPr>
        <w:spacing w:after="0" w:line="117" w:lineRule="exact"/>
        <w:rPr>
          <w:sz w:val="20"/>
          <w:szCs w:val="20"/>
          <w:color w:val="auto"/>
        </w:rPr>
      </w:pPr>
    </w:p>
    <w:p>
      <w:pPr>
        <w:ind w:left="1020" w:right="240" w:hanging="503"/>
        <w:spacing w:after="0" w:line="282"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 failure in our solution-based design process to accurately identify the problems our customers are experiencing with commonly available apparel and gear or a lack of customer acceptance of new products or product features we design;</w:t>
      </w:r>
    </w:p>
    <w:p>
      <w:pPr>
        <w:spacing w:after="0" w:line="53" w:lineRule="exact"/>
        <w:rPr>
          <w:rFonts w:ascii="Times New Roman" w:cs="Times New Roman" w:eastAsia="Times New Roman" w:hAnsi="Times New Roman"/>
          <w:sz w:val="14"/>
          <w:szCs w:val="14"/>
          <w:color w:val="auto"/>
        </w:rPr>
      </w:pPr>
    </w:p>
    <w:p>
      <w:pPr>
        <w:ind w:left="1020" w:right="360" w:hanging="503"/>
        <w:spacing w:after="0" w:line="282"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customer unwillingness to attribute premium value to our new products or product features we design relative to the commonly available apparel and gear they were intended to replace;</w:t>
      </w:r>
    </w:p>
    <w:p>
      <w:pPr>
        <w:spacing w:after="0" w:line="5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new, well-received product introductions by competitors;</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weak economic conditions or consumer confidence, which reduce demand for our products; and</w:t>
      </w:r>
    </w:p>
    <w:p>
      <w:pPr>
        <w:spacing w:after="0" w:line="117" w:lineRule="exact"/>
        <w:rPr>
          <w:rFonts w:ascii="Times New Roman" w:cs="Times New Roman" w:eastAsia="Times New Roman" w:hAnsi="Times New Roman"/>
          <w:sz w:val="14"/>
          <w:szCs w:val="14"/>
          <w:color w:val="auto"/>
        </w:rPr>
      </w:pPr>
    </w:p>
    <w:p>
      <w:pPr>
        <w:ind w:left="1020" w:right="660" w:hanging="503"/>
        <w:spacing w:after="0" w:line="282"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terrorism, civil unrest or acts of war, or the threat thereof, which adversely affect consumer confidence and spending and/or interrupt production and distribution of products and raw materials.</w:t>
      </w:r>
    </w:p>
    <w:p>
      <w:pPr>
        <w:spacing w:after="0" w:line="135"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There can be no assurance that we will be able to successfully anticipate or identify our customers’ needs and preferences and design products and product features in response. These risks could have a material adverse effect on our brand as well as our results of operations and financial condition.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 w:name="page9"/>
    <w:bookmarkEnd w:id="8"/>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strong brands and sub brands. We may not be able to maintain and enhance the Duluth Trading brands if we receive unfavorable complaints, negative publicity or otherwise fail to live up to consumers’ expectations, which could materially adversely affect our business, results of operations and growth prospects.</w:t>
      </w:r>
    </w:p>
    <w:p>
      <w:pPr>
        <w:spacing w:after="0" w:line="14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4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Customer complaints or negative reactions to, or unfavorable publicity about, our product quality or product features, our storytelling or irreverent advertising, the shopping experience on our website or in our retail stores, product delivery times, customer data privacy and security practices or customer support, especially on blogs, social media, other third-party websites and our website, could rapidly and severely diminish consumer use of our website and direct mail, visits to our retail stores and consumer confidence in us and result in harm to our brand. Furthermore, these factors could cause our customers to no longer feel a personal connection with the Duluth Trading brand, which could result in the loss of customers and materially adversely affect our business, results of operations and growth prospects.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and challenges if we pursue further geographic expansion.</w:t>
      </w:r>
    </w:p>
    <w:p>
      <w:pPr>
        <w:spacing w:after="0" w:line="20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expansion into new geographic markets could result in increased competition and merchandising, distribution and other challenges. We may encounter difficulties in attracting customers in our new retail store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4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Furthermore, our retail stores may be located in regions that will be far from our Mount Horeb,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131" w:lineRule="exact"/>
        <w:rPr>
          <w:sz w:val="20"/>
          <w:szCs w:val="20"/>
          <w:color w:val="auto"/>
        </w:rPr>
      </w:pPr>
    </w:p>
    <w:p>
      <w:pPr>
        <w:jc w:val="both"/>
        <w:ind w:right="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direct-to-consumer channel depends on customers’ use of our digital platform, including our website, and response to digital marketing; if our overall marketing strategies are not successful, including in connection with our ability to commit adequate resources to support our marketing strategy, maintain a robust customer list and effectively customize our marketing efforts based on understanding customers preferences, our business and results of operations could be materially adversely affected.</w:t>
      </w:r>
    </w:p>
    <w:p>
      <w:pPr>
        <w:spacing w:after="0" w:line="153"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level of customer traffic and volume of customer purchases through our direct-to-consumer channel is substantially dependent on our ability to provide a content-rich and user-friendly website, a fun, easy and hassle-free customer experience and reliable delivery of our products. If we are unable to maintain and increase customers’ use of our e-commerce platform, including our website, and the volume of purchases decline, our business and results of operations could be adversely affected.</w:t>
      </w:r>
    </w:p>
    <w:p>
      <w:pPr>
        <w:spacing w:after="0" w:line="13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Customer response to our digital marketing is substantially dependent on merchandise assortment, merchandise availability and creative presentation, as well as the selection of customers to whom our digital marketing is directed and our direct mail is sent. Our maintenance of a robust customer list, which we believe includes desirable demographic characteristics for the products we offer, has also been a key component of our overall strategy. If the performance of our website and email declines, or if our overall marketing strategy is not successful, our business, results of operations and stock price could be adversely affected. In addition, the success of our marketing strategy would be negatively impacted if we are unable to commit adequate resources to support our marketing strategy.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9" w:name="page10"/>
    <w:bookmarkEnd w:id="9"/>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current customers or acquire new customers, or fail to do so in a cost-effective manner, we may not be able to increase net revenue or profit per active customer.</w:t>
      </w:r>
    </w:p>
    <w:p>
      <w:pPr>
        <w:spacing w:after="0" w:line="13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retain and acquire customers in a cost-effective and efficient manner. In order to retain and expand our customer base, we must appeal to current customers and acquire customers who identify with the Duluth Trading brand through the proper marketing channels. We have made significant investments related to customer retention and acquisition and expect to continue to spend significant amounts to do so. For example, our national television advertising campaigns are expensive and may not result in the cost-effective acquisition of customers. Furthermore, as our brand has become more widely known in the market, our marketing campaigns have not resulted in acquisition of new customers at the same rate as past campaigns, and this trend may continue in the future.</w:t>
      </w:r>
    </w:p>
    <w:p>
      <w:pPr>
        <w:spacing w:after="0" w:line="1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also use other paid and non-paid advertising. Our paid advertising includes search engine marketing, display advertising and paid social media. In connection with our use of paid social media, damage to the reputations of individuals or companies with which we partnered could negatively impact our reputation and that of our brands. Our non-paid advertising efforts include search engine optimization, non-paid social media and email. We obtain a significant amount of traffic via search engines and, therefore, rely on search engines such as Google.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 our ability to acquire new customers in a cost-effective manner. As usage of these channels by our customer base has not grown as expected, we have suffered a decline in customer growth and net sales. A continued decrease in the level of usage or customer growth may have a material adverse effect on our business, financial condition and operating results.</w:t>
      </w:r>
    </w:p>
    <w:p>
      <w:pPr>
        <w:spacing w:after="0" w:line="15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cannot assure you that the net profit from new customers we acquire or customers we retain will ultimately exceed the cost of acquiring or retaining those customers. If we fail to deliver an outstanding customer experience, or if consumers do not perceive the products we offer to be manufactured with high quality craftsmanship, we may not be able to retain customers and acquire new customers. If we are unable to retain customers and acquire new customers, our business, results of operations and growth prospects may be materially adversely affected</w:t>
      </w:r>
    </w:p>
    <w:p>
      <w:pPr>
        <w:spacing w:after="0" w:line="365"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effectively in the apparel, footwear and accessories industry, our business and results of operations may be adversely affected.</w:t>
      </w:r>
    </w:p>
    <w:p>
      <w:pPr>
        <w:spacing w:after="0" w:line="11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apparel, footwear and accessories industry is highly competitive. We compete with a diverse group of direct-to-consumer companies and retailers, including men’s and women’s specialty apparel chains, outdoor specialty stores, apparel direct mail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Competitive pressures in the retail industry may require us to increase promotional markdowns, lowering our gross margin.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363"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negatively impact our liquidity, increase our expenses and present significant distractions to management.</w:t>
      </w:r>
    </w:p>
    <w:p>
      <w:pPr>
        <w:spacing w:after="0" w:line="13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9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may continue to adversely affect our business operations, store and website traffic, employee availability, financial condition, liquidity, and cash flow for an extended period of time.</w:t>
      </w:r>
    </w:p>
    <w:p>
      <w:pPr>
        <w:spacing w:after="0" w:line="11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ongoing economic uncertainty continues to affect our business operations and it is impossible to predict the effect and ultimate impact of ongoing economic uncertainties.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Business activities continue to face economic uncertainties, including but not limited to increased inflation and interest rates, tariffs and global supply chain constraints. The economic uncertainties may continue for an extended period and have adversely impacted, and may continue to impact, our business.</w:t>
      </w:r>
    </w:p>
    <w:p>
      <w:pPr>
        <w:spacing w:after="0" w:line="14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As inflationary periods continue, consumer fear may adversely affect traffic to our stores and website. Reductions in customer visits to, and spending at, our stores and website caused by economic uncertainties have resulted in a loss of retail store sales and profits and other material adverse effects. The extent of the impact on our business, financial results, liquidity and cash flows will depend largely on future developments, all of which are highly uncertain and cannot be predicted.</w:t>
      </w:r>
    </w:p>
    <w:p>
      <w:pPr>
        <w:spacing w:after="0" w:line="13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These and other potential impacts of economic uncertainties could therefore materially and adversely affect our business, financial condition and results of operations.</w:t>
      </w:r>
    </w:p>
    <w:p>
      <w:pPr>
        <w:spacing w:after="0" w:line="117"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sources for merchandise located in foreign markets, and our business has been and may continue to be adversely affected by legal, regulatory, economic and political risks associated with international trade and those markets.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reliance on suppliers in foreign markets creates risks inherent in doing business in foreign jurisdictions, including:</w:t>
      </w:r>
    </w:p>
    <w:p>
      <w:pPr>
        <w:spacing w:after="0" w:line="117" w:lineRule="exact"/>
        <w:rPr>
          <w:sz w:val="20"/>
          <w:szCs w:val="20"/>
          <w:color w:val="auto"/>
        </w:rPr>
      </w:pPr>
    </w:p>
    <w:p>
      <w:pPr>
        <w:ind w:left="1020" w:right="320" w:hanging="503"/>
        <w:spacing w:after="0" w:line="282"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transportation delays and interruptions, including due to port congestion and the failure of suppliers or distributors to comply with import regulations;</w:t>
      </w:r>
    </w:p>
    <w:p>
      <w:pPr>
        <w:spacing w:after="0" w:line="53" w:lineRule="exact"/>
        <w:rPr>
          <w:rFonts w:ascii="Times New Roman" w:cs="Times New Roman" w:eastAsia="Times New Roman" w:hAnsi="Times New Roman"/>
          <w:sz w:val="14"/>
          <w:szCs w:val="14"/>
          <w:color w:val="auto"/>
        </w:rPr>
      </w:pPr>
    </w:p>
    <w:p>
      <w:pPr>
        <w:ind w:left="1020" w:right="560" w:hanging="503"/>
        <w:spacing w:after="0" w:line="282"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 import/export laws and regulations, and local intellectual property laws and rights owned by third parties;</w:t>
      </w:r>
    </w:p>
    <w:p>
      <w:pPr>
        <w:spacing w:after="0" w:line="53" w:lineRule="exact"/>
        <w:rPr>
          <w:rFonts w:ascii="Times New Roman" w:cs="Times New Roman" w:eastAsia="Times New Roman" w:hAnsi="Times New Roman"/>
          <w:sz w:val="14"/>
          <w:szCs w:val="14"/>
          <w:color w:val="auto"/>
        </w:rPr>
      </w:pPr>
    </w:p>
    <w:p>
      <w:pPr>
        <w:ind w:left="1020" w:right="180" w:hanging="503"/>
        <w:spacing w:after="0" w:line="266"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U.S. and non-U.S. laws (or changes in the enforcement of those laws) affecting the importation and taxation of goods, including disallowance of tax deductions for imported merchandise, imposition of unilateral tariffs on imported goods, duties, quotas, enhanced security measures at U.S. ports or imposition of new legislation relating to import quotas;</w:t>
      </w:r>
    </w:p>
    <w:p>
      <w:pPr>
        <w:spacing w:after="0" w:line="6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economic and political instability in the countries and regions where our suppliers are located;</w:t>
      </w:r>
    </w:p>
    <w:p>
      <w:pPr>
        <w:spacing w:after="0" w:line="117" w:lineRule="exact"/>
        <w:rPr>
          <w:rFonts w:ascii="Times New Roman" w:cs="Times New Roman" w:eastAsia="Times New Roman" w:hAnsi="Times New Roman"/>
          <w:sz w:val="14"/>
          <w:szCs w:val="14"/>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5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increases in shipping, labor, fuel, travel and other transportation costs;</w:t>
      </w:r>
    </w:p>
    <w:p>
      <w:pPr>
        <w:spacing w:after="0" w:line="117" w:lineRule="exact"/>
        <w:rPr>
          <w:rFonts w:ascii="Times New Roman" w:cs="Times New Roman" w:eastAsia="Times New Roman" w:hAnsi="Times New Roman"/>
          <w:sz w:val="14"/>
          <w:szCs w:val="14"/>
          <w:color w:val="auto"/>
        </w:rPr>
      </w:pPr>
    </w:p>
    <w:p>
      <w:pPr>
        <w:ind w:left="1020" w:right="820" w:hanging="503"/>
        <w:spacing w:after="0" w:line="282"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imposition of anti-dumping or countervailing duty proceedings resulting in the potential assessment of special anti-dumping or countervailing duties;</w:t>
      </w:r>
    </w:p>
    <w:p>
      <w:pPr>
        <w:spacing w:after="0" w:line="5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political instability, war and acts of terrorism; and</w:t>
      </w:r>
    </w:p>
    <w:p>
      <w:pPr>
        <w:spacing w:after="0" w:line="117" w:lineRule="exact"/>
        <w:rPr>
          <w:rFonts w:ascii="Times New Roman" w:cs="Times New Roman" w:eastAsia="Times New Roman" w:hAnsi="Times New Roman"/>
          <w:sz w:val="14"/>
          <w:szCs w:val="14"/>
          <w:color w:val="auto"/>
        </w:rPr>
      </w:pPr>
    </w:p>
    <w:p>
      <w:pPr>
        <w:ind w:left="1020" w:right="620" w:hanging="503"/>
        <w:spacing w:after="0" w:line="282"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occurrence of a natural disaster, unusual weather conditions, or prolonged public health crises, epidemics or pandemics in foreign countries from which we source our products.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occurrence of one or more of these events could result in disruptions to our operations, which in turn could increase our cost of goods sold, decrease our gross profit, or impact our ability to deliver to our customers. In particular, U.S. laws affecting the importation and taxation of goods have recently been subject to significant change and uncertainty. For example, in February 2026, the U.S. Supreme Court invalidated global tariffs previously imposed under the International Emergency Economic Powers Act (IEEPA). While this ruling creates a potential opportunity to recover previously paid duties, the refund process involves significant administrative complexity, ongoing litigation, and potential delays. There can be no assurance as to the timing or amount of any refunds we may ultimately realize, if any. Furthermore, the U.S. government has subsequently invoked alternative statutory authorities, such as Section 122 of the Trade Act of 1974, to impose replacement tariffs, and other existing duties remain in effect. Consequently, tariffs and trade restrictions, along with the retaliatory responses they may prompt, have increased and could further increase the cost of products purchased from suppliers in such countries in which we do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 w:name="page12"/>
    <w:bookmarkEnd w:id="11"/>
    <w:p>
      <w:pPr>
        <w:ind w:right="240"/>
        <w:spacing w:after="0" w:line="282" w:lineRule="auto"/>
        <w:rPr>
          <w:sz w:val="20"/>
          <w:szCs w:val="20"/>
          <w:color w:val="auto"/>
        </w:rPr>
      </w:pPr>
      <w:r>
        <w:rPr>
          <w:rFonts w:ascii="Times New Roman" w:cs="Times New Roman" w:eastAsia="Times New Roman" w:hAnsi="Times New Roman"/>
          <w:sz w:val="18"/>
          <w:szCs w:val="18"/>
          <w:color w:val="auto"/>
        </w:rPr>
        <w:t>Any inability on our part to rely on our foreign sources of production due to any of the factors listed above could have an adverse effect on our business, results of operations and financial condition.</w:t>
      </w:r>
    </w:p>
    <w:p>
      <w:pPr>
        <w:spacing w:after="0" w:line="131"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timely and effectively obtain shipments of products from our suppliers and deliver merchandise to our customers, our business and operating results could be adversely affected.</w:t>
      </w:r>
    </w:p>
    <w:p>
      <w:pPr>
        <w:spacing w:after="0" w:line="11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fulfillment centers in Wisconsin and Georgia. While our reliance on a limited number of fulfillment centers provides certain efficiencies, it also makes us more vulnerable to natural disasters, weather-related disruptions, accidents, system failures, public health pandemics,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fulfillment center or at points of export or import, organized labor strikes and work stoppages,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as has happened in the past,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pressures with respect to shipping our products to our customers may harm our business and results of operations.</w:t>
      </w:r>
    </w:p>
    <w:p>
      <w:pPr>
        <w:spacing w:after="0" w:line="202"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Given the size of our direct-to-consumer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Higher direct-to-consumer net sales has resulted and may continue to result in additional peak surcharges assessed by our delivery partners. To remain competitive, we have been required to offer discounted, free or other more competitive shipping options to our customers, which has resulted in declines in our shipping and handling revenue and increased shipping and handling expense. We expect further declines in shipping and handling revenues as compared to prior years. Further declines in shipping and handling revenues may have a material adverse effect on our gross profit and gross profit margin, as well as our Adjusted EBITDA to the extent there are not commensurate declines, or if there are increases, in our shipping and handling expense.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12" w:name="page13"/>
    <w:bookmarkEnd w:id="12"/>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to deliver products purchased through our direct-to-consumer channel to our customers and our business could be negatively impacted by disruptions in the operations of these third-party service providers.</w:t>
      </w:r>
    </w:p>
    <w:p>
      <w:pPr>
        <w:spacing w:after="0" w:line="13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Relying on third-party service providers puts us at risk from disruptions in their operations, such as employee strikes, inclement weather and their inability to meet our shipping demands.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We may be subject to shipping surcharges and thresholds during the peak holiday shopping season, which may have a negative impact on our earnings. Our efforts to mitigate the impact of future thresholds may not be successful or may result in similar surcharges. These factors may negatively impact our financial condition and results of operations.</w:t>
      </w:r>
    </w:p>
    <w:p>
      <w:pPr>
        <w:spacing w:after="0" w:line="14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our e-commerce sales channel subjects us to numerous risks that could have a material adverse effect on our business, financial condition and results of operations.</w:t>
      </w:r>
    </w:p>
    <w:p>
      <w:pPr>
        <w:spacing w:after="0" w:line="1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results of operations and financial condition are dependent on maintaining our e-commerce business and expanding our e-commerce business is an important part of our business strategy. Dependence on our e-commerce business and its continued growth subjects us to certain risks, including:</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diversion of traffic from our stores;</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liability for online content, including data privacy and accessibility claims;</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need to keep pace with rapid technological change;</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government regulation of the Internet, including data privacy and taxation; and</w:t>
      </w:r>
    </w:p>
    <w:p>
      <w:pPr>
        <w:spacing w:after="0" w:line="117" w:lineRule="exact"/>
        <w:rPr>
          <w:rFonts w:ascii="Times New Roman" w:cs="Times New Roman" w:eastAsia="Times New Roman" w:hAnsi="Times New Roman"/>
          <w:sz w:val="14"/>
          <w:szCs w:val="14"/>
          <w:color w:val="auto"/>
        </w:rPr>
      </w:pPr>
    </w:p>
    <w:p>
      <w:pPr>
        <w:ind w:left="1020" w:right="180" w:hanging="503"/>
        <w:spacing w:after="0" w:line="282"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threats to the computer systems that operate our website and related support systems, including viruses, malware and other malicious code, misconfiguration, systems failure or inadequacy, compromise or unauthorized access and similar disruptions.</w:t>
      </w:r>
    </w:p>
    <w:p>
      <w:pPr>
        <w:spacing w:after="0" w:line="13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failure to successfully respond to these risks and uncertainties could reduce our e-commerce sales, increase our costs, diminish our growth prospects, and damage our brand and reputation, which could negatively impact our business, financial condition and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Increases in the price of raw materials, fuel and labor, or their reduced availability, could increase our cost of goods and cause delays.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price and availability of raw materials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pacing w:after="0" w:line="16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rely upon third-party land-based and air freight carriers for merchandise shipments from our fulfillment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fulfillment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13" w:name="page14"/>
    <w:bookmarkEnd w:id="13"/>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key suppliers or service providers were unable or unwilling to provide the products and services we require, our business could be adversely affected.</w:t>
      </w:r>
    </w:p>
    <w:p>
      <w:pPr>
        <w:spacing w:after="0" w:line="13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products are sourced through third-party purchasing agents and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cannot assure that any or all of our relationships will not be terminated or that such relationships will continue as presently in effect. Furthermore, if any of our significant suppliers were to become subject to bankruptcy, receivership or similar proceedings, customs actions, or other legal actions, we may be unable to arrange for alternate or replacement relationships on terms as favorable as our current terms, which could adversely affect our sales and operating results.</w:t>
      </w:r>
    </w:p>
    <w:p>
      <w:pPr>
        <w:spacing w:after="0" w:line="14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business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spacing w:after="0" w:line="144"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13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entered into agreements with third parties for logistics services, information technology systems (including hosting our website), operating our call center during certain hours, software development and support, print production, select marketing services, processing gift card activity,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 shrinkage could have a material adverse effect on our business, financial condition and results of operations.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that could negatively affect our results, operations or reputation.</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often collect, retain and transmit customer personal and credit card information, employee personal information, and other sensitive and confidential information. The protection of customers' and employees' information, and the Company’s intellectual property, from potential threats is vitally important to the Company. Consumers and employees continue to have significant concerns about the security of personal information, especially when transmitted over the Internet, and the use, retention, disclosure, and privacy of such information. We continually evaluate and upgrade our information systems, security measures, and practices to combat the ever-evolving cyber risks and to comply with our legal and regulatory obligations, and we provide cybersecurity awareness training around phishing, social engineering, and other cyber risks to our employees, in an effort to elevate our cybersecurity posture and give our workforce the skills to both avoid and report cyber threats.</w:t>
      </w:r>
    </w:p>
    <w:p>
      <w:pPr>
        <w:spacing w:after="0" w:line="14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Despite our risk management efforts, vendor due diligence, and security measures, our facilities and systems and those of our third-party service providers, are subject to increasingly complex cyber risks, including cyber extortion, data breaches, unauthorized access, denial of service, vendor or employee misconduct, ransomware and other malicious software, and data exfiltration. We maintain cybersecurity insurance designed to provide coverage for expenses related to data breach notification, credit monitoring, forensic investigations, and legal advice. However, our insurance may not be sufficient to cover all possible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losses, and we cannot provide assurance that such insurance will continue to be available to us on economically reasonable terms, or at all.</w:t>
      </w:r>
    </w:p>
    <w:p>
      <w:pPr>
        <w:spacing w:after="0" w:line="19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and our employees and customers could suffer significant harm if any personal, financial, or credit card information was accessed or disclosed by an unauthorized third party, or our information technology systems or those of our third party providers were compromised or subject to data loss, exfiltration, corruption, or disruption. Any security incident or data breach could severely damage our reputation and our relationships with customers, business partners and employees, cause us to incur significant costs and expenses to investigate, remediate and notify affected individuals, and expose us to an increased risk of litigation, regulatory enforcement, fines and penalties, and other losses and liabilities. In addition, the media and public scrutiny of information security and privacy has become more intense and the regulatory environment has become more complex and uncertain due to recent high-profile privacy and security incidents and legislative efforts across the globe. As a result, we may incur significant costs to comply with laws regarding the use, retention, disclosure, security, and privacy of personal information.</w:t>
      </w:r>
    </w:p>
    <w:p>
      <w:pPr>
        <w:spacing w:after="0" w:line="147"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and any inadequacy, interruption, integration failure or security failure of this technology or the lack of safe and timely adoption of new technologies like artificial intelligence ("AI") could harm our ability to effectively operate our business.</w:t>
      </w:r>
    </w:p>
    <w:p>
      <w:pPr>
        <w:spacing w:after="0" w:line="11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direct mail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of security of these systems has and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381"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222222"/>
        </w:rPr>
        <w:t>Our failure to effectively adopt and apply Artificial Intelligence (AI) technologies, or manage the ethical, legal, reputational or data privacy issues arising from AI implementation, could adversely affect our competitive position, brand reputation, and financial results.</w:t>
      </w:r>
    </w:p>
    <w:p>
      <w:pPr>
        <w:spacing w:after="0" w:line="117"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retain our executive management team and to attract qualified new personnel could adversely affect our business and results of operations.</w:t>
      </w:r>
    </w:p>
    <w:p>
      <w:pPr>
        <w:spacing w:after="0" w:line="11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156"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qualified employees to meet our staffing needs in our corporate office, stores, fulfillment centers or call center could result in higher payroll costs and adversely affect our operating results.</w:t>
      </w:r>
    </w:p>
    <w:p>
      <w:pPr>
        <w:spacing w:after="0" w:line="11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performance is dependent on attracting and retaining a large number of qualified employees. Many of our strategic initiatives require that we hire and/or develop associates with appropriate experience. Attracting and retaining a sufficient number of qualified employees to meet our staffing needs may be difficult, because the competition for these types of personnel is intense. Many of our staffing needs in our stores, fulfillment centers and call center are entry-level or part-time positions with historically high rates of turnover. If we cannot attract and retain employees with the qualifications we deem necessary to meet our staffing needs in our corporate office,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 w:name="page16"/>
    <w:bookmarkEnd w:id="15"/>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and if we do not efficiently manage inventory levels and allocation, our results of operations could be adversely affected.</w:t>
      </w:r>
    </w:p>
    <w:p>
      <w:pPr>
        <w:spacing w:after="0" w:line="13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seasonal influences, with increased net sales and net income realized during the fourth quarter of our fiscal year, which includes the holiday season.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and properly allocate inventory throughout our distribution network to operate our business successfully, but we must also avoid accumulating excess inventory, which increases working capital needs. With excess inventory, we may also need to increase promotional markdowns, potentially lowering gross margins. We obtain substantially all of our inventory from suppliers located outside the 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3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 commitment costs, as well as incur costs related to a pack-and-hold approach for inventory,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 For example, during the holiday season in 2024, there were challenges in inventory planning resulting in delays in processing at a legacy fulfillment center.</w:t>
      </w:r>
    </w:p>
    <w:p>
      <w:pPr>
        <w:spacing w:after="0" w:line="16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a result of holiday sales, inventories, accounts payable and borrowings under our revolving line of credit typically reach their highest levels in October or November of each year (other than as a result of cash flow provided by or used in investing and financing activities). Inventories, accounts payable and borrowings under our revolving line of credit then typically decline steadily during the holiday season, resulting in our cash typically reaching its highest level, and borrowings under our revolving line of credit reaching their lowest level, typically near December 31 of each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85"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net sales and profits depend on the level of consumer spending for apparel, footwear and accessories, which is sensitive to general economic conditions and other factors. An economic recession or a decline in consumer spending or consumer sensitivity to pricing could have a material adverse effect on our business and results of operations.</w:t>
      </w:r>
    </w:p>
    <w:p>
      <w:pPr>
        <w:spacing w:after="0" w:line="1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inflation,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cards, debit cards, Paypal,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suffer a data breach, or become unwilling or unable to provide these services to us. We are also subject to payment card association operating rules, including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6" w:name="page17"/>
    <w:bookmarkEnd w:id="16"/>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data privacy and security rules, certification requirements and rules governing electronic funds transfers, which could change or be reinterpreted to make it difficult or impossible for us to comply. If we fail to comply with these rules or requirements, or if our systems containing payment information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 </w:t>
      </w:r>
      <w:r>
        <w:rPr>
          <w:rFonts w:ascii="Times New Roman" w:cs="Times New Roman" w:eastAsia="Times New Roman" w:hAnsi="Times New Roman"/>
          <w:sz w:val="18"/>
          <w:szCs w:val="18"/>
          <w:color w:val="222222"/>
        </w:rPr>
        <w:t>Accepting payments through these methods have in the past and may in the future also subject us to fraud, especially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the systems we have implemented to detect and prevent fraud do not operate as expected. Depending on the nature of the fraud, we may not have any recourse to recover our costs, which may have an adverse effect on our results of operations.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cash generated from our operations to support our growth, which could strain our growth.</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primarily rely on cash flow generated from our direct-to-consumer and retail store sales and borrowings under our credit facility to fund our current operations and our growth initiatives. As we expand our business, we will need significant amounts of cash to pay our existing and future lease obligations, purchase inventory, pay personnel and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investments and other activities.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our operating results.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accurately forecast our operating results. We use a variety of factors in our forecasting and planning processes, including historical results, recent history and assessments of economic and market conditions, among other things. The changes in net sales and profitability that we forecast may not be achieved. Our sales and profitability depends on the growth of demand for the products we offer at the prices we offer, and our business is affected by general economic and business conditions. A softening of demand, whether caused by changes in customer preferences or a weakening of the economy or other factors, may result in decreased net sales.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could cause investors’ perceptions of our business to be adversely affected, and the market price of our Class B common stock could decline.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222222"/>
        </w:rPr>
        <w:t>Our failure to comply with the covenants under our credit agreement could trigger prepayment obligations</w:t>
      </w:r>
    </w:p>
    <w:p>
      <w:pPr>
        <w:spacing w:after="0" w:line="229"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7"/>
          <w:szCs w:val="17"/>
          <w:color w:val="auto"/>
        </w:rPr>
        <w:t>Our Asset Based Lending Facility requires us to maintain certain financial ratios, including a minimum fixed charge coverage ratio. Our ability to meet these ratios can be affected by events beyond our control, such as a decline in the value of our inventory or receivables which form our borrowing base. If we fail to comply with these covenants, our lenders could accelerate our debt, seize the collateral securing the facility, or terminate our ability to borrow further. Any such event would have a material adverse effect on our liquidity and may force us to seek protection under bankruptcy laws.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Compliance, Reputation and Other Risks</w:t>
      </w:r>
    </w:p>
    <w:p>
      <w:pPr>
        <w:spacing w:after="0" w:line="185" w:lineRule="exact"/>
        <w:rPr>
          <w:sz w:val="20"/>
          <w:szCs w:val="20"/>
          <w:color w:val="auto"/>
        </w:rPr>
      </w:pPr>
    </w:p>
    <w:p>
      <w:pPr>
        <w:ind w:right="7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increased labor costs due to external factors, including changes in laws and regulations, and we may be subject to unionization, work stoppages or slowdowns.</w:t>
      </w:r>
    </w:p>
    <w:p>
      <w:pPr>
        <w:spacing w:after="0" w:line="13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ability to meet our labor needs while controlling costs is subject to external factors such as unemployment levels, prevailing wage rates, minimum wage legislation, actions by our competitors with respect to compensation levels and changing demographics. Currently none of our employees are represented by a union, but our employees have the right to be under the National Labor Relations Act.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7" w:name="page18"/>
    <w:bookmarkEnd w:id="17"/>
    <w:p>
      <w:pPr>
        <w:ind w:right="180"/>
        <w:spacing w:after="0" w:line="282" w:lineRule="auto"/>
        <w:rPr>
          <w:sz w:val="20"/>
          <w:szCs w:val="20"/>
          <w:color w:val="auto"/>
        </w:rPr>
      </w:pPr>
      <w:r>
        <w:rPr>
          <w:rFonts w:ascii="Times New Roman" w:cs="Times New Roman" w:eastAsia="Times New Roman" w:hAnsi="Times New Roman"/>
          <w:sz w:val="18"/>
          <w:szCs w:val="18"/>
          <w:color w:val="auto"/>
        </w:rPr>
        <w:t>wage laws and other laws and regulations relating to employee benefits could cause us to incur additional wage and benefit costs, which could negatively impact our business, financial condition and results of operations.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Unseasonal or severe weather conditions may adversely affect our merchandise sales.</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 retail stores, deliver orders to customers on schedule and staff our retail stores, fulfillment centers and call center, which could have an adverse effect on our business and results of operations.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 designs are not protected by substantial intellectual property rights.</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Due to the rapid pace of change in the apparel, footwear and accessories industry, the length of time it takes to obtain patents and the expense and uncertainty of obtaining patent protection, we have not taken steps to obtain patent protection for many of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or preserve our brand image and our proprietary rights, our business may be adversely affected.</w:t>
      </w:r>
    </w:p>
    <w:p>
      <w:pPr>
        <w:spacing w:after="0" w:line="18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regard our trademarks, copyrights, trade secrets and similar proprietary rights as critical to our success. As such, we rely on trademark and 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if we infringe upon the intellectual property rights of third parties.</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sue us for alleged infringement of their proprietary rights or use intellectual property rights to interfere with or attempt to interfere with the manufacture of products for us or the supply of products to us.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147"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independent suppliers do not use ethical business practices or comply with applicable regulations and laws, our reputation could be materially harmed and our business and results of operations may be adversely affected.</w:t>
      </w:r>
    </w:p>
    <w:p>
      <w:pPr>
        <w:spacing w:after="0" w:line="13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8" w:name="page19"/>
    <w:bookmarkEnd w:id="18"/>
    <w:p>
      <w:pPr>
        <w:ind w:right="480"/>
        <w:spacing w:after="0" w:line="282" w:lineRule="auto"/>
        <w:rPr>
          <w:sz w:val="20"/>
          <w:szCs w:val="20"/>
          <w:color w:val="auto"/>
        </w:rPr>
      </w:pPr>
      <w:r>
        <w:rPr>
          <w:rFonts w:ascii="Times New Roman" w:cs="Times New Roman" w:eastAsia="Times New Roman" w:hAnsi="Times New Roman"/>
          <w:sz w:val="18"/>
          <w:szCs w:val="18"/>
          <w:color w:val="auto"/>
        </w:rPr>
        <w:t>of a supplier’s labor practices from those generally accepted as ethical in the United States, could materially hurt our reputation, which could have an adverse effect on our business and results of operations.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assessments for additional taxes, including sales taxes, which could adversely affect our business.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current law, we pay, collect and/or remit taxes in those states where we or our subsidiary, as applicable, maintain a physical presence.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spacing w:after="0" w:line="13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have adopted, or begun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and decrease our future sales, which could have an impact on our business, financial condition and results of operations.</w:t>
      </w:r>
    </w:p>
    <w:p>
      <w:pPr>
        <w:spacing w:after="0" w:line="161"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a number of legal proceedings and audits, and outcomes of such legal proceedings and audits could adversely affect our business, financial condition and results of operations.</w:t>
      </w:r>
    </w:p>
    <w:p>
      <w:pPr>
        <w:spacing w:after="0" w:line="11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business requires compliance with many laws and regulations, including labor and employment, customs, truth-in-advertising, data privacy and security, consumer protection and zoning and occupancy laws and ordinances that regulate retailers generally and/or govern the importation, promotion and sale of merchandise and the operation of stores, our website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to accounting rules or regulations could significantly affect our financial results.</w:t>
      </w:r>
    </w:p>
    <w:p>
      <w:pPr>
        <w:spacing w:after="0" w:line="20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B Common Stock</w:t>
      </w:r>
    </w:p>
    <w:p>
      <w:pPr>
        <w:spacing w:after="0" w:line="185"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1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Class A common stock has ten votes per share, and our Class B common stock has one vote per share. Given the greater number of votes per share attributed to our Class A common stock, our Chairman, Stephen L. Schlecht, who through his voting trust is our only Class A shareholder, beneficially owns shares representing more than 50%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Mr. Schlecht together with our other executive officers, directors and their affiliates, owns shares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8"/>
          <w:szCs w:val="18"/>
          <w:color w:val="auto"/>
        </w:rPr>
        <w:t>representing the majority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5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Additionally, the holder of our Class A common stock may cause us to make strategic decisions or pursue acquisitions that could involve risks to you or may not be aligned with your interests. The holder of our Class A common stock will also be entitled to a separate vote in the event we seek to amend our articles of incorporation in a manner that alters or changes the powers, preferences or special rights of the Class A common stock in a manner that affects its holder adversely.</w:t>
      </w:r>
    </w:p>
    <w:p>
      <w:pPr>
        <w:spacing w:after="0" w:line="135" w:lineRule="exact"/>
        <w:rPr>
          <w:sz w:val="20"/>
          <w:szCs w:val="20"/>
          <w:color w:val="auto"/>
        </w:rPr>
      </w:pPr>
    </w:p>
    <w:p>
      <w:pPr>
        <w:ind w:right="7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we rely on exemptions from certain corporate governance requirements that provide protection to shareholders of other companies.</w:t>
      </w:r>
    </w:p>
    <w:p>
      <w:pPr>
        <w:spacing w:after="0" w:line="11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Mr. Schlecht controls more than 50% of the total voting power of our common stock, and we are considered a controlled company under the NASDAQ corporate governance listing standards. As a controlled company, certain exemptions under the NASDAQ listing standards exempt us from the obligation to comply with certain NASDAQ corporate governance requirements, including the requirements:</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that a majority of our board of directors consist of independent directors, as defined under the rules of NASDAQ;</w:t>
      </w:r>
    </w:p>
    <w:p>
      <w:pPr>
        <w:spacing w:after="0" w:line="117" w:lineRule="exact"/>
        <w:rPr>
          <w:rFonts w:ascii="Times New Roman" w:cs="Times New Roman" w:eastAsia="Times New Roman" w:hAnsi="Times New Roman"/>
          <w:sz w:val="14"/>
          <w:szCs w:val="14"/>
          <w:color w:val="auto"/>
        </w:rPr>
      </w:pPr>
    </w:p>
    <w:p>
      <w:pPr>
        <w:ind w:left="1020" w:right="260" w:hanging="503"/>
        <w:spacing w:after="0" w:line="282"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that we have a nominating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4"/>
          <w:szCs w:val="14"/>
          <w:color w:val="auto"/>
        </w:rPr>
      </w:pPr>
    </w:p>
    <w:p>
      <w:pPr>
        <w:ind w:left="1020" w:right="80" w:hanging="503"/>
        <w:spacing w:after="0" w:line="282"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responsibilities.</w:t>
      </w:r>
    </w:p>
    <w:p>
      <w:pPr>
        <w:spacing w:after="0" w:line="13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Although we have a majority of independent directors on our board, we are a controlled company. As such,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resulting in substantial losses for investors.</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Class B common stock may fluctuate significantly in response to numerous factors, many of which are beyond our control, including:</w:t>
      </w:r>
    </w:p>
    <w:p>
      <w:pPr>
        <w:spacing w:after="0" w:line="5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actual or anticipated fluctuations in our results of operations, particularly in our growth rates and margins;</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17" w:lineRule="exact"/>
        <w:rPr>
          <w:rFonts w:ascii="Times New Roman" w:cs="Times New Roman" w:eastAsia="Times New Roman" w:hAnsi="Times New Roman"/>
          <w:sz w:val="14"/>
          <w:szCs w:val="14"/>
          <w:color w:val="auto"/>
        </w:rPr>
      </w:pPr>
    </w:p>
    <w:p>
      <w:pPr>
        <w:ind w:left="1020" w:right="500" w:hanging="503"/>
        <w:spacing w:after="0" w:line="282"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4"/>
          <w:szCs w:val="14"/>
          <w:color w:val="auto"/>
        </w:rPr>
      </w:pPr>
    </w:p>
    <w:p>
      <w:pPr>
        <w:ind w:left="1020" w:right="300" w:hanging="503"/>
        <w:spacing w:after="0" w:line="282"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operating results or capital commitments;</w:t>
      </w:r>
    </w:p>
    <w:p>
      <w:pPr>
        <w:spacing w:after="0" w:line="53"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operating performance and stock market valuations of other retail companies generally, or those in our industry in particular;</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our board of directors or management;</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sales of large blocks of our Class B common stock, including sales by our executive officers, directors and significant shareholders;</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lawsuits threatened or filed against us;</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laws or regulations applicable to our business;</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short sales, hedging and other derivative transactions involving our capital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0" w:name="page21"/>
    <w:bookmarkEnd w:id="20"/>
    <w:p>
      <w:pPr>
        <w:ind w:left="1020" w:hanging="503"/>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general economic conditions in the United States and abroad; and</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other events or factors, including those resulting from pandemics, war, incidents of terrorism or responses to these events.</w:t>
      </w:r>
    </w:p>
    <w:p>
      <w:pPr>
        <w:spacing w:after="0" w:line="18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spacing w:after="0" w:line="152"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1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35"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3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w:t>
      </w:r>
    </w:p>
    <w:p>
      <w:pPr>
        <w:spacing w:after="0" w:line="1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spacing w:after="0" w:line="14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13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shareholder rights plan;</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provide that the board of directors is expressly authorized to make, alter or repeal our bylaws; and</w:t>
      </w:r>
    </w:p>
    <w:p>
      <w:pPr>
        <w:spacing w:after="0" w:line="117" w:lineRule="exact"/>
        <w:rPr>
          <w:rFonts w:ascii="Times New Roman" w:cs="Times New Roman" w:eastAsia="Times New Roman" w:hAnsi="Times New Roman"/>
          <w:sz w:val="14"/>
          <w:szCs w:val="14"/>
          <w:color w:val="auto"/>
        </w:rPr>
      </w:pPr>
    </w:p>
    <w:p>
      <w:pPr>
        <w:ind w:left="1020" w:right="160" w:hanging="503"/>
        <w:spacing w:after="0" w:line="282"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shareholders at annual or special shareholder meetings.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ITEM 1B. UNRESOLVED STAFF COMMENTS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1C. CYBERSECURITY</w:t>
      </w:r>
    </w:p>
    <w:p>
      <w:pPr>
        <w:spacing w:after="0" w:line="18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cybersecurity is critical, and recognize the importance of assessing, identifying and managing material risks associated with cybersecurity threats defined in Item 106(a) of Regulation S-K. These risks include, among others described in our risk factor disclosures in Item 1A of this Annual Report on Form 10-K: operational risks, fraud, harm to employees or customers and violation of data privacy or security laws. These cybersecurity risks make it necessary that we incur significant expenditures on cybersecurity.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8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audit committee of our board of directors is formally charged with oversight of cybersecurity risk. This includes reviewing the Company’s cybersecurity and other information technology risks, controls and procedures, including a high-level review of the threat landscape facing the Company and the Company’s strategy to mitigate cybersecurity risks and potential breaches, and the Company’s plan to respond to data breaches.</w:t>
      </w:r>
    </w:p>
    <w:p>
      <w:pPr>
        <w:spacing w:after="0" w:line="135"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Identifying and assessing our cybersecurity risk is integrated into our overall risk management systems and processes. As part of our program, our internal audit team facilitates an annual risk assessment that includes assessing cybersecurity and other technology risks. The results are shared with the board of directors during a regular board meeting. In addition, a quarterly cyber risk assessment process run by our information technology team, including our vice president of information technology, is shared with the audit committee. The chair of the audit committee reports on significant cybersecurity updates to the full board of directors during executive sessions of our quarterly meetings. Our audit committee members also engage in conversations throughout the year with management on cybersecurity events and discuss any updates to our cybersecurity processes, systems and programs.</w:t>
      </w:r>
    </w:p>
    <w:p>
      <w:pPr>
        <w:spacing w:after="0" w:line="14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processes are overseen by leaders from our information technology, compliance and legal teams. Our vice president of information technology has over 30 years of experience leading information technology organizations. Other individual leaders within these teams have on average over 20 years of experience in roles involving information technology, including security and compliance.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implemented several measures to identify and assess our cybersecurity threats. We self-assess maturity levels along with areas of risk for the cyber kill chain using the ISO/IEC 33004:2015 Process Maturity Model. Within this model, our risk dashboard is continually assessed based on eight key initiatives: reconnaissance, intrusion, exploitation, privilege escalation, lateral movement, obfuscation/anti-forensics, denial of service and exfiltration. Along with this model, we engage and utilize various third parties to measure risk profiles of ourselves and vendors, to identify security threats specific to our Company both internal and external through multiple avenues such as our website and social media and to perform periodic penetration tests on Company systems to identify cybersecurity risks and threats to the Company. These evaluations include testing both the design and operational effectiveness of security controls. We recognize a cybersecurity incident experienced by a supplier or vendor could materially impact us. We assess third party cybersecurity controls as part of our third-party information technology risk when integrating new tools or third parties. We contractually require third parties to report cybersecurity incidents, if applicable, to us so we can assess the impact of the incident and any necessary regulatory reporting obligations that may be required. Additionally, as part of the contract management process, new information technology vendors are subject to a cybersecurity review by the information technology team and include cybersecurity and data privacy language, if applicable, in contracts.</w:t>
      </w:r>
    </w:p>
    <w:p>
      <w:pPr>
        <w:spacing w:after="0" w:line="16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Training of employees, utilization of incident response plans, payment card industry audits, and SOX testing are all processes by which we seek to prevent, detect, mitigate and remediate cybersecurity incidents. In the event of a security or data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3" w:name="page24"/>
    <w:bookmarkEnd w:id="23"/>
    <w:p>
      <w:pPr>
        <w:ind w:right="100"/>
        <w:spacing w:after="0" w:line="282" w:lineRule="auto"/>
        <w:rPr>
          <w:sz w:val="20"/>
          <w:szCs w:val="20"/>
          <w:color w:val="auto"/>
        </w:rPr>
      </w:pPr>
      <w:r>
        <w:rPr>
          <w:rFonts w:ascii="Times New Roman" w:cs="Times New Roman" w:eastAsia="Times New Roman" w:hAnsi="Times New Roman"/>
          <w:sz w:val="18"/>
          <w:szCs w:val="18"/>
          <w:color w:val="auto"/>
        </w:rPr>
        <w:t>incident, the impact is evaluated, ranked by severity, and prioritized for remediation. Incidents deemed to have a moderate or higher business impact, even if immaterial to the Company, are reported to the audit committee.</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Notwithstanding our risk management efforts related to cybersecurity, we may not be successful in preventing or mitigating a cybersecurity incident that could have a material or other adverse effect on us. See Item 1A. “Risk Factors” for a discussion of our information technology and cybersecurity risks.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fiscal 2025, we did not identify any cybersecurity threats that have materially affected or are reasonably likely to materially affect our business strategy, results of operations or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ITEM 2. PROPERTIES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location, primary use and size of our leased and owned facilities as of February 1, 2026.</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Stores</w:t>
            </w:r>
          </w:p>
        </w:tc>
        <w:tc>
          <w:tcPr>
            <w:tcW w:w="120" w:type="dxa"/>
            <w:vAlign w:val="bottom"/>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 Use</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Gross Sq Ft</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Leased/Owned</w:t>
            </w:r>
          </w:p>
        </w:tc>
      </w:tr>
      <w:tr>
        <w:trPr>
          <w:trHeight w:val="202"/>
        </w:trPr>
        <w:tc>
          <w:tcPr>
            <w:tcW w:w="2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center"/>
              <w:ind w:right="1359"/>
              <w:spacing w:after="0"/>
              <w:rPr>
                <w:sz w:val="20"/>
                <w:szCs w:val="20"/>
                <w:color w:val="auto"/>
              </w:rPr>
            </w:pPr>
            <w:r>
              <w:rPr>
                <w:rFonts w:ascii="Times New Roman" w:cs="Times New Roman" w:eastAsia="Times New Roman" w:hAnsi="Times New Roman"/>
                <w:sz w:val="16"/>
                <w:szCs w:val="16"/>
                <w:b w:val="1"/>
                <w:bCs w:val="1"/>
                <w:color w:val="auto"/>
              </w:rPr>
              <w:t>Retail Stores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9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North East</w:t>
            </w:r>
          </w:p>
        </w:tc>
        <w:tc>
          <w:tcPr>
            <w:tcW w:w="1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Maine</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12,951</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Massachusetts</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16,360</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New Jersey</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24,741</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Pennsylvania</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34,945</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Rhode Island</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14,528</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1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Illinois</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38,410</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Indiana</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14,557</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Iowa</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12,249</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Kansas</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31,430</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45,588</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Minnesota</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71,885</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Missouri</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27,692</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Nebraska</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16,755</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 Dakota</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14,557</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Ohio</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58,420</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2"/>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Dakota</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9,166</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Wisconsin</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53,646</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South</w:t>
            </w: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Alabama</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31,312</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Arkansas</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15,656</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Florida</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14,557</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Georgia</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20,041</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Kentucky</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28,582</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 Carolina</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41,672</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Oklahoma</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15,536</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Tennessee</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27,325</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Texas</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92,212</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Virginia</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31,828</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West</w:t>
            </w:r>
          </w:p>
        </w:tc>
        <w:tc>
          <w:tcPr>
            <w:tcW w:w="1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Alaska</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25,409</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Colorado</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52,840</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Oregon</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39,463</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Utah</w:t>
            </w:r>
          </w:p>
        </w:tc>
        <w:tc>
          <w:tcPr>
            <w:tcW w:w="21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15,602</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187"/>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Washington</w:t>
            </w:r>
          </w:p>
        </w:tc>
        <w:tc>
          <w:tcPr>
            <w:tcW w:w="2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15,656</w:t>
            </w: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5"/>
        </w:trPr>
        <w:tc>
          <w:tcPr>
            <w:tcW w:w="2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jc w:val="center"/>
              <w:ind w:right="135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199"/>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Mount Horeb, WI</w:t>
            </w:r>
          </w:p>
        </w:tc>
        <w:tc>
          <w:tcPr>
            <w:tcW w:w="1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Storage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7,000</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Belleville, WI</w:t>
            </w: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Outlet store/Photo studio</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17,890</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03"/>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Oshkosh, WI</w:t>
            </w:r>
          </w:p>
        </w:tc>
        <w:tc>
          <w:tcPr>
            <w:tcW w:w="1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Outlet store</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12,777</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Red Wing, MN</w:t>
            </w: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Outlet store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15,560</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2"/>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Mount Horeb, WI</w:t>
            </w:r>
          </w:p>
        </w:tc>
        <w:tc>
          <w:tcPr>
            <w:tcW w:w="1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Corporate headquarters</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108,000</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Kowloon, Hong Kong</w:t>
            </w: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Office</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1,855</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Belleville, WI</w:t>
            </w:r>
          </w:p>
        </w:tc>
        <w:tc>
          <w:tcPr>
            <w:tcW w:w="1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Fulfillment center</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220,000</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Adairsville, GA</w:t>
            </w: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Fulfillment center</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494,144</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Salt Lake City, UT</w:t>
            </w:r>
          </w:p>
        </w:tc>
        <w:tc>
          <w:tcPr>
            <w:tcW w:w="1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Fulfillment center</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228,800</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Leased</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consider these properties to be in good condition and believe that our facilities are adequate for our operations and provide sufficient capacity to meet our anticipated requirements. The leases on our retail stores expire at various times and are subject to renewal options and rent escalation provisions. As we approach lease renewals for about 10% of our stores through 2026, we are thoroughly evaluating each location for remodel, relocation, or exit based on enhance performance standards.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LEGAL PROCEEDINGS</w:t>
      </w:r>
    </w:p>
    <w:p>
      <w:pPr>
        <w:spacing w:after="0" w:line="19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any officers or director, except as disclosed below, or arrangements or understandings between any officer and any other person pursuant to which the officer was selected. The information presented below is as of March 20, 2026.</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2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4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Office</w:t>
            </w:r>
          </w:p>
        </w:tc>
      </w:tr>
      <w:tr>
        <w:trPr>
          <w:trHeight w:val="174"/>
        </w:trPr>
        <w:tc>
          <w:tcPr>
            <w:tcW w:w="2260" w:type="dxa"/>
            <w:vAlign w:val="bottom"/>
            <w:tcBorders>
              <w:left w:val="single" w:sz="8" w:color="auto"/>
              <w:right w:val="single" w:sz="8" w:color="auto"/>
            </w:tcBorders>
          </w:tcPr>
          <w:p>
            <w:pPr>
              <w:ind w:left="120"/>
              <w:spacing w:after="0" w:line="175" w:lineRule="exact"/>
              <w:rPr>
                <w:sz w:val="20"/>
                <w:szCs w:val="20"/>
                <w:color w:val="auto"/>
              </w:rPr>
            </w:pPr>
            <w:r>
              <w:rPr>
                <w:rFonts w:ascii="Times New Roman" w:cs="Times New Roman" w:eastAsia="Times New Roman" w:hAnsi="Times New Roman"/>
                <w:sz w:val="18"/>
                <w:szCs w:val="18"/>
                <w:color w:val="auto"/>
              </w:rPr>
              <w:t>Stephanie L. Pugliese</w:t>
            </w:r>
          </w:p>
        </w:tc>
        <w:tc>
          <w:tcPr>
            <w:tcW w:w="560" w:type="dxa"/>
            <w:vAlign w:val="bottom"/>
            <w:tcBorders>
              <w:right w:val="single" w:sz="8" w:color="auto"/>
            </w:tcBorders>
          </w:tcPr>
          <w:p>
            <w:pPr>
              <w:jc w:val="right"/>
              <w:ind w:right="110"/>
              <w:spacing w:after="0" w:line="175" w:lineRule="exact"/>
              <w:rPr>
                <w:sz w:val="20"/>
                <w:szCs w:val="20"/>
                <w:color w:val="auto"/>
              </w:rPr>
            </w:pPr>
            <w:r>
              <w:rPr>
                <w:rFonts w:ascii="Times New Roman" w:cs="Times New Roman" w:eastAsia="Times New Roman" w:hAnsi="Times New Roman"/>
                <w:sz w:val="18"/>
                <w:szCs w:val="18"/>
                <w:color w:val="auto"/>
              </w:rPr>
              <w:t>55</w:t>
            </w:r>
          </w:p>
        </w:tc>
        <w:tc>
          <w:tcPr>
            <w:tcW w:w="8420" w:type="dxa"/>
            <w:vAlign w:val="bottom"/>
            <w:tcBorders>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8"/>
                <w:szCs w:val="18"/>
                <w:color w:val="auto"/>
              </w:rPr>
              <w:t>Ms. Pugliese has been a member of our Board of Directors and has served as the Company’s President and Chief</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Officer since May 2025. A 30-year retail veteran, Ms. Pugliese brings a wealth of branded apparel,</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retail and merchandising experience to the Company. She first joined Duluth Trading in November 2008 as Vice</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 of Product and Merchandising. In July 2010, Ms. Pugliese was promoted to Senior Vice President,</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Head of Merchandising and Chief Marketing Officer. In February 2012, she was again promoted to President and</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Marketing Officer. From February 2014 to February 2015, Ms. Pugliese served as President and Chief</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Operating Officer, and from February 2015 to August 2019, Ms. Pugliese served as President and Chief</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Officer of Duluth Trading. From September 2019 to May 2020, Ms. Pugliese served as President of</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North America for Under Armour, Inc. and as its President of the Americas from June 2020 until March 2023.</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Ms. Pugliese has served on the board of Fortune Brands Innovations, Inc. since March 2023 and served on the</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board of American Eagle Outfitters from August 2024 to April 2025. She also currently serves on the Advisory</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Board of the Women in Retail Leadership Circle and Cooper’s Hawk Winery and Restaurants. Earlier in her</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career, Ms. Pugliese held several executive positions with Lands’ End, Inc. from 2005 to 2008 and Ann, Inc.</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from 2000 to 2003. Ms. Pugliese holds a Bachelor of Science degree in Business from New York University</w:t>
            </w:r>
          </w:p>
        </w:tc>
      </w:tr>
      <w:tr>
        <w:trPr>
          <w:trHeight w:val="24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Stern School of Business.</w:t>
            </w:r>
          </w:p>
        </w:tc>
      </w:tr>
      <w:tr>
        <w:trPr>
          <w:trHeight w:val="432"/>
        </w:trPr>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25</w:t>
            </w:r>
          </w:p>
        </w:tc>
      </w:tr>
      <w:tr>
        <w:trPr>
          <w:trHeight w:val="763"/>
        </w:trPr>
        <w:tc>
          <w:tcPr>
            <w:tcW w:w="2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214"/>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Heena K. Agrawal</w:t>
            </w:r>
          </w:p>
        </w:tc>
        <w:tc>
          <w:tcPr>
            <w:tcW w:w="54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84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Ms. Agrawal has served as Senior Vice President and Chief Financial Officer of Duluth Holdings Inc. since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February 2024. In this role, she oversees Strategy, Finance &amp; Accounting, Information Technology, Procurement,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Real Estate, and Investor Relations. Ms. Agrawal is a proven executive with over 20 years of leadership</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experience and a track record of driving superior results across global public companies and small-cap</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corporations. Her career includes progressively senior roles at Procter &amp; Gamble, Walgreens Boots Alliance, and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Underwriters Laboratories. Most recently, she served as VP, Finance at Kontoor Brands, where she led financial</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strategy and P/L for the multi-billion dollar Global Wrangler brand and Global Supply Chain operations. A</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dedicated community leader, Ms. Agrawal currently serves on the Board of Directors for the Madison CFA</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Society and was previously an Elected Member of the District 125 Board of Education. She holds a Bachelor of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Commerce from Narsee Monjee College, an M.B.A. from the Kelley School of Business at Indiana University,</w:t>
            </w:r>
          </w:p>
        </w:tc>
      </w:tr>
      <w:tr>
        <w:trPr>
          <w:trHeight w:val="261"/>
        </w:trPr>
        <w:tc>
          <w:tcPr>
            <w:tcW w:w="2280" w:type="dxa"/>
            <w:vAlign w:val="bottom"/>
            <w:tcBorders>
              <w:left w:val="single" w:sz="8" w:color="auto"/>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8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22222"/>
              </w:rPr>
              <w:t>and is both a CPA (inactive) and a CFA charterholder.</w:t>
            </w:r>
          </w:p>
        </w:tc>
      </w:tr>
      <w:tr>
        <w:trPr>
          <w:trHeight w:val="178"/>
        </w:trPr>
        <w:tc>
          <w:tcPr>
            <w:tcW w:w="2280" w:type="dxa"/>
            <w:vAlign w:val="bottom"/>
            <w:tcBorders>
              <w:left w:val="single" w:sz="8" w:color="auto"/>
              <w:right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David S. Homolka</w:t>
            </w:r>
          </w:p>
        </w:tc>
        <w:tc>
          <w:tcPr>
            <w:tcW w:w="540" w:type="dxa"/>
            <w:vAlign w:val="bottom"/>
            <w:tcBorders>
              <w:right w:val="single" w:sz="8" w:color="auto"/>
            </w:tcBorders>
          </w:tcPr>
          <w:p>
            <w:pPr>
              <w:jc w:val="right"/>
              <w:ind w:right="110"/>
              <w:spacing w:after="0" w:line="177" w:lineRule="exact"/>
              <w:rPr>
                <w:sz w:val="20"/>
                <w:szCs w:val="20"/>
                <w:color w:val="auto"/>
              </w:rPr>
            </w:pPr>
            <w:r>
              <w:rPr>
                <w:rFonts w:ascii="Times New Roman" w:cs="Times New Roman" w:eastAsia="Times New Roman" w:hAnsi="Times New Roman"/>
                <w:sz w:val="18"/>
                <w:szCs w:val="18"/>
                <w:color w:val="auto"/>
              </w:rPr>
              <w:t>59</w:t>
            </w:r>
          </w:p>
        </w:tc>
        <w:tc>
          <w:tcPr>
            <w:tcW w:w="842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Mr. Homolka has served as our Senior Vice President of Talent, Retail Store Operations, Contact Center</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Operations, Asset Protection &amp; Safety since February 2020 and previously served as our Vice President of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Human Resources, Store Operations and Asset Protection from January 2019 to February 2020, and Vice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 of Human Resources from February 2017 to January 2019. Mr. Homolka previously served as Chief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Property and Design Officer and Vice President of Real Estate, Store Design and Construction at Cabela’s from</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October 2015 to February 2017 and Vice President of Human Resources and Asset Protection from January 2012</w:t>
            </w:r>
          </w:p>
        </w:tc>
      </w:tr>
      <w:tr>
        <w:trPr>
          <w:trHeight w:val="241"/>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8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October 2015.</w:t>
            </w: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Richard W. Schlecht</w:t>
            </w:r>
          </w:p>
        </w:tc>
        <w:tc>
          <w:tcPr>
            <w:tcW w:w="540" w:type="dxa"/>
            <w:vAlign w:val="bottom"/>
            <w:tcBorders>
              <w:right w:val="single" w:sz="8" w:color="auto"/>
            </w:tcBorders>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84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Mr. Schlecht has served as our Senior Vice President of Product Development and Sourcing since October 2023,</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has previously served as our Senior Vice President of Product, Merchandise and Inventory from March 2022</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October 2023, Senior Vice President of Product, Visual and Creative from February 2020 to March 2022, Vice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 of Product Development from March 2016 to February 2020 and Director of Product Development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from September 2013 to March 2016. Mr. Schlecht holds a BSBA degree with a minor in Statistics from Denver</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University. Mr. Schlecht is the son of Stephen L. Schlecht, the Chairman of the Board of Directors of Duluth</w:t>
            </w:r>
          </w:p>
        </w:tc>
      </w:tr>
      <w:tr>
        <w:trPr>
          <w:trHeight w:val="241"/>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8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Holdings Inc.</w:t>
            </w: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Garth N. Weber</w:t>
            </w:r>
          </w:p>
        </w:tc>
        <w:tc>
          <w:tcPr>
            <w:tcW w:w="540" w:type="dxa"/>
            <w:vAlign w:val="bottom"/>
            <w:tcBorders>
              <w:right w:val="single" w:sz="8" w:color="auto"/>
            </w:tcBorders>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56</w:t>
            </w:r>
          </w:p>
        </w:tc>
        <w:tc>
          <w:tcPr>
            <w:tcW w:w="84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Mr. Weber has served as our Senior Vice President, Chief Brand and Marketing Officer since August 2024,</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serving as caretaker of brand and marketing across all facets of the company. From July 2023 to August 2024,</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Mr. Weber served as our Vice President of Brand and Marketing, taking on successively greater responsibility of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company’s brand, marketing, and customer analytics functions. Prior to joining Duluth Trading, he served as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Vice President of Brand and Creative at Wilson Sporting Goods from 2021 to 2023, a manufacturer and retailer</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high-performance sports equipment, apparel, footwear and accessories. Previously, he spent nearly 5 years at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adidas as Senior Director of Global Brand Design. Mr. Weber earned a Bachelor of Arts degree in Philosophy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from Wheaton College and a Master of Fine Arts degree in Fiction from the State University of New York</w:t>
            </w:r>
          </w:p>
        </w:tc>
      </w:tr>
      <w:tr>
        <w:trPr>
          <w:trHeight w:val="241"/>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84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Brockport.</w:t>
            </w:r>
          </w:p>
        </w:tc>
      </w:tr>
      <w:tr>
        <w:trPr>
          <w:trHeight w:val="432"/>
        </w:trPr>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26</w:t>
            </w:r>
          </w:p>
        </w:tc>
      </w:tr>
      <w:tr>
        <w:trPr>
          <w:trHeight w:val="763"/>
        </w:trPr>
        <w:tc>
          <w:tcPr>
            <w:tcW w:w="2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ITEM 5. MARKET FOR THE REGISTRANT’S COMMON EQUITY, RELATED SHAREHOLDER MATTERS AND ISSUER PURCHASES OF EQUITY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Listing and Trading</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Class B common stock has been traded on the NASDAQ Global Select Market under the symbol “DLTH,” since our initial public offering on November 19, 2015. Our Class A common stock is neither listed nor traded on an exchange.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of Record</w:t>
      </w:r>
    </w:p>
    <w:p>
      <w:pPr>
        <w:spacing w:after="0" w:line="20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Based upon data provided by our transfer agent, as of March 20, 2026, there were approximately 107 holders of record of our Class B common stock, one of whom is the sole holder of our Class A common stock. We believe the number of beneficial holders of the Company’s Class B common stock is in excess of this amount.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Our Class B common stock began trading on November 19, 2015. Since that time, we have not declared any cash dividends, and we do not anticipate declaring any cash dividends in the foreseeable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is set forth in Part III, Item 12. Security Ownership of Beneficial Owners and Management and Related Shareholder Matters.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[RESERVED]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42" w:lineRule="exact"/>
        <w:rPr>
          <w:sz w:val="20"/>
          <w:szCs w:val="20"/>
          <w:color w:val="auto"/>
        </w:rPr>
      </w:pPr>
    </w:p>
    <w:p>
      <w:pPr>
        <w:jc w:val="both"/>
        <w:ind w:right="100" w:firstLine="509"/>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Management’s discussion focuses on fiscal 2025 results compared to fiscal 2024. Fiscal year 2025 was a 52-week period and 2024 was a 53-week period. For a discussion of fiscal 2024 results compared to fiscal 2023, refer to the Company’s Annual Report on </w:t>
      </w:r>
      <w:hyperlink r:id="rId38">
        <w:r>
          <w:rPr>
            <w:rFonts w:ascii="Times New Roman" w:cs="Times New Roman" w:eastAsia="Times New Roman" w:hAnsi="Times New Roman"/>
            <w:sz w:val="18"/>
            <w:szCs w:val="18"/>
            <w:i w:val="1"/>
            <w:iCs w:val="1"/>
            <w:u w:val="single" w:color="auto"/>
            <w:color w:val="0000FF"/>
          </w:rPr>
          <w:t>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February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-176530</wp:posOffset>
            </wp:positionV>
            <wp:extent cx="511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111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a lifestyle brand of men’s and women’s workwear, casual wear, outdoor apparel and accessories sold primarily through our own omnichannel platform. We offer products nationwide through our website and direct mail. In 2010, we initiated our omnichannel platform with the opening of our first store. Since then, we have expanded our retail presence, and as of February 1, 2026, we operated 63 retail stores and three outlet stores.</w:t>
      </w:r>
    </w:p>
    <w:p>
      <w:pPr>
        <w:spacing w:after="0" w:line="142" w:lineRule="exact"/>
        <w:rPr>
          <w:sz w:val="20"/>
          <w:szCs w:val="20"/>
          <w:color w:val="auto"/>
        </w:rPr>
      </w:pPr>
    </w:p>
    <w:p>
      <w:pPr>
        <w:ind w:right="120" w:firstLine="509"/>
        <w:spacing w:after="0" w:line="217" w:lineRule="auto"/>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work pants and No-Yank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7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8" w:name="page29"/>
    <w:bookmarkEnd w:id="28"/>
    <w:p>
      <w:pPr>
        <w:ind w:right="80"/>
        <w:spacing w:after="0" w:line="282" w:lineRule="auto"/>
        <w:rPr>
          <w:sz w:val="20"/>
          <w:szCs w:val="20"/>
          <w:color w:val="auto"/>
        </w:rPr>
      </w:pPr>
      <w:r>
        <w:rPr>
          <w:rFonts w:ascii="Times New Roman" w:cs="Times New Roman" w:eastAsia="Times New Roman" w:hAnsi="Times New Roman"/>
          <w:sz w:val="18"/>
          <w:szCs w:val="18"/>
          <w:color w:val="auto"/>
        </w:rPr>
        <w:t>awareness, built a loyal customer base and generated sales growth. We have done so by sticking to our roots of “there’s gotta be a better way” and through our relentless focus on providing our customers with quality, functional products.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Net sales in fiscal 2025 decreased by 9.8% compared to the prior year to $565.2 million;</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Net loss in fiscal 2025 was ($16.2) million compared to prior year net loss of ($43.6) million; and</w:t>
      </w:r>
    </w:p>
    <w:p>
      <w:pPr>
        <w:spacing w:after="0" w:line="117"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Adjusted EBITDA in fiscal 2025 increased to $24.9 million compared to the prior year of $14.6 million.</w:t>
      </w:r>
    </w:p>
    <w:p>
      <w:pPr>
        <w:spacing w:after="0" w:line="18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See “Reconciliation of Net (Loss) Income to EBITDA and EBITDA to Adjusted EBITDA” section for a reconciliation of our net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3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direct mail sales. Market areas are determined by a third-party that divides the United States and Puerto Rico into 280 unique geographical areas. Our store market sales metrics include sales from our stores, website and direct mail. Our non-store market sales metrics include sales from our website, direct mail and orders placed through the call center.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to a customer, while store sales are recognized at the point of sale.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fulfillment centers to our retail stores. The primary drivers of the costs of individual goods are raw material costs. Depreciation and amortization are excluded from gross profit. Shipping and handling revenue is also reflected in our gross profit and gross profit margin. Our gross profit may not be comparable to other retailers, as we do not include distribution network and store occupancy expenses in calculating gross profit, but instead we include them in selling, general and administrative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digital and social media advertising, print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While we expect these expenses to increase as we continue to increase brand awareness and invest in infrastructure to support our business, we believe these expenses will decrease as a percentage of sales over time. Our shipping and handling expenses typically increase during the second half of the year due to additional surcharges during our peak selling season.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8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29" w:name="page30"/>
    <w:bookmarkEnd w:id="29"/>
    <w:p>
      <w:pPr>
        <w:ind w:right="420"/>
        <w:spacing w:after="0" w:line="282" w:lineRule="auto"/>
        <w:rPr>
          <w:sz w:val="20"/>
          <w:szCs w:val="20"/>
          <w:color w:val="auto"/>
        </w:rPr>
      </w:pPr>
      <w:r>
        <w:rPr>
          <w:rFonts w:ascii="Times New Roman" w:cs="Times New Roman" w:eastAsia="Times New Roman" w:hAnsi="Times New Roman"/>
          <w:sz w:val="18"/>
          <w:szCs w:val="18"/>
          <w:color w:val="auto"/>
        </w:rPr>
        <w:t>comparison of our operating performance on a consistent basis from period-to-period and to provide for a more complete understanding of factors and trends affecting our business.</w:t>
      </w:r>
    </w:p>
    <w:p>
      <w:pPr>
        <w:spacing w:after="0" w:line="13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define Adjusted EBITDA as consolidated net (loss) income before depreciation and amortization, and interest expense, including non-cash and other items we do not consider representative of our ongoing operating performance. We believe Adjusted EBITDA is less susceptible to variances in actual performance resulting from depreciation, amortization and other items. This non-GAAP measure may not be comparable to similarly titled measures used by other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believe Free Cash Flow is a useful measure of performance as an indication of the Company’s ability to generate cash and provides additional perspective on our ability to efficiently use capital in executing our business strategy. We use Free Cash Flow to facilitate a comparison of our operating performance on a consistent basis from period-to-period and our ability to generate cash.</w:t>
      </w:r>
    </w:p>
    <w:p>
      <w:pPr>
        <w:spacing w:after="0" w:line="14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less purchase of property and equipment. This non-GAAP measure may not be comparable to similarly titled measures used by other companies.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periods indicated, both in dollars and as a percentage of net sales.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4"/>
          </w:tcPr>
          <w:p>
            <w:pPr>
              <w:jc w:val="right"/>
              <w:ind w:right="1311"/>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February 1, 2026</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February 2, 2025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565,184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626,629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263,570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318,119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301,614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308,510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310,546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337,623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1,225</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7,748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5,202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1,185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8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Pr>
          <w:p>
            <w:pPr>
              <w:spacing w:after="0"/>
              <w:rPr>
                <w:sz w:val="18"/>
                <w:szCs w:val="18"/>
                <w:color w:val="auto"/>
              </w:rPr>
            </w:pPr>
          </w:p>
        </w:tc>
        <w:tc>
          <w:tcPr>
            <w:tcW w:w="1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49"/>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8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629"/>
        </w:trPr>
        <w:tc>
          <w:tcPr>
            <w:tcW w:w="4980" w:type="dxa"/>
            <w:vAlign w:val="bottom"/>
          </w:tcPr>
          <w:p>
            <w:pPr>
              <w:spacing w:after="0"/>
              <w:rPr>
                <w:sz w:val="24"/>
                <w:szCs w:val="24"/>
                <w:color w:val="auto"/>
              </w:rPr>
            </w:pPr>
          </w:p>
        </w:tc>
        <w:tc>
          <w:tcPr>
            <w:tcW w:w="18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-4053840</wp:posOffset>
            </wp:positionV>
            <wp:extent cx="1460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-2922270</wp:posOffset>
            </wp:positionV>
            <wp:extent cx="1460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-2905125</wp:posOffset>
            </wp:positionV>
            <wp:extent cx="1460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-2065020</wp:posOffset>
            </wp:positionV>
            <wp:extent cx="146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-933450</wp:posOffset>
            </wp:positionV>
            <wp:extent cx="1460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-916305</wp:posOffset>
            </wp:positionV>
            <wp:extent cx="1460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Fiscal 2025 Compared to Fiscal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sales decreased $61.4 million, or 9.8%, to $565.2 million in fiscal 2025 compared to $626.6 million in fiscal 2024. The decrease in net sales was driven by a decline in direct-to-consumer net sales resulting from declines in web traffic and web conversion due to reduced promotional activity partially offset by higher average order values. The decrease was also attributed to one less week in fiscal 2025 (52-weeks) compared to fiscal 2024 (53-weeks). The decline in direct-to-consumer net sales was partially offset by an increase in store net sales driven by improved shopper conversion, higher average order values, and the opening of two new stores.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Gross profit decreased $6.9 million, or 2.2%, to $301.6 million in fiscal 2025 compared to $308.5 million in fiscal 2024. As a percentage of net sales, gross margin increased to 53.4% of net sales in fiscal 2025 compared to 49.2% of net sales in fiscal 2024. The increase in gross margin rate was primarily driven by an increase in average unit retail sales from reduced promotional activity coupled with an improvement in product costs from our direct to factory sourcing initiative, partially offset by tariff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$27.1 million, or 8.0%, to $310.5 million in fiscal 2025 compared to $337.6 million in fiscal 2024. Selling, general and administrative expenses as a percentage of net sales was 54.9% in fiscal 2025 compared to 53.9% in fiscal 2024.</w:t>
      </w:r>
    </w:p>
    <w:p>
      <w:pPr>
        <w:spacing w:after="0" w:line="13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as a percentage of net sales was mainly driven by the decrease in net sales. W</w:t>
      </w:r>
      <w:r>
        <w:rPr>
          <w:rFonts w:ascii="Times New Roman" w:cs="Times New Roman" w:eastAsia="Times New Roman" w:hAnsi="Times New Roman"/>
          <w:sz w:val="18"/>
          <w:szCs w:val="18"/>
          <w:color w:val="222222"/>
        </w:rPr>
        <w:t>e are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able to reduce SG&amp;A at the same pace as the decline in sales as a result of our fixed cost base.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increased $0.6 million to $5.2 million in fiscal 2025 compared to $4.6 million in fiscal 2024. The increase in interest expense was primarily attributable to higher outstanding debt throughout fiscal 2025 compared to fiscal 2024 partially offset by a decrease in interest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was $1.2 million in fiscal 2025 compared to income tax expense of $2.4 million in fiscal 2024. Our effective tax rate related to controlling interest was (7.8%) in fiscal 2025 compared to (5.7%) in fiscal 2024. The provision for fiscal 2025 and fiscal 2024 reflected the establishment of a valuation allowance against the net amount of deferred tax assets as well as pre-tax loss in the current and prior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controlling interest was ($16.4) million in fiscal 2025 compared to ($43.7) million in fiscal 2024, due to the factors discussed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above section titled “How We Assess the Performance of Our Business,” for our definition of Adjusted EBITDA and Free Cash Flow.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EBITDA and EBITDA to Adjusted EBITDA</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reconciliations of net (loss) income to EBITDA and EBITDA to Adjusted EBITDA for the periods indicated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February 1, 2026</w:t>
            </w:r>
          </w:p>
        </w:tc>
        <w:tc>
          <w:tcPr>
            <w:tcW w:w="2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0" w:type="dxa"/>
            <w:vAlign w:val="bottom"/>
          </w:tcPr>
          <w:p>
            <w:pPr>
              <w:spacing w:after="0"/>
              <w:rPr>
                <w:sz w:val="1"/>
                <w:szCs w:val="1"/>
                <w:color w:val="auto"/>
              </w:rPr>
            </w:pPr>
          </w:p>
        </w:tc>
      </w:tr>
      <w:tr>
        <w:trPr>
          <w:trHeight w:val="216"/>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25,471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31,133</w:t>
            </w: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300" w:type="dxa"/>
            <w:vAlign w:val="bottom"/>
            <w:shd w:val="clear" w:color="auto" w:fill="CFF0FC"/>
          </w:tcPr>
          <w:p>
            <w:pPr>
              <w:spacing w:after="0"/>
              <w:rPr>
                <w:sz w:val="20"/>
                <w:szCs w:val="20"/>
                <w:color w:val="auto"/>
              </w:rPr>
            </w:pPr>
          </w:p>
        </w:tc>
        <w:tc>
          <w:tcPr>
            <w:tcW w:w="1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4,732</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216"/>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5,202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1,185</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EBITDA (non-GAAP)</w:t>
            </w:r>
          </w:p>
        </w:tc>
        <w:tc>
          <w:tcPr>
            <w:tcW w:w="300" w:type="dxa"/>
            <w:vAlign w:val="bottom"/>
          </w:tcPr>
          <w:p>
            <w:pPr>
              <w:spacing w:after="0"/>
              <w:rPr>
                <w:sz w:val="18"/>
                <w:szCs w:val="18"/>
                <w:color w:val="auto"/>
              </w:rPr>
            </w:pPr>
          </w:p>
        </w:tc>
        <w:tc>
          <w:tcPr>
            <w:tcW w:w="1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20,341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incentive expense</w:t>
            </w: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2,811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216"/>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 expense</w:t>
            </w:r>
          </w:p>
        </w:tc>
        <w:tc>
          <w:tcPr>
            <w:tcW w:w="300" w:type="dxa"/>
            <w:vAlign w:val="bottom"/>
          </w:tcPr>
          <w:p>
            <w:pPr>
              <w:spacing w:after="0"/>
              <w:rPr>
                <w:sz w:val="18"/>
                <w:szCs w:val="18"/>
                <w:color w:val="auto"/>
              </w:rPr>
            </w:pPr>
          </w:p>
        </w:tc>
        <w:tc>
          <w:tcPr>
            <w:tcW w:w="1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Restructuring expense</w:t>
            </w: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1,225</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24,926</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14,624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-728345</wp:posOffset>
            </wp:positionV>
            <wp:extent cx="1714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1714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increased to $24.9 million from $14.6 million in fiscal 2024. As a percentage of net sales, Adjusted EBITDA increased to 4.4% of net sales in fiscal 2025 compared to 2.3% of net sales in fiscal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reconciliation of Net cash provided by operating activities, the most comparable U.S. GAAP financial measure, to free cash flow.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February 1, 2026</w:t>
            </w:r>
          </w:p>
        </w:tc>
        <w:tc>
          <w:tcPr>
            <w:tcW w:w="6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560" w:type="dxa"/>
            <w:vAlign w:val="bottom"/>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96"/>
              </w:rPr>
              <w:t>24,172</w:t>
            </w:r>
          </w:p>
        </w:tc>
        <w:tc>
          <w:tcPr>
            <w:tcW w:w="6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560" w:type="dxa"/>
            <w:vAlign w:val="bottom"/>
            <w:tcBorders>
              <w:bottom w:val="single" w:sz="8" w:color="auto"/>
            </w:tcBorders>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96"/>
              </w:rPr>
              <w:t>16,572</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171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1714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1714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Free cash flow increased $41.8 million to $16.6 million in fiscal 2025 compared to ($25.2) million in fiscal 2024. The increase was primarily driven by lower inventory levels compared to an increase in inventory in the prior year coupled with a decrease in purchases of property and equipment.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As of February 1, 2026 our working capital was $63.8 million, which includes cash and cash equivalents of $16.3 million.</w:t>
      </w:r>
    </w:p>
    <w:p>
      <w:pPr>
        <w:spacing w:after="0" w:line="11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spent $17.8 million in fiscal 2025 on capital expenditures, inclusive of investments in software hosting implementation costs, which are included in Prepaid expenses &amp; other current assets on the Company’s Consolidated Balance Sheets.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typically occurs in the fourth quarter of our fiscal year. We also use cash in our investing activities for capital expenditures throughout all four quarters of our fiscal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2" w:name="page33"/>
    <w:bookmarkEnd w:id="32"/>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February 1, 2026</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56"/>
        </w:trPr>
        <w:tc>
          <w:tcPr>
            <w:tcW w:w="69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24,172</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13,010</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-170815</wp:posOffset>
            </wp:positionV>
            <wp:extent cx="1460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8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Operating activities consist primarily of net (loss) income adjusted for non-cash items that include depreciation and amortization, stock-based compensation and the effect of changes in assets and liabilities.</w:t>
      </w:r>
    </w:p>
    <w:p>
      <w:pPr>
        <w:spacing w:after="0" w:line="13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fiscal 2025, net cash provided by (used in) operating activities was $24.2 million, which primarily consisted of non-cash depreciation and amortization of $25.5 million, amortization of stock-based compensation of $2.5 million and cash provided by operating assets and liabilities of $11.3 million, partially offset by a net loss of ($16.2) million. The cash provided by operating assets and liabilities of $11.3 million primarily consisted of a $35.2 million decrease in inventory partially offset by a $24.9 million decrease in trade accounts payable.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inventory and trade accounts payable was primarily driven by lower receipts in 2025 to better align with sales.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fiscal 2024, net cash used in operating activities was $16.9 million, which primarily consisted of non-cash depreciation and amortization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$32.3 million and amortization of stock-based compensation of $4.0 million, offset by cash used in operating assets and liabilities of $12.0 million and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of ($43.6) million. The cash used in operating assets and liabilities of $12.0 million primarily consisted of a $40.8 million increase in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a $22.9 million increase in trade accounts payable.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infrastructure, retail stores and information technology.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fiscal 2025, net cash used in investing activities was $7.4 million, driven by purchases of property and equipment of $7.6 million.</w:t>
      </w:r>
    </w:p>
    <w:p>
      <w:pPr>
        <w:spacing w:after="0" w:line="198" w:lineRule="exact"/>
        <w:rPr>
          <w:sz w:val="20"/>
          <w:szCs w:val="20"/>
          <w:color w:val="auto"/>
        </w:rPr>
      </w:pPr>
    </w:p>
    <w:p>
      <w:pPr>
        <w:ind w:right="1100" w:firstLine="509"/>
        <w:spacing w:after="0" w:line="453" w:lineRule="auto"/>
        <w:rPr>
          <w:sz w:val="20"/>
          <w:szCs w:val="20"/>
          <w:color w:val="auto"/>
        </w:rPr>
      </w:pPr>
      <w:r>
        <w:rPr>
          <w:rFonts w:ascii="Times New Roman" w:cs="Times New Roman" w:eastAsia="Times New Roman" w:hAnsi="Times New Roman"/>
          <w:sz w:val="18"/>
          <w:szCs w:val="18"/>
          <w:color w:val="auto"/>
        </w:rPr>
        <w:t xml:space="preserve">For fiscal 2024, net cash used in investing activities was $8.1 million, driven by purchases of property and equipment of $8.3 million. </w:t>
      </w:r>
      <w:r>
        <w:rPr>
          <w:rFonts w:ascii="Times New Roman" w:cs="Times New Roman" w:eastAsia="Times New Roman" w:hAnsi="Times New Roman"/>
          <w:sz w:val="18"/>
          <w:szCs w:val="18"/>
          <w:b w:val="1"/>
          <w:bCs w:val="1"/>
          <w:i w:val="1"/>
          <w:iCs w:val="1"/>
          <w:color w:val="auto"/>
        </w:rPr>
        <w:t>Net Cash Used in Financing Activities</w:t>
      </w:r>
    </w:p>
    <w:p>
      <w:pPr>
        <w:spacing w:after="0" w:line="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as well as payments on finance lease obligations.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fiscal 2025 and fiscal 2024, net cash used in financing activities was $3.8 million, primarily consisting of payments on finance lease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89"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On May 14, 2021, the Company terminated its prior credit agreement, and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3" w:name="page34"/>
    <w:bookmarkEnd w:id="33"/>
    <w:p>
      <w:pPr>
        <w:ind w:right="20"/>
        <w:spacing w:after="0" w:line="256" w:lineRule="auto"/>
        <w:rPr>
          <w:sz w:val="20"/>
          <w:szCs w:val="20"/>
          <w:color w:val="auto"/>
        </w:rPr>
      </w:pPr>
      <w:r>
        <w:rPr>
          <w:rFonts w:ascii="Times New Roman" w:cs="Times New Roman" w:eastAsia="Times New Roman" w:hAnsi="Times New Roman"/>
          <w:sz w:val="18"/>
          <w:szCs w:val="18"/>
          <w:color w:val="auto"/>
        </w:rPr>
        <w:t>$5.0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required the Company to maintain compliance with certain financial and non-financial covenants, including a maximum rent adjusted leverage ratio and a minimum fixed charge coverage ratio as defined in the Credit Agreement.</w:t>
      </w:r>
    </w:p>
    <w:p>
      <w:pPr>
        <w:spacing w:after="0" w:line="160"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 modification for accounting purposes. The First Amendment amended the Credit Agreement in order to (i) increase the revolving commitment from $150.0 million to $200.0 million; (ii) extend the maturity date from May 14, 2026 to July 8, 2027; (iii) amend the pricing index to replace BSBY with the Term Secured Overnight Financing Rate; and (iv) reduce the commitment fee in some instances.</w:t>
      </w:r>
    </w:p>
    <w:p>
      <w:pPr>
        <w:spacing w:after="0" w:line="139" w:lineRule="exact"/>
        <w:rPr>
          <w:sz w:val="20"/>
          <w:szCs w:val="20"/>
          <w:color w:val="auto"/>
        </w:rPr>
      </w:pPr>
    </w:p>
    <w:p>
      <w:pPr>
        <w:ind w:right="40" w:firstLine="494"/>
        <w:spacing w:after="0" w:line="253" w:lineRule="auto"/>
        <w:rPr>
          <w:sz w:val="20"/>
          <w:szCs w:val="20"/>
          <w:color w:val="auto"/>
        </w:rPr>
      </w:pPr>
      <w:r>
        <w:rPr>
          <w:rFonts w:ascii="Times New Roman" w:cs="Times New Roman" w:eastAsia="Times New Roman" w:hAnsi="Times New Roman"/>
          <w:sz w:val="18"/>
          <w:szCs w:val="18"/>
          <w:color w:val="auto"/>
        </w:rPr>
        <w:t>On January 31, 2025 the Company entered into the Second Amendment to the Credit Agreement (the “Second Amendment”). The Second Amendment amended the Credit Agreement, in part, to (i) decrease the revolving commitment from $200 million to $100 million; (ii) revise the definition of “Applicable Rate” to provide for pricing terms in the event of a Rent Adjusted Leverage Ratio greater than or equal to 3.50:1.0; (iii) limit the exceptions to the prohibition on restricted payments to (a) making dividends or distributions by any subsidiary to the Company, and (b) the acquisition of equity interests in satisfaction of tax withholding obligations associated with restricted stock or awards under employee incentive plans; and (iv) provide that the Maximum Rent Adjusted Leverage Ratio and the Minimum Fixed Charge Coverage Ratio would be measured commencing on the fiscal quarter ending May 2, 2021 and measured quarterly thereafter as of the last day of each fiscal quarter of the Company (other than for the fiscal quarter ending February 2, 2025). The reduction in the revolving commitment was intended to rightsize the credit facility with the Company’s cash needs to fund seasonal inventory builds and capital expenditure expectations and resulted in fee savings. The Credit Agreement was extinguished on April 28, 2025, resulting in a write down of $0.2 million of debt issuance costs related to the terminated line of credit.</w:t>
      </w:r>
    </w:p>
    <w:p>
      <w:pPr>
        <w:spacing w:after="0" w:line="154" w:lineRule="exact"/>
        <w:rPr>
          <w:sz w:val="20"/>
          <w:szCs w:val="20"/>
          <w:color w:val="auto"/>
        </w:rPr>
      </w:pPr>
    </w:p>
    <w:p>
      <w:pPr>
        <w:ind w:right="200" w:firstLine="494"/>
        <w:spacing w:after="0" w:line="261" w:lineRule="auto"/>
        <w:rPr>
          <w:sz w:val="20"/>
          <w:szCs w:val="20"/>
          <w:color w:val="auto"/>
        </w:rPr>
      </w:pPr>
      <w:r>
        <w:rPr>
          <w:rFonts w:ascii="Times New Roman" w:cs="Times New Roman" w:eastAsia="Times New Roman" w:hAnsi="Times New Roman"/>
          <w:sz w:val="18"/>
          <w:szCs w:val="18"/>
          <w:color w:val="auto"/>
        </w:rPr>
        <w:t>On April 28, 2025, the Company entered into a new credit agreement (the “New Credit Agreement”) among the Company, certain financial institutions as Lenders thereto, and BMO Bank N.A., as Administrative Agent, a Swing Line Lender and a Letter of Credit Issuer. The Credit Agreement provides for borrowings of up to $100.0 million in aggregate principal amount that are available under an asset-based revolving senior credit facility (the “Revolver”) with a $10.0 million sublimit for the issuance of standby letters of credit.</w:t>
      </w:r>
    </w:p>
    <w:p>
      <w:pPr>
        <w:spacing w:after="0" w:line="153"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Under the New Credit Agreement, (i) each Secured Overnight Financing Rate (“SOFR”) loan will bear interest on the outstanding principal amount at a rate per annum equal to adjusted term SOFR plus 150 basis points; (ii) each base rate loan will bear interest on the outstanding principal amount from the applicable borrowing date at a rate per annum equal to the Base Rate (as defined in the New Credit Agreement) plus 50 basis points; (iii) each swing line loan will bear interest on the outstanding principal amount from the applicable borrowing date at a rate per annum equal to the base rate plus the applicable margin; and (iv) each other obligation will bear interest on the unpaid amount at a rate per annum equal to the base rate plus the applicable margin.</w:t>
      </w:r>
    </w:p>
    <w:p>
      <w:pPr>
        <w:spacing w:after="0" w:line="147" w:lineRule="exact"/>
        <w:rPr>
          <w:sz w:val="20"/>
          <w:szCs w:val="20"/>
          <w:color w:val="auto"/>
        </w:rPr>
      </w:pPr>
    </w:p>
    <w:p>
      <w:pPr>
        <w:ind w:right="80" w:firstLine="494"/>
        <w:spacing w:after="0" w:line="255" w:lineRule="auto"/>
        <w:rPr>
          <w:sz w:val="20"/>
          <w:szCs w:val="20"/>
          <w:color w:val="auto"/>
        </w:rPr>
      </w:pPr>
      <w:r>
        <w:rPr>
          <w:rFonts w:ascii="Times New Roman" w:cs="Times New Roman" w:eastAsia="Times New Roman" w:hAnsi="Times New Roman"/>
          <w:sz w:val="18"/>
          <w:szCs w:val="18"/>
          <w:color w:val="auto"/>
        </w:rPr>
        <w:t>The Company is also permitted to voluntarily prepay the New Credit Agreement in whole or in part at any time, where borrowings bearing interest based on the base rate may be prepaid at any time without penalty and borrowings bearing interest based on SOFR may be prepaid, subject to payment of usual and customary breakage and redeployment costs. The revolver will mature on April 28, 2030. Pursuant to the New Credit Agreement, the Company may request an increase in the revolving credit commitments in the aggregate amount of up to $25.0 million during the term of the New Credit Agreement and with the consent of the Administrative Agent, subject to credit approval of the Lenders and the satisfaction of certain conditions. The New Credit Agreement contains customary events of default and financial, affirmative and negative covenants and is secured by a first-priority perfected security interest in substantially all of the tangible and intangible assets of the Company.</w:t>
      </w:r>
    </w:p>
    <w:p>
      <w:pPr>
        <w:spacing w:after="0" w:line="148"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The new $100.0 million Revolver replaces the prior revolving credit facility at a lower interest rate and extends the availability of funds to April 28, 2030. The Company believes the New Credit Agreement will provide the Company with flexibility and liquidity to finance seasonal inventory builds.</w:t>
      </w:r>
    </w:p>
    <w:p>
      <w:pPr>
        <w:spacing w:after="0" w:line="135" w:lineRule="exact"/>
        <w:rPr>
          <w:sz w:val="20"/>
          <w:szCs w:val="20"/>
          <w:color w:val="auto"/>
        </w:rPr>
      </w:pPr>
    </w:p>
    <w:p>
      <w:pPr>
        <w:ind w:right="560" w:firstLine="494"/>
        <w:spacing w:after="0" w:line="282" w:lineRule="auto"/>
        <w:rPr>
          <w:sz w:val="20"/>
          <w:szCs w:val="20"/>
          <w:color w:val="auto"/>
        </w:rPr>
      </w:pPr>
      <w:r>
        <w:rPr>
          <w:rFonts w:ascii="Times New Roman" w:cs="Times New Roman" w:eastAsia="Times New Roman" w:hAnsi="Times New Roman"/>
          <w:sz w:val="18"/>
          <w:szCs w:val="18"/>
          <w:color w:val="auto"/>
        </w:rPr>
        <w:t>On July 16, 2025, the Company entered into the First Amendment to the New Credit Agreement, pursuant to which all revolving credit loans advanced or prepaid pursuant to such Sweep to Loan Arrangement shall bear interest based on the Base Rate.</w:t>
      </w:r>
    </w:p>
    <w:p>
      <w:pPr>
        <w:spacing w:after="0" w:line="121" w:lineRule="exact"/>
        <w:rPr>
          <w:sz w:val="20"/>
          <w:szCs w:val="20"/>
          <w:color w:val="auto"/>
        </w:rPr>
      </w:pPr>
    </w:p>
    <w:p>
      <w:pPr>
        <w:ind w:right="240" w:firstLine="494"/>
        <w:spacing w:after="0" w:line="282" w:lineRule="auto"/>
        <w:rPr>
          <w:sz w:val="20"/>
          <w:szCs w:val="20"/>
          <w:color w:val="auto"/>
        </w:rPr>
      </w:pPr>
      <w:r>
        <w:rPr>
          <w:rFonts w:ascii="Times New Roman" w:cs="Times New Roman" w:eastAsia="Times New Roman" w:hAnsi="Times New Roman"/>
          <w:sz w:val="18"/>
          <w:szCs w:val="18"/>
          <w:color w:val="auto"/>
        </w:rPr>
        <w:t>On October 1, 2025, the Company entered into the Second Amendment to the New Credit Agreement, which, among other things, (i) temporarily increased the aggregate revolving credit commitment under the Credit Agreement from</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4" w:name="page35"/>
    <w:bookmarkEnd w:id="34"/>
    <w:p>
      <w:pPr>
        <w:ind w:right="100"/>
        <w:spacing w:after="0" w:line="261" w:lineRule="auto"/>
        <w:rPr>
          <w:sz w:val="20"/>
          <w:szCs w:val="20"/>
          <w:color w:val="auto"/>
        </w:rPr>
      </w:pPr>
      <w:r>
        <w:rPr>
          <w:rFonts w:ascii="Times New Roman" w:cs="Times New Roman" w:eastAsia="Times New Roman" w:hAnsi="Times New Roman"/>
          <w:sz w:val="18"/>
          <w:szCs w:val="18"/>
          <w:color w:val="auto"/>
        </w:rPr>
        <w:t>$100.0 million to $125.0 million, as allowed by the existing New Credit Agreement, beginning on October 1, 2025 until March 31, 2026, as of which date the revolving credit commitment returned to $100.0 million and (ii) permits the Company to request a second increase in the revolving credit commitment of $25.0 million during the term of the New Credit Agreement after March 31, 2026 with the consent of the Administrative Agent, subject to credit approval of the Lenders and satisfaction of certain conditions.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our investing and operating activities, we have entered into certain contractual obligations. See Note 3 “Leases” of Notes to Consolidated Financial Statements for additional discussion of these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a party to any significant off-balance sheet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6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evaluated the development and selection of our critical accounting estimates and believe that the following involves a higher degree of judgment or complexity and are most significant to reporting our results of operations and financial position, and are therefore discussed as critical.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Return Reserve</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currently estimates product return reserve using its own historical sales information. The Company regularly assesses and adjusts the estimate of accrued sales returns by updating return rates for actual company trends and projected costs. While returns have historically been within our expectations, future return rates may differ from those experienced in the past. Changes in these estimates can have a material impact on our financial statements. We believe the accounting estimate related to product returns is a critical accounting estimate because it requires us to make assumptions about future potential returns, which are highly uncertain.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ind w:right="20" w:firstLine="509"/>
        <w:spacing w:after="0" w:line="224" w:lineRule="exact"/>
        <w:rPr>
          <w:sz w:val="20"/>
          <w:szCs w:val="20"/>
          <w:color w:val="auto"/>
        </w:rPr>
      </w:pPr>
      <w:r>
        <w:rPr>
          <w:rFonts w:ascii="Times New Roman" w:cs="Times New Roman" w:eastAsia="Times New Roman" w:hAnsi="Times New Roman"/>
          <w:sz w:val="18"/>
          <w:szCs w:val="18"/>
          <w:color w:val="auto"/>
        </w:rPr>
        <w:t>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 See Note 3 “Leases,” of Notes to Consolidated Financial Statements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Revenue for merchandise that is shipped to our customers from our fulfillment centers and stores is recognized upon shipment following customer payment, which is when the customer obtains control of the product and has the ability to direct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5" w:name="page36"/>
    <w:bookmarkEnd w:id="35"/>
    <w:p>
      <w:pPr>
        <w:ind w:right="140"/>
        <w:spacing w:after="0" w:line="282" w:lineRule="auto"/>
        <w:rPr>
          <w:sz w:val="20"/>
          <w:szCs w:val="20"/>
          <w:color w:val="auto"/>
        </w:rPr>
      </w:pPr>
      <w:r>
        <w:rPr>
          <w:rFonts w:ascii="Times New Roman" w:cs="Times New Roman" w:eastAsia="Times New Roman" w:hAnsi="Times New Roman"/>
          <w:sz w:val="18"/>
          <w:szCs w:val="18"/>
          <w:color w:val="auto"/>
        </w:rPr>
        <w:t>the use of the product, including, among other options, the ability to redirect the product to a different shipping destination. Store revenue is recognized at the point of sale. This represents the point at which the customer obtains control of the product and has the ability to direct the use of the product.</w:t>
      </w:r>
    </w:p>
    <w:p>
      <w:pPr>
        <w:spacing w:after="0" w:line="13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recognize shipping and handling fees as revenue included in net sales when generated from a customer order upon shipment or at the point of sale. Costs of shipping and handling are included in selling, general and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tax collected is not recognized as revenue as it is ultimately remitted to governmental authorities.</w:t>
      </w:r>
    </w:p>
    <w:p>
      <w:pPr>
        <w:spacing w:after="0" w:line="18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reserve for projected merchandise returns based on both historical and actual experience, as well as various other assumptions that we believe to be reasonable. Actual merchandise returns are monitored regularly and have not been materially different from the estimates recorded. Product returns often represent merchandise that can be resold. Amounts refunded to customers are generally made by issuing the same payment tender as used in the original purchase. Merchandise exchanges of the same product and price are not considered merchandise returns and are therefore excluded when calculating the sales returns reserve.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inventories are composed of finished goods and are stated at the lower of cost or net realizable value, with cost determined using the first-in, first-out method. Net realizable value is defined as the “estimated selling prices in the ordinary course of business, less reasonably predictable costs of completion, disposal and transportation.” The inventory value is adjusted periodically, if needed, to reflect current market conditions and inventory composition, which requires our judgments that may significantly affect the ending inventory valuation, as well as gross margin. The estimates used in inventory valuation are obsolescence (including excess and slow-moving inventory and lower of cost or market reserves) and estimates of inventory shrinkage. We adjust our inventory for obsolescence based on historical trends, aging reports, specific identification, current retail prices and our estimates of future retail sales prices.</w:t>
      </w:r>
    </w:p>
    <w:p>
      <w:pPr>
        <w:spacing w:after="0" w:line="14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particularly in second fiscal quarter results.</w:t>
      </w:r>
    </w:p>
    <w:p>
      <w:pPr>
        <w:spacing w:after="0" w:line="14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account for income taxes and the related accounts using the asset and 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we accrue income taxes payable or refundable and recognize deferred tax assets and liabilities based on 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spacing w:after="0" w:line="15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 A valuation allowance is established if it is more likely than not that some portion or all of the deferred income tax asset will not be realized. A valuation allowance was recognized for the years ended February 1, 2026 and February 2, 2025.</w:t>
      </w:r>
    </w:p>
    <w:p>
      <w:pPr>
        <w:spacing w:after="0" w:line="13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We establish assets and liabilities for uncertain tax positions taken or expected to be taken in income tax returns, using a more-likely-than-not recognition threshold. We recognize penalties and interest related to uncertain tax positions as income tax expense.</w:t>
      </w:r>
    </w:p>
    <w:p>
      <w:pPr>
        <w:spacing w:after="0" w:line="80"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See Note 9 “Income Taxes,” of Notes to Consolidated Financial Statements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0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40" w:type="dxa"/>
            <w:vAlign w:val="bottom"/>
            <w:gridSpan w:val="11"/>
          </w:tcPr>
          <w:p>
            <w:pPr>
              <w:jc w:val="center"/>
              <w:ind w:right="2760"/>
              <w:spacing w:after="0"/>
              <w:rPr>
                <w:sz w:val="20"/>
                <w:szCs w:val="20"/>
                <w:color w:val="auto"/>
              </w:rPr>
            </w:pPr>
            <w:r>
              <w:rPr>
                <w:rFonts w:ascii="Times New Roman" w:cs="Times New Roman" w:eastAsia="Times New Roman" w:hAnsi="Times New Roman"/>
                <w:sz w:val="18"/>
                <w:szCs w:val="18"/>
                <w:color w:val="auto"/>
                <w:w w:val="99"/>
              </w:rPr>
              <w:t>Index to Consolidated Financial Statements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10580" w:type="dxa"/>
            <w:vAlign w:val="bottom"/>
            <w:gridSpan w:val="1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(KPMG LLP, PCAOB ID No. 185</w:t>
            </w:r>
            <w:r>
              <w:rPr>
                <w:rFonts w:ascii="Times New Roman" w:cs="Times New Roman" w:eastAsia="Times New Roman" w:hAnsi="Times New Roman"/>
                <w:sz w:val="18"/>
                <w:szCs w:val="18"/>
                <w:color w:val="000000"/>
              </w:rPr>
              <w:t>)</w:t>
            </w:r>
          </w:p>
        </w:tc>
        <w:tc>
          <w:tcPr>
            <w:tcW w:w="6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60" w:type="dxa"/>
            <w:vAlign w:val="bottom"/>
            <w:tcBorders>
              <w:top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 as of February 1, 2026 and February 2, 2025</w:t>
            </w:r>
          </w:p>
        </w:tc>
        <w:tc>
          <w:tcPr>
            <w:tcW w:w="3820" w:type="dxa"/>
            <w:vAlign w:val="bottom"/>
            <w:tcBorders>
              <w:top w:val="single" w:sz="8" w:color="CCEEFF"/>
            </w:tcBorders>
            <w:gridSpan w:val="6"/>
          </w:tcPr>
          <w:p>
            <w:pPr>
              <w:spacing w:after="0"/>
              <w:rPr>
                <w:sz w:val="15"/>
                <w:szCs w:val="15"/>
                <w:color w:val="auto"/>
              </w:rPr>
            </w:pPr>
          </w:p>
        </w:tc>
        <w:tc>
          <w:tcPr>
            <w:tcW w:w="6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Operations for Fiscal Years Ended February 1, 2026 and February 2, 2025</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58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Consolidated Statements of Comprehensive Income for Fiscal Years Ended February 1, 2026 and February 2, 2025</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Shareholders’ Equity for Fiscal Years Ended February 1, 2026 and February 2, 2025</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4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FF"/>
                <w:w w:val="99"/>
              </w:rPr>
              <w:t>Consolidated Statements of Cash Flows for Fiscal Years Ended February 1, 2026 and February 2, 2025</w:t>
            </w:r>
          </w:p>
        </w:tc>
        <w:tc>
          <w:tcPr>
            <w:tcW w:w="3140" w:type="dxa"/>
            <w:vAlign w:val="bottom"/>
            <w:gridSpan w:val="3"/>
          </w:tcPr>
          <w:p>
            <w:pPr>
              <w:spacing w:after="0"/>
              <w:rPr>
                <w:sz w:val="17"/>
                <w:szCs w:val="17"/>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6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20" w:type="dxa"/>
            <w:vAlign w:val="bottom"/>
            <w:tcBorders>
              <w:bottom w:val="single" w:sz="8" w:color="CCEEFF"/>
            </w:tcBorders>
            <w:gridSpan w:val="1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FF"/>
              </w:rPr>
              <w:t>Schedule II Valuation and Qualifying Accounts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4"/>
        </w:trPr>
        <w:tc>
          <w:tcPr>
            <w:tcW w:w="3440" w:type="dxa"/>
            <w:vAlign w:val="bottom"/>
            <w:tcBorders>
              <w:top w:val="single" w:sz="8" w:color="0000FF"/>
            </w:tcBorders>
            <w:gridSpan w:val="2"/>
          </w:tcPr>
          <w:p>
            <w:pPr>
              <w:spacing w:after="0"/>
              <w:rPr>
                <w:sz w:val="24"/>
                <w:szCs w:val="24"/>
                <w:color w:val="auto"/>
              </w:rPr>
            </w:pPr>
          </w:p>
        </w:tc>
        <w:tc>
          <w:tcPr>
            <w:tcW w:w="27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7" w:name="page38"/>
    <w:bookmarkEnd w:id="37"/>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Duluth Holdings Inc. and subsidiaries (the Company) as of February 1, 2026 and February 2, 2025, the related consolidated statements of operations, comprehensive income, shareholders’ equity, and cash flows for the years then ended,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February 1, 2026 and February 2, 2025, and the results of its operations and its cash flows for each of the years then ended, in conformity with U.S. generally accepted accounting principles.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return reserve</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discussed in Notes 2 and 5 to the consolidated financial statements, as of February 1, 2026, the Company recorded $4,529 thousand in reserves for product returns within accrued expenses and other current liabilities. Management estimates the product return reserve using its own historical sales and product return information.</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identified the assessment of the product return reserve as a critical audit matter. A high degree of auditor judgement was required to assess whether the historical return rate used to estimate the reserve for product returns is indicative of future returns.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and tested the design and implementation of certain internal controls related to the product return reserve. This included controls related to determining the historical return rate used to estimate product returns. We assessed the Company’s ability to accurately estimate the product return rate by comparing prior period estimates to actual product return rates experienced. We analyzed the product return rate assumption by evaluating the consistency of the assumption with the trend of actual historical product return rates and by comparing the product return reserve to actual product returns received after the balance sheet date.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KPMG LLP</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16,345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Receivables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2,710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16"/>
        </w:trPr>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131,342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166,545</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9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21,654</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21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172,051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191,631</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96,913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111,560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89,283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102,663</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29,577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32,957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9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10,022</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9,140</w:t>
            </w:r>
          </w:p>
        </w:tc>
        <w:tc>
          <w:tcPr>
            <w:tcW w:w="0" w:type="dxa"/>
            <w:vAlign w:val="bottom"/>
          </w:tcPr>
          <w:p>
            <w:pPr>
              <w:spacing w:after="0"/>
              <w:rPr>
                <w:sz w:val="1"/>
                <w:szCs w:val="1"/>
                <w:color w:val="auto"/>
              </w:rPr>
            </w:pPr>
          </w:p>
        </w:tc>
      </w:tr>
      <w:tr>
        <w:trPr>
          <w:trHeight w:val="20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402,609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452,442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Trade accounts payable</w:t>
            </w:r>
          </w:p>
        </w:tc>
        <w:tc>
          <w:tcPr>
            <w:tcW w:w="11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48,226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73,882</w:t>
            </w:r>
          </w:p>
        </w:tc>
        <w:tc>
          <w:tcPr>
            <w:tcW w:w="0" w:type="dxa"/>
            <w:vAlign w:val="bottom"/>
          </w:tcPr>
          <w:p>
            <w:pPr>
              <w:spacing w:after="0"/>
              <w:rPr>
                <w:sz w:val="1"/>
                <w:szCs w:val="1"/>
                <w:color w:val="auto"/>
              </w:rPr>
            </w:pPr>
          </w:p>
        </w:tc>
      </w:tr>
      <w:tr>
        <w:trPr>
          <w:trHeight w:val="216"/>
        </w:trPr>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39,693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35,684</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payable</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15,534</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2,681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6"/>
        </w:trPr>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0"/>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108,247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128,637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76,008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89,222</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less current portion</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27,940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30,621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24,283</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236,494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272,763</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February 1, 2026 and February 2, 2025</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3,364 shares issued and outstanding as of February 1, 2026 and</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 2025</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33,854 shares issued and 33,384 shares outstanding as of February 1, 2026 and</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32,077 shares issued and 31,813 outstanding as of February 2, 2025</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470 and 264 shares as of February 1, 2026 and</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 2025, respectively</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110,794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108,009</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61,332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77,721</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168,973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182,676</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0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166,115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179,679</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402,609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452,442</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400" w:type="dxa"/>
            <w:vAlign w:val="bottom"/>
            <w:gridSpan w:val="4"/>
          </w:tcPr>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67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39</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7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-3710940</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-1508125</wp:posOffset>
            </wp:positionV>
            <wp:extent cx="1200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-1224915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-916305</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February 1, 2026</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565,184</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626,629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80" w:type="dxa"/>
            <w:vAlign w:val="bottom"/>
          </w:tcPr>
          <w:p>
            <w:pPr>
              <w:spacing w:after="0"/>
              <w:rPr>
                <w:sz w:val="18"/>
                <w:szCs w:val="18"/>
                <w:color w:val="auto"/>
              </w:rPr>
            </w:pPr>
          </w:p>
        </w:tc>
        <w:tc>
          <w:tcPr>
            <w:tcW w:w="1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263,570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318,119</w:t>
            </w:r>
          </w:p>
        </w:tc>
        <w:tc>
          <w:tcPr>
            <w:tcW w:w="0" w:type="dxa"/>
            <w:vAlign w:val="bottom"/>
          </w:tcPr>
          <w:p>
            <w:pPr>
              <w:spacing w:after="0"/>
              <w:rPr>
                <w:sz w:val="1"/>
                <w:szCs w:val="1"/>
                <w:color w:val="auto"/>
              </w:rPr>
            </w:pPr>
          </w:p>
        </w:tc>
      </w:tr>
      <w:tr>
        <w:trPr>
          <w:trHeight w:val="21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301,614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308,510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310,546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337,623</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0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(36,861)</w:t>
            </w: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5,202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1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1,185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w:t>
            </w:r>
          </w:p>
        </w:tc>
        <w:tc>
          <w:tcPr>
            <w:tcW w:w="180" w:type="dxa"/>
            <w:vAlign w:val="bottom"/>
            <w:shd w:val="clear" w:color="auto" w:fill="CFF0FC"/>
          </w:tcPr>
          <w:p>
            <w:pPr>
              <w:spacing w:after="0"/>
              <w:rPr>
                <w:sz w:val="17"/>
                <w:szCs w:val="17"/>
                <w:color w:val="auto"/>
              </w:rPr>
            </w:pPr>
          </w:p>
        </w:tc>
        <w:tc>
          <w:tcPr>
            <w:tcW w:w="18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34,619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33,368</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8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4"/>
        </w:trPr>
        <w:tc>
          <w:tcPr>
            <w:tcW w:w="70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to controlling interest</w:t>
            </w:r>
          </w:p>
        </w:tc>
        <w:tc>
          <w:tcPr>
            <w:tcW w:w="18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and</w:t>
            </w:r>
          </w:p>
        </w:tc>
        <w:tc>
          <w:tcPr>
            <w:tcW w:w="180" w:type="dxa"/>
            <w:vAlign w:val="bottom"/>
          </w:tcPr>
          <w:p>
            <w:pPr>
              <w:spacing w:after="0"/>
              <w:rPr>
                <w:sz w:val="17"/>
                <w:szCs w:val="17"/>
                <w:color w:val="auto"/>
              </w:rPr>
            </w:pPr>
          </w:p>
        </w:tc>
        <w:tc>
          <w:tcPr>
            <w:tcW w:w="18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34,619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33,368</w:t>
            </w:r>
          </w:p>
        </w:tc>
        <w:tc>
          <w:tcPr>
            <w:tcW w:w="0" w:type="dxa"/>
            <w:vAlign w:val="bottom"/>
          </w:tcPr>
          <w:p>
            <w:pPr>
              <w:spacing w:after="0"/>
              <w:rPr>
                <w:sz w:val="1"/>
                <w:szCs w:val="1"/>
                <w:color w:val="auto"/>
              </w:rPr>
            </w:pPr>
          </w:p>
        </w:tc>
      </w:tr>
      <w:tr>
        <w:trPr>
          <w:trHeight w:val="221"/>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 outstanding</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6"/>
                <w:szCs w:val="16"/>
                <w:color w:val="auto"/>
              </w:rPr>
            </w:pP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4"/>
        </w:trPr>
        <w:tc>
          <w:tcPr>
            <w:tcW w:w="70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to controlling interest</w:t>
            </w:r>
          </w:p>
        </w:tc>
        <w:tc>
          <w:tcPr>
            <w:tcW w:w="180" w:type="dxa"/>
            <w:vAlign w:val="bottom"/>
            <w:vMerge w:val="continue"/>
            <w:shd w:val="clear" w:color="auto" w:fill="CFF0FC"/>
          </w:tcPr>
          <w:p>
            <w:pPr>
              <w:spacing w:after="0"/>
              <w:rPr>
                <w:sz w:val="18"/>
                <w:szCs w:val="18"/>
                <w:color w:val="auto"/>
              </w:rPr>
            </w:pPr>
          </w:p>
        </w:tc>
        <w:tc>
          <w:tcPr>
            <w:tcW w:w="184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-2502535</wp:posOffset>
            </wp:positionV>
            <wp:extent cx="1454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-968375</wp:posOffset>
            </wp:positionV>
            <wp:extent cx="1454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1454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1454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4"/>
          </w:tcPr>
          <w:p>
            <w:pPr>
              <w:jc w:val="right"/>
              <w:ind w:right="147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February 1, 2026</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security gain (loss)</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benefit</w:t>
            </w:r>
          </w:p>
        </w:tc>
        <w:tc>
          <w:tcPr>
            <w:tcW w:w="2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(43,907)</w:t>
            </w:r>
          </w:p>
        </w:tc>
        <w:tc>
          <w:tcPr>
            <w:tcW w:w="0" w:type="dxa"/>
            <w:vAlign w:val="bottom"/>
          </w:tcPr>
          <w:p>
            <w:pPr>
              <w:spacing w:after="0"/>
              <w:rPr>
                <w:sz w:val="1"/>
                <w:szCs w:val="1"/>
                <w:color w:val="auto"/>
              </w:rPr>
            </w:pPr>
          </w:p>
        </w:tc>
      </w:tr>
      <w:tr>
        <w:trPr>
          <w:trHeight w:val="198"/>
        </w:trPr>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1"/>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2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Comprehensive loss attributable</w:t>
            </w:r>
          </w:p>
        </w:tc>
        <w:tc>
          <w:tcPr>
            <w:tcW w:w="2280" w:type="dxa"/>
            <w:vAlign w:val="bottom"/>
            <w:vMerge w:val="restart"/>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220" w:type="dxa"/>
            <w:vAlign w:val="bottom"/>
            <w:vMerge w:val="restart"/>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(43,966)</w:t>
            </w:r>
          </w:p>
        </w:tc>
        <w:tc>
          <w:tcPr>
            <w:tcW w:w="0" w:type="dxa"/>
            <w:vAlign w:val="bottom"/>
          </w:tcPr>
          <w:p>
            <w:pPr>
              <w:spacing w:after="0"/>
              <w:rPr>
                <w:sz w:val="1"/>
                <w:szCs w:val="1"/>
                <w:color w:val="auto"/>
              </w:rPr>
            </w:pPr>
          </w:p>
        </w:tc>
      </w:tr>
      <w:tr>
        <w:trPr>
          <w:trHeight w:val="234"/>
        </w:trPr>
        <w:tc>
          <w:tcPr>
            <w:tcW w:w="484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to controlling interest</w:t>
            </w:r>
          </w:p>
        </w:tc>
        <w:tc>
          <w:tcPr>
            <w:tcW w:w="228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17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17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-839470</wp:posOffset>
            </wp:positionV>
            <wp:extent cx="1460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146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460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20" w:type="dxa"/>
            <w:vAlign w:val="bottom"/>
          </w:tcPr>
          <w:p>
            <w:pPr>
              <w:spacing w:after="0"/>
              <w:rPr>
                <w:sz w:val="13"/>
                <w:szCs w:val="13"/>
                <w:color w:val="auto"/>
              </w:rPr>
            </w:pPr>
          </w:p>
        </w:tc>
        <w:tc>
          <w:tcPr>
            <w:tcW w:w="960" w:type="dxa"/>
            <w:vAlign w:val="bottom"/>
            <w:gridSpan w:val="2"/>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4"/>
              </w:rPr>
              <w:t>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232"/>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0"/>
                <w:szCs w:val="10"/>
                <w:color w:val="auto"/>
              </w:rPr>
            </w:pPr>
          </w:p>
        </w:tc>
        <w:tc>
          <w:tcPr>
            <w:tcW w:w="800" w:type="dxa"/>
            <w:vAlign w:val="bottom"/>
            <w:gridSpan w:val="2"/>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comprehe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variable</w:t>
            </w:r>
          </w:p>
        </w:tc>
        <w:tc>
          <w:tcPr>
            <w:tcW w:w="100" w:type="dxa"/>
            <w:vAlign w:val="bottom"/>
          </w:tcPr>
          <w:p>
            <w:pPr>
              <w:spacing w:after="0"/>
              <w:rPr>
                <w:sz w:val="10"/>
                <w:szCs w:val="10"/>
                <w:color w:val="auto"/>
              </w:rPr>
            </w:pPr>
          </w:p>
        </w:tc>
        <w:tc>
          <w:tcPr>
            <w:tcW w:w="1120" w:type="dxa"/>
            <w:vAlign w:val="bottom"/>
            <w:gridSpan w:val="2"/>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58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58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Balance at January 28, 2024</w:t>
            </w:r>
          </w:p>
        </w:tc>
        <w:tc>
          <w:tcPr>
            <w:tcW w:w="880" w:type="dxa"/>
            <w:vAlign w:val="bottom"/>
            <w:tcBorders>
              <w:top w:val="single" w:sz="8" w:color="auto"/>
            </w:tcBorders>
            <w:shd w:val="clear" w:color="auto" w:fill="CFF0FC"/>
          </w:tcPr>
          <w:p>
            <w:pPr>
              <w:jc w:val="right"/>
              <w:ind w:right="51"/>
              <w:spacing w:after="0" w:line="203" w:lineRule="exact"/>
              <w:rPr>
                <w:sz w:val="20"/>
                <w:szCs w:val="20"/>
                <w:color w:val="auto"/>
              </w:rPr>
            </w:pPr>
            <w:r>
              <w:rPr>
                <w:rFonts w:ascii="Times New Roman" w:cs="Times New Roman" w:eastAsia="Times New Roman" w:hAnsi="Times New Roman"/>
                <w:sz w:val="18"/>
                <w:szCs w:val="18"/>
                <w:color w:val="auto"/>
              </w:rPr>
              <w:t>34,387</w:t>
            </w:r>
          </w:p>
        </w:tc>
        <w:tc>
          <w:tcPr>
            <w:tcW w:w="26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tcBorders>
            <w:shd w:val="clear" w:color="auto" w:fill="CFF0FC"/>
          </w:tcPr>
          <w:p>
            <w:pPr>
              <w:jc w:val="right"/>
              <w:ind w:right="52"/>
              <w:spacing w:after="0" w:line="203" w:lineRule="exact"/>
              <w:rPr>
                <w:sz w:val="20"/>
                <w:szCs w:val="20"/>
                <w:color w:val="auto"/>
              </w:rPr>
            </w:pPr>
            <w:r>
              <w:rPr>
                <w:rFonts w:ascii="Times New Roman" w:cs="Times New Roman" w:eastAsia="Times New Roman" w:hAnsi="Times New Roman"/>
                <w:sz w:val="18"/>
                <w:szCs w:val="18"/>
                <w:color w:val="auto"/>
              </w:rPr>
              <w:t>103,579</w:t>
            </w:r>
          </w:p>
        </w:tc>
        <w:tc>
          <w:tcPr>
            <w:tcW w:w="280" w:type="dxa"/>
            <w:vAlign w:val="bottom"/>
            <w:tcBorders>
              <w:top w:val="single" w:sz="8" w:color="CFF0FC"/>
            </w:tcBorders>
            <w:gridSpan w:val="2"/>
            <w:shd w:val="clear" w:color="auto" w:fill="CFF0FC"/>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w:t>
            </w:r>
          </w:p>
        </w:tc>
        <w:tc>
          <w:tcPr>
            <w:tcW w:w="260" w:type="dxa"/>
            <w:vAlign w:val="bottom"/>
            <w:tcBorders>
              <w:top w:val="single" w:sz="8" w:color="CFF0FC"/>
            </w:tcBorders>
            <w:gridSpan w:val="2"/>
            <w:shd w:val="clear" w:color="auto" w:fill="CFF0FC"/>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shd w:val="clear" w:color="auto" w:fill="CFF0FC"/>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121,392</w:t>
            </w:r>
          </w:p>
        </w:tc>
        <w:tc>
          <w:tcPr>
            <w:tcW w:w="240" w:type="dxa"/>
            <w:vAlign w:val="bottom"/>
            <w:tcBorders>
              <w:top w:val="single" w:sz="8" w:color="CFF0FC"/>
            </w:tcBorders>
            <w:gridSpan w:val="2"/>
            <w:shd w:val="clear" w:color="auto" w:fill="CFF0FC"/>
          </w:tcPr>
          <w:p>
            <w:pPr>
              <w:ind w:lef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(427)</w:t>
            </w:r>
          </w:p>
        </w:tc>
        <w:tc>
          <w:tcPr>
            <w:tcW w:w="22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(3,056)</w:t>
            </w:r>
          </w:p>
        </w:tc>
        <w:tc>
          <w:tcPr>
            <w:tcW w:w="300" w:type="dxa"/>
            <w:vAlign w:val="bottom"/>
            <w:tcBorders>
              <w:top w:val="single" w:sz="8" w:color="CFF0FC"/>
            </w:tcBorders>
            <w:gridSpan w:val="2"/>
            <w:shd w:val="clear" w:color="auto" w:fill="CFF0FC"/>
          </w:tcPr>
          <w:p>
            <w:pPr>
              <w:jc w:val="right"/>
              <w:ind w:right="48"/>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tcBorders>
            <w:shd w:val="clear" w:color="auto" w:fill="CFF0FC"/>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219,750</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4,046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8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Restricted stock surrendered</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 taxes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 2025</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35,177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108,009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77,721</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179,679</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Restricted stock surrendered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2026</w:t>
            </w:r>
          </w:p>
        </w:tc>
        <w:tc>
          <w:tcPr>
            <w:tcW w:w="8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36,748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110,794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61,332</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166,115</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-2382520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-1276985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-1276985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-1276985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-1276985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-1276985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-1276985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-25400</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-25400</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4"/>
          </w:tcPr>
          <w:p>
            <w:pPr>
              <w:jc w:val="right"/>
              <w:ind w:right="1431"/>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2026</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0" w:type="dxa"/>
            <w:vAlign w:val="bottom"/>
          </w:tcPr>
          <w:p>
            <w:pPr>
              <w:spacing w:after="0"/>
              <w:rPr>
                <w:sz w:val="1"/>
                <w:szCs w:val="1"/>
                <w:color w:val="auto"/>
              </w:rPr>
            </w:pPr>
          </w:p>
        </w:tc>
      </w:tr>
      <w:tr>
        <w:trPr>
          <w:trHeight w:val="198"/>
        </w:trPr>
        <w:tc>
          <w:tcPr>
            <w:tcW w:w="5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(used in) operating activities:</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25,471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32,282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Receivables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(40,788)</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 &amp; other assets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Trade accounts payable</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22,863</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3,412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Noncash lease impacts</w:t>
            </w:r>
          </w:p>
        </w:tc>
        <w:tc>
          <w:tcPr>
            <w:tcW w:w="14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24,172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14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175,126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83,500</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on line of credit</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(175,126)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tax payments on vested restricted stock</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13,010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32,157</w:t>
            </w:r>
          </w:p>
        </w:tc>
        <w:tc>
          <w:tcPr>
            <w:tcW w:w="0" w:type="dxa"/>
            <w:vAlign w:val="bottom"/>
          </w:tcPr>
          <w:p>
            <w:pPr>
              <w:spacing w:after="0"/>
              <w:rPr>
                <w:sz w:val="1"/>
                <w:szCs w:val="1"/>
                <w:color w:val="auto"/>
              </w:rPr>
            </w:pPr>
          </w:p>
        </w:tc>
      </w:tr>
      <w:tr>
        <w:trPr>
          <w:trHeight w:val="25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16,345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197"/>
        </w:trPr>
        <w:tc>
          <w:tcPr>
            <w:tcW w:w="5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5,202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-2976880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-2423795</wp:posOffset>
            </wp:positionV>
            <wp:extent cx="16256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6256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-1296670</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-722630</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-705485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0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Company brand, with the majority of products being exclusively developed and sold as Duluth Trading branded merchandise.</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2010, the Company initiated its omnichannel platform with the opening of its first store. Since then, Duluth Trading has expanded its retail presence, and as of February 1, 2026, the Company operated 63 retail stores and three outlet stores. The Company identifies its operating segments according to how its business activities are managed and evaluated. The Company continues to grow its omnichannel distribution network which allows the consumer to interact with the Company through a consistent customer experience whether on the Company website or at Company stores. The Company has one reportable external segment, consistent with the Company’s omnichannel business approach. The Company’s revenues generated outside the United States were insignificant.</w:t>
      </w:r>
    </w:p>
    <w:p>
      <w:pPr>
        <w:spacing w:after="0" w:line="14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(“U.S. GAAP”). All significant intercompany balances and transactions have been eliminated in consolidation.</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2025 and Fiscal 2024 ended on February 1, 2026 and February 2, 2025, respectively. Fiscal 2025 was a 52-week period and Fiscal 2024 was a 53-week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consist of the accounts of Duluth Holdings Inc. and TRI Holdings, LLC (“TRI”) as a variable interest entity. See Note 6 “Variable Interest Entities” for further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fulfillment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 Store revenue is recognized at the point of sale. The Company provides the customer the right of return on the product and revenue is adjusted based on an estimate of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expected returns based on historical rates as well as events that may cause changes to historical rates. See Note 5 “Accrued Expense and Other Liabilities” for the Company’s product returns reserve.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 A liability is recognized at the time a gift card is sold, and revenue is recognized at the time the gift card is redeemed for merchandise. See Note 8 “Revenue” for further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Selling, General and Administrative Expenses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illustrates the primary costs classified in cost of goods sold and selling,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r>
      <w:tr>
        <w:trPr>
          <w:trHeight w:val="209"/>
        </w:trPr>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3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 cost of purchased merchandise</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Payroll and payroll-related expenses</w:t>
            </w:r>
          </w:p>
        </w:tc>
      </w:tr>
      <w:tr>
        <w:trPr>
          <w:trHeight w:val="198"/>
        </w:trPr>
        <w:tc>
          <w:tcPr>
            <w:tcW w:w="3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36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Inventory shrinkage and inventory adjustments due to obsolescence</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Occupancy expenses related to stores and operations at the Company's</w:t>
            </w:r>
          </w:p>
        </w:tc>
      </w:tr>
      <w:tr>
        <w:trPr>
          <w:trHeight w:val="234"/>
        </w:trPr>
        <w:tc>
          <w:tcPr>
            <w:tcW w:w="3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headquarters, including utilities</w:t>
            </w:r>
          </w:p>
        </w:tc>
      </w:tr>
      <w:tr>
        <w:trPr>
          <w:trHeight w:val="216"/>
        </w:trPr>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Inbound freight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Depreciation and amortization</w:t>
            </w:r>
          </w:p>
        </w:tc>
      </w:tr>
      <w:tr>
        <w:trPr>
          <w:trHeight w:val="198"/>
        </w:trPr>
        <w:tc>
          <w:tcPr>
            <w:tcW w:w="3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Freight from the Company's fulfillment centers to its stores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Marketing expenses including: digital, television, and social media</w:t>
            </w:r>
          </w:p>
        </w:tc>
      </w:tr>
      <w:tr>
        <w:trPr>
          <w:trHeight w:val="234"/>
        </w:trPr>
        <w:tc>
          <w:tcPr>
            <w:tcW w:w="3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advertising; print production and mailing; and print advertising costs</w:t>
            </w:r>
          </w:p>
        </w:tc>
      </w:tr>
      <w:tr>
        <w:trPr>
          <w:trHeight w:val="216"/>
        </w:trPr>
        <w:tc>
          <w:tcPr>
            <w:tcW w:w="3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Logistical costs associated with shipping product to customers</w:t>
            </w:r>
          </w:p>
        </w:tc>
      </w:tr>
      <w:tr>
        <w:trPr>
          <w:trHeight w:val="216"/>
        </w:trPr>
        <w:tc>
          <w:tcPr>
            <w:tcW w:w="3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Consulting and software expenses and professional services fees</w:t>
            </w:r>
          </w:p>
        </w:tc>
      </w:tr>
      <w:tr>
        <w:trPr>
          <w:trHeight w:val="216"/>
        </w:trPr>
        <w:tc>
          <w:tcPr>
            <w:tcW w:w="3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Direct Mail Expenses</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advertising and direct mail expense primarily consists of web marketing programs, social media and radio and television advertisements, which are expensed as they are incurred. The Company’s direct-response advertising consists of producing, printing and mailing marketing materials, which are expensed upon receipt by customers.</w:t>
      </w:r>
    </w:p>
    <w:p>
      <w:pPr>
        <w:spacing w:after="0" w:line="149" w:lineRule="exact"/>
        <w:rPr>
          <w:sz w:val="20"/>
          <w:szCs w:val="20"/>
          <w:color w:val="auto"/>
        </w:rPr>
      </w:pPr>
    </w:p>
    <w:p>
      <w:pPr>
        <w:ind w:right="2020" w:firstLine="509"/>
        <w:spacing w:after="0" w:line="453" w:lineRule="auto"/>
        <w:rPr>
          <w:sz w:val="20"/>
          <w:szCs w:val="20"/>
          <w:color w:val="auto"/>
        </w:rPr>
      </w:pPr>
      <w:r>
        <w:rPr>
          <w:rFonts w:ascii="Times New Roman" w:cs="Times New Roman" w:eastAsia="Times New Roman" w:hAnsi="Times New Roman"/>
          <w:sz w:val="18"/>
          <w:szCs w:val="18"/>
          <w:color w:val="auto"/>
        </w:rPr>
        <w:t xml:space="preserve">Advertising and Direct Mail expenses were $58.4 million and $67.5 million for fiscal 2025 and fiscal 2024, respectively. </w:t>
      </w:r>
      <w:r>
        <w:rPr>
          <w:rFonts w:ascii="Times New Roman" w:cs="Times New Roman" w:eastAsia="Times New Roman" w:hAnsi="Times New Roman"/>
          <w:sz w:val="18"/>
          <w:szCs w:val="18"/>
          <w:b w:val="1"/>
          <w:bCs w:val="1"/>
          <w:i w:val="1"/>
          <w:iCs w:val="1"/>
          <w:color w:val="auto"/>
        </w:rPr>
        <w:t>Shipping and Processing</w:t>
      </w:r>
    </w:p>
    <w:p>
      <w:pPr>
        <w:spacing w:after="0" w:line="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Shipping and processing revenue generated from customer orders has been classified as a component of net sales. Shipping and processing expense, including handling expense, has been classified as a component of selling, general and administrative expenses. The Company incurred shipping and processing expenses of $34.7 million and $43.7 million for fiscal 2025 and fiscal 2024,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and related accounts using the asset/liability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ASC 740, the Company accrues income taxes payable or refundable and recognizes deferred tax 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 A valuation allowance is established if it is more likely than not that some portion or all of the deferred income tax asset will not be realized.</w:t>
      </w:r>
    </w:p>
    <w:p>
      <w:pPr>
        <w:spacing w:after="0" w:line="14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 See Note 9 “Income Taxes,” of these Notes to Consolidated Financial Statements for further discussion.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deposits.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160" w:firstLine="509"/>
        <w:spacing w:after="0" w:line="289" w:lineRule="auto"/>
        <w:rPr>
          <w:sz w:val="20"/>
          <w:szCs w:val="20"/>
          <w:color w:val="auto"/>
        </w:rPr>
      </w:pPr>
      <w:r>
        <w:rPr>
          <w:rFonts w:ascii="Times New Roman" w:cs="Times New Roman" w:eastAsia="Times New Roman" w:hAnsi="Times New Roman"/>
          <w:sz w:val="17"/>
          <w:szCs w:val="17"/>
          <w:color w:val="auto"/>
        </w:rPr>
        <w:t>The Company considers short-term investments with original maturities of three months or less when purchased to be cash equivalents. As of February 1, 2026, Cash and cash equivalents consisted of cash, amounts receivable from credit card issuers and money market funds. Amounts receivable from credit card issuers are typically converted to cash within 2 to 4 days of the original sales transaction and are considered to be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Suppliers</w:t>
      </w:r>
    </w:p>
    <w:p>
      <w:pPr>
        <w:spacing w:after="0" w:line="202"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Company’s principal supplier of inventory accounted for 38% and 43% of total inventory expenditures in fiscal 2025 and fiscal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89"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obsolete items and shrinkage was $4.4 million and $2.1 million as of February 1, 2026 and February 2, 2025,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4,486</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59,828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57,732</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36,298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36,272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65,608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65,592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55,651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54,542</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9,328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9,472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38,872</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39,952</w:t>
            </w: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270,155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268,132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(159,450)</w:t>
            </w: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94,352</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108,682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2,561</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96,913</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111,560</w:t>
            </w:r>
          </w:p>
        </w:tc>
        <w:tc>
          <w:tcPr>
            <w:tcW w:w="0" w:type="dxa"/>
            <w:vAlign w:val="bottom"/>
          </w:tcPr>
          <w:p>
            <w:pPr>
              <w:spacing w:after="0"/>
              <w:rPr>
                <w:sz w:val="1"/>
                <w:szCs w:val="1"/>
                <w:color w:val="auto"/>
              </w:rPr>
            </w:pPr>
          </w:p>
        </w:tc>
      </w:tr>
      <w:tr>
        <w:trPr>
          <w:trHeight w:val="628"/>
        </w:trPr>
        <w:tc>
          <w:tcPr>
            <w:tcW w:w="4340" w:type="dxa"/>
            <w:vAlign w:val="bottom"/>
            <w:tcBorders>
              <w:top w:val="single" w:sz="8" w:color="CFF0FC"/>
            </w:tcBorders>
          </w:tcPr>
          <w:p>
            <w:pPr>
              <w:spacing w:after="0"/>
              <w:rPr>
                <w:sz w:val="24"/>
                <w:szCs w:val="24"/>
                <w:color w:val="auto"/>
              </w:rPr>
            </w:pPr>
          </w:p>
        </w:tc>
        <w:tc>
          <w:tcPr>
            <w:tcW w:w="1800" w:type="dxa"/>
            <w:vAlign w:val="bottom"/>
            <w:tcBorders>
              <w:top w:val="single" w:sz="8" w:color="CFF0FC"/>
            </w:tcBorders>
          </w:tcPr>
          <w:p>
            <w:pPr>
              <w:jc w:val="right"/>
              <w:ind w:right="330"/>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-770890</wp:posOffset>
            </wp:positionV>
            <wp:extent cx="1803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-753745</wp:posOffset>
            </wp:positionV>
            <wp:extent cx="1803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of $21.9 million and $28.7 million for fiscal 2025 and fiscal 2024, respectively. The Company expenses as incurred all routine repair and maintenance costs that do not extend the estimated useful life of the asset.</w:t>
      </w:r>
    </w:p>
    <w:p>
      <w:pPr>
        <w:spacing w:after="0" w:line="12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generally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5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10"/>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6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- 15</w:t>
            </w: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6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660" w:type="dxa"/>
            <w:vAlign w:val="bottom"/>
          </w:tcPr>
          <w:p>
            <w:pPr>
              <w:spacing w:after="0"/>
              <w:rPr>
                <w:sz w:val="18"/>
                <w:szCs w:val="18"/>
                <w:color w:val="auto"/>
              </w:rPr>
            </w:pPr>
          </w:p>
        </w:tc>
        <w:tc>
          <w:tcPr>
            <w:tcW w:w="10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rPr>
              <w:t>- 10</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- 10</w:t>
            </w:r>
          </w:p>
        </w:tc>
      </w:tr>
      <w:tr>
        <w:trPr>
          <w:trHeight w:val="216"/>
        </w:trPr>
        <w:tc>
          <w:tcPr>
            <w:tcW w:w="9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shd w:val="clear" w:color="auto" w:fill="CFF0FC"/>
          </w:tcPr>
          <w:p>
            <w:pPr>
              <w:jc w:val="right"/>
              <w:ind w:right="572"/>
              <w:spacing w:after="0"/>
              <w:rPr>
                <w:sz w:val="20"/>
                <w:szCs w:val="20"/>
                <w:color w:val="auto"/>
              </w:rPr>
            </w:pPr>
            <w:r>
              <w:rPr>
                <w:rFonts w:ascii="Times New Roman" w:cs="Times New Roman" w:eastAsia="Times New Roman" w:hAnsi="Times New Roman"/>
                <w:sz w:val="18"/>
                <w:szCs w:val="18"/>
                <w:color w:val="auto"/>
              </w:rPr>
              <w:t>- 5</w:t>
            </w:r>
          </w:p>
        </w:tc>
      </w:tr>
      <w:tr>
        <w:trPr>
          <w:trHeight w:val="23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- 5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56"/>
        </w:trPr>
        <w:tc>
          <w:tcPr>
            <w:tcW w:w="66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5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Pending returns inventory, net</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5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16"/>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prepaid expenses</w:t>
            </w:r>
          </w:p>
        </w:tc>
        <w:tc>
          <w:tcPr>
            <w:tcW w:w="1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15,461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11,731</w:t>
            </w:r>
          </w:p>
        </w:tc>
        <w:tc>
          <w:tcPr>
            <w:tcW w:w="0" w:type="dxa"/>
            <w:vAlign w:val="bottom"/>
          </w:tcPr>
          <w:p>
            <w:pPr>
              <w:spacing w:after="0"/>
              <w:rPr>
                <w:sz w:val="1"/>
                <w:szCs w:val="1"/>
                <w:color w:val="auto"/>
              </w:rPr>
            </w:pPr>
          </w:p>
        </w:tc>
      </w:tr>
      <w:tr>
        <w:trPr>
          <w:trHeight w:val="250"/>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1580" w:type="dxa"/>
            <w:vAlign w:val="bottom"/>
            <w:shd w:val="clear" w:color="auto" w:fill="CFF0FC"/>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21,654</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196"/>
        </w:trPr>
        <w:tc>
          <w:tcPr>
            <w:tcW w:w="6620" w:type="dxa"/>
            <w:vAlign w:val="bottom"/>
            <w:tcBorders>
              <w:top w:val="single" w:sz="8" w:color="CFF0FC"/>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assets, net</w:t>
            </w:r>
          </w:p>
        </w:tc>
        <w:tc>
          <w:tcPr>
            <w:tcW w:w="15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Intangible assets, net</w:t>
            </w:r>
          </w:p>
        </w:tc>
        <w:tc>
          <w:tcPr>
            <w:tcW w:w="15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5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8,345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7,498</w:t>
            </w:r>
          </w:p>
        </w:tc>
        <w:tc>
          <w:tcPr>
            <w:tcW w:w="0" w:type="dxa"/>
            <w:vAlign w:val="bottom"/>
          </w:tcPr>
          <w:p>
            <w:pPr>
              <w:spacing w:after="0"/>
              <w:rPr>
                <w:sz w:val="1"/>
                <w:szCs w:val="1"/>
                <w:color w:val="auto"/>
              </w:rPr>
            </w:pPr>
          </w:p>
        </w:tc>
      </w:tr>
      <w:tr>
        <w:trPr>
          <w:trHeight w:val="216"/>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assets, net</w:t>
            </w:r>
          </w:p>
        </w:tc>
        <w:tc>
          <w:tcPr>
            <w:tcW w:w="1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49"/>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 net</w:t>
            </w:r>
          </w:p>
        </w:tc>
        <w:tc>
          <w:tcPr>
            <w:tcW w:w="1580" w:type="dxa"/>
            <w:vAlign w:val="bottom"/>
            <w:tcBorders>
              <w:bottom w:val="single" w:sz="8" w:color="auto"/>
            </w:tcBorders>
            <w:shd w:val="clear" w:color="auto" w:fill="CFF0FC"/>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10,022</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-882015</wp:posOffset>
            </wp:positionV>
            <wp:extent cx="1625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-864870</wp:posOffset>
            </wp:positionV>
            <wp:extent cx="1625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1625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1625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Hosting Implementation Costs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Software hosting implementation costs includes costs of implementation activities of certain cloud computing arrangements in accordance with Accounting Standards Update No. 2018-15,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Amortization expense was $4.7 million and $5.3 million for fiscal 2025 and fiscal 2024, respectively. Accumulated amortization was $15.0 million and $12.4 million for fiscal 2025 and fiscal 2024, respectively. See Note 12 “Recent Accounting Pronouncements” for more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5"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over the fair value of net assets acquired.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requires that goodwill be tested for impairment annually, or more often if an event or circumstance indicates that 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 The Company recognized a full impairment of goodwill for the year ended February 2,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Company’s long-lived assets are reviewed for impairment during the fourth quarter, or whenever events or changes in circumstances indicate that the carrying amount may not be recoverable. If the sum of the expected undiscounted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is less than the carrying value of the related asset or group of assets, a loss is recognized for the difference between the fair value and the carrying value of the asset or group of assets. Such analyses necessarily involve judgment.</w:t>
      </w:r>
    </w:p>
    <w:p>
      <w:pPr>
        <w:spacing w:after="0" w:line="12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For fiscal 2025, the Company did not identify a triggering event within the annual impairment test. Thus the Company determined that no impairment was needed.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Pre-opening Costs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Store pre-opening costs are expensed as incurred and are included in selling, general and administrative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IPO, the Company adopted the 2015 Equity Incentive Plan of Duluth Holdings Inc. There are awards outstanding under the 2015 plan, but we do not grant new awards under the plan. We have adopted the 2024 Equity Incentive Plan of Duluth Holdings Inc. (“2024 Plan”), which provides compensation alternatives such as stock options, shares, restricted stock, restricted stock units, deferred stock and performance share units, using or based on the Company’s Class B common stock.</w:t>
      </w:r>
    </w:p>
    <w:p>
      <w:pPr>
        <w:spacing w:after="0" w:line="13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three years to four years based on the terms for each individual award. The fair value of the restricted stock is determined based on the market value of the Company’s Class B common stock on the grant date. Restricted stock forfeitures are recognized as incurred.</w:t>
      </w:r>
    </w:p>
    <w:p>
      <w:pPr>
        <w:spacing w:after="0" w:line="14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$2.5 million and $4.0 million for fiscal 2025 and fiscal 2024, respectively, and is included in Selling, general and administrative expenses on the Consolidated Statements of Operations.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activity in the Company’s unvested restricted stock during the years ended February 1, 2026 and February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50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January 28, 2024</w:t>
            </w:r>
          </w:p>
        </w:tc>
        <w:tc>
          <w:tcPr>
            <w:tcW w:w="15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1,367,270</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1,099,121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(239,402)</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February 2, 2025</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1,686,267</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2,879,002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(1,168,943)</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February 1, 2026</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2,311,132</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-728345</wp:posOffset>
            </wp:positionV>
            <wp:extent cx="1289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1289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At February 1, 2026, the Company had unrecognized compensation expense of $3.5 million related to the restricted stock awards, which is expected to be recognized over a weighted average period of 2.1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0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Treasury stock consists of shares withheld in lieu of tax payments when restricted stock vests using the treasury cost method and is classified in the Consolidated Balance Sheets as a reduction to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presents all non-income government-assessed taxes (sales, use and value-added taxes) collected from its customers and remitted to governmental agencies on a net basis (excluded from revenue) in its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comprehensive income or loss represents the change in equity from non-shareholder or non-member transactions, which is not included in the statements of operations but is reported as a separate component of shareholders’ equity. For fiscal 2025 and fiscal 2024, other comprehensive income consists of changes in unrealized gains and losses on the Company’s available-for-sale security, net of taxes.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ASC Topic 820, Fair Value Measurements and Disclosures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9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8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fiscal 2025, certain changes in the inputs did impact the fair value of the available-for-sale security. The calculated fair value is based on estimates that are subjective in nature and involve uncertainties and matters of significant judgment and, therefore, cannot be determined with precision. Changes in assumptions could significantly affect the estimates. Specifically, significant increases (decreases) in the discount rate—derived from the yield curve and credit information—in isolation would result in a significantly lower (higher) fair value measurement, while a significant increase (decrease) in estimated future cash flows would result in a higher (lower) fair value measurement.</w:t>
      </w:r>
    </w:p>
    <w:p>
      <w:pPr>
        <w:spacing w:after="0" w:line="16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the Company’s money market account and available-for-sale security along with the corresponding amount of gross unrealized gains and losses recognized in accumulated other comprehensive income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27"/>
        </w:trPr>
        <w:tc>
          <w:tcPr>
            <w:tcW w:w="3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5"/>
        </w:trPr>
        <w:tc>
          <w:tcPr>
            <w:tcW w:w="3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12,158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12,158</w:t>
            </w:r>
          </w:p>
        </w:tc>
      </w:tr>
      <w:tr>
        <w:trPr>
          <w:trHeight w:val="216"/>
        </w:trPr>
        <w:tc>
          <w:tcPr>
            <w:tcW w:w="34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trust</w:t>
            </w:r>
          </w:p>
        </w:tc>
        <w:tc>
          <w:tcPr>
            <w:tcW w:w="2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5,137</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4,763</w:t>
            </w:r>
          </w:p>
        </w:tc>
      </w:tr>
      <w:tr>
        <w:trPr>
          <w:trHeight w:val="648"/>
        </w:trPr>
        <w:tc>
          <w:tcPr>
            <w:tcW w:w="3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6"/>
        </w:trPr>
        <w:tc>
          <w:tcPr>
            <w:tcW w:w="34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27"/>
        </w:trPr>
        <w:tc>
          <w:tcPr>
            <w:tcW w:w="3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5"/>
        </w:trPr>
        <w:tc>
          <w:tcPr>
            <w:tcW w:w="3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trust</w:t>
            </w:r>
          </w:p>
        </w:tc>
        <w:tc>
          <w:tcPr>
            <w:tcW w:w="2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5,356</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4,491</w:t>
            </w:r>
          </w:p>
        </w:tc>
      </w:tr>
    </w:tbl>
    <w:p>
      <w:pPr>
        <w:spacing w:after="0" w:line="200" w:lineRule="exact"/>
        <w:rPr>
          <w:sz w:val="20"/>
          <w:szCs w:val="20"/>
          <w:color w:val="auto"/>
        </w:rPr>
      </w:pPr>
    </w:p>
    <w:p>
      <w:pPr>
        <w:spacing w:after="0" w:line="214"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of the Company's corporate trust security measured at fair value on a recurring basis using significant unobservable inputs (Level 3) :</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40" w:type="dxa"/>
            <w:vAlign w:val="bottom"/>
          </w:tcPr>
          <w:p>
            <w:pPr>
              <w:spacing w:after="0"/>
              <w:rPr>
                <w:sz w:val="19"/>
                <w:szCs w:val="19"/>
                <w:color w:val="auto"/>
              </w:rPr>
            </w:pPr>
          </w:p>
        </w:tc>
        <w:tc>
          <w:tcPr>
            <w:tcW w:w="2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February 1, 2026</w:t>
            </w:r>
          </w:p>
        </w:tc>
        <w:tc>
          <w:tcPr>
            <w:tcW w:w="400" w:type="dxa"/>
            <w:vAlign w:val="bottom"/>
            <w:tcBorders>
              <w:top w:val="single" w:sz="8" w:color="auto"/>
            </w:tcBorders>
          </w:tcPr>
          <w:p>
            <w:pPr>
              <w:spacing w:after="0"/>
              <w:rPr>
                <w:sz w:val="19"/>
                <w:szCs w:val="19"/>
                <w:color w:val="auto"/>
              </w:rPr>
            </w:pPr>
          </w:p>
        </w:tc>
        <w:tc>
          <w:tcPr>
            <w:tcW w:w="310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February 2, 2025</w:t>
            </w:r>
          </w:p>
        </w:tc>
        <w:tc>
          <w:tcPr>
            <w:tcW w:w="0" w:type="dxa"/>
            <w:vAlign w:val="bottom"/>
          </w:tcPr>
          <w:p>
            <w:pPr>
              <w:spacing w:after="0"/>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trust - (Level 3)</w:t>
            </w:r>
          </w:p>
        </w:tc>
        <w:tc>
          <w:tcPr>
            <w:tcW w:w="84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4,491</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4,986</w:t>
            </w: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(losses) included in OCI (Change in value)</w:t>
            </w: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491</w:t>
            </w:r>
          </w:p>
        </w:tc>
        <w:tc>
          <w:tcPr>
            <w:tcW w:w="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40" w:type="dxa"/>
            <w:vAlign w:val="bottom"/>
            <w:tcBorders>
              <w:bottom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9"/>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4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4,763</w:t>
            </w:r>
          </w:p>
        </w:tc>
        <w:tc>
          <w:tcPr>
            <w:tcW w:w="4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-25400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137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Unobservable Inputs</w:t>
            </w:r>
          </w:p>
        </w:tc>
        <w:tc>
          <w:tcPr>
            <w:tcW w:w="1600" w:type="dxa"/>
            <w:vAlign w:val="bottom"/>
          </w:tcPr>
          <w:p>
            <w:pPr>
              <w:spacing w:after="0"/>
              <w:rPr>
                <w:sz w:val="20"/>
                <w:szCs w:val="20"/>
                <w:color w:val="auto"/>
              </w:rPr>
            </w:pPr>
          </w:p>
        </w:tc>
        <w:tc>
          <w:tcPr>
            <w:tcW w:w="23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February 1, 2026</w:t>
            </w:r>
          </w:p>
        </w:tc>
        <w:tc>
          <w:tcPr>
            <w:tcW w:w="400" w:type="dxa"/>
            <w:vAlign w:val="bottom"/>
          </w:tcPr>
          <w:p>
            <w:pPr>
              <w:spacing w:after="0"/>
              <w:rPr>
                <w:sz w:val="20"/>
                <w:szCs w:val="20"/>
                <w:color w:val="auto"/>
              </w:rPr>
            </w:pPr>
          </w:p>
        </w:tc>
        <w:tc>
          <w:tcPr>
            <w:tcW w:w="3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February 2, 2025</w:t>
            </w: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0" w:type="dxa"/>
            <w:vAlign w:val="bottom"/>
            <w:shd w:val="clear" w:color="auto" w:fill="CFF0FC"/>
          </w:tcPr>
          <w:p>
            <w:pPr>
              <w:spacing w:after="0"/>
              <w:rPr>
                <w:sz w:val="18"/>
                <w:szCs w:val="18"/>
                <w:color w:val="auto"/>
              </w:rPr>
            </w:pPr>
          </w:p>
        </w:tc>
        <w:tc>
          <w:tcPr>
            <w:tcW w:w="23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8"/>
              </w:rPr>
              <w:t>4.43%</w:t>
            </w:r>
          </w:p>
        </w:tc>
        <w:tc>
          <w:tcPr>
            <w:tcW w:w="400" w:type="dxa"/>
            <w:vAlign w:val="bottom"/>
            <w:shd w:val="clear" w:color="auto" w:fill="CFF0FC"/>
          </w:tcPr>
          <w:p>
            <w:pPr>
              <w:spacing w:after="0"/>
              <w:rPr>
                <w:sz w:val="18"/>
                <w:szCs w:val="18"/>
                <w:color w:val="auto"/>
              </w:rPr>
            </w:pPr>
          </w:p>
        </w:tc>
        <w:tc>
          <w:tcPr>
            <w:tcW w:w="31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8"/>
              </w:rPr>
              <w:t>4.73%</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Own credit risk</w:t>
            </w:r>
          </w:p>
        </w:tc>
        <w:tc>
          <w:tcPr>
            <w:tcW w:w="1600" w:type="dxa"/>
            <w:vAlign w:val="bottom"/>
          </w:tcPr>
          <w:p>
            <w:pPr>
              <w:spacing w:after="0"/>
              <w:rPr>
                <w:sz w:val="18"/>
                <w:szCs w:val="18"/>
                <w:color w:val="auto"/>
              </w:rPr>
            </w:pP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1.50%</w:t>
            </w:r>
          </w:p>
        </w:tc>
        <w:tc>
          <w:tcPr>
            <w:tcW w:w="400" w:type="dxa"/>
            <w:vAlign w:val="bottom"/>
          </w:tcPr>
          <w:p>
            <w:pPr>
              <w:spacing w:after="0"/>
              <w:rPr>
                <w:sz w:val="18"/>
                <w:szCs w:val="18"/>
                <w:color w:val="auto"/>
              </w:rPr>
            </w:pPr>
          </w:p>
        </w:tc>
        <w:tc>
          <w:tcPr>
            <w:tcW w:w="3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2.75%</w:t>
            </w: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Future Cash Flows (in thousands)</w:t>
            </w:r>
          </w:p>
        </w:tc>
        <w:tc>
          <w:tcPr>
            <w:tcW w:w="16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rPr>
              <w:t>7,030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98"/>
              </w:rPr>
              <w:t>7,510</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security on a quarterly basis to monitor its exposure to other-than-temporary impairment.</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other-than-temporary impairment was recorded in the Consolidated Statements of Operations in fiscal 2025 or fiscal 2024.</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future receipts related to the Company’s available-for-sale security by contractual maturity as of February 1, 2026.</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4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4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3440" w:type="dxa"/>
            <w:vAlign w:val="bottom"/>
            <w:gridSpan w:val="2"/>
            <w:shd w:val="clear" w:color="auto" w:fill="CFF0FC"/>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1,417</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9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2,308</w:t>
            </w: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2,161</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98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974</w:t>
            </w: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gridSpan w:val="2"/>
            <w:shd w:val="clear" w:color="auto" w:fill="CFF0FC"/>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5,137</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4,763</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2057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2057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9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17"/>
        </w:trPr>
        <w:tc>
          <w:tcPr>
            <w:tcW w:w="4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center"/>
              <w:ind w:right="165"/>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73"/>
        </w:trPr>
        <w:tc>
          <w:tcPr>
            <w:tcW w:w="4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24,357</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22,810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25,214</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21,225</w:t>
            </w:r>
          </w:p>
        </w:tc>
      </w:tr>
      <w:tr>
        <w:trPr>
          <w:trHeight w:val="641"/>
        </w:trPr>
        <w:tc>
          <w:tcPr>
            <w:tcW w:w="442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506"/>
        </w:trPr>
        <w:tc>
          <w:tcPr>
            <w:tcW w:w="4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-753745</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-753745</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-753745</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 xml:space="preserve">The above long-term debt, including the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fair value was also based on a discounted cash flow method (Level 3) based on credit information and an estimate of future cash flows.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8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5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2041.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rate. The Company bases this discount rate on a collateralized interest rate as well as publicly available data for instruments with similar characteristics.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lease expenses and does not include such costs as a lease component.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ectPr>
          <w:pgSz w:w="11900" w:h="16838" w:orient="portrait"/>
          <w:cols w:equalWidth="0" w:num="1">
            <w:col w:w="11240"/>
          </w:cols>
          <w:pgMar w:left="320" w:top="509" w:right="33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41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120" w:type="dxa"/>
            <w:vAlign w:val="bottom"/>
          </w:tcPr>
          <w:p>
            <w:pPr>
              <w:spacing w:after="0"/>
              <w:rPr>
                <w:sz w:val="16"/>
                <w:szCs w:val="16"/>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4120" w:type="dxa"/>
            <w:vAlign w:val="bottom"/>
          </w:tcPr>
          <w:p>
            <w:pPr>
              <w:spacing w:after="0"/>
              <w:rPr>
                <w:sz w:val="18"/>
                <w:szCs w:val="18"/>
                <w:color w:val="auto"/>
              </w:rPr>
            </w:pPr>
          </w:p>
        </w:tc>
      </w:tr>
      <w:tr>
        <w:trPr>
          <w:trHeight w:val="216"/>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w:t>
            </w:r>
          </w:p>
        </w:tc>
        <w:tc>
          <w:tcPr>
            <w:tcW w:w="4120" w:type="dxa"/>
            <w:vAlign w:val="bottom"/>
          </w:tcPr>
          <w:p>
            <w:pPr>
              <w:spacing w:after="0"/>
              <w:rPr>
                <w:sz w:val="18"/>
                <w:szCs w:val="18"/>
                <w:color w:val="auto"/>
              </w:rPr>
            </w:pPr>
          </w:p>
        </w:tc>
      </w:tr>
      <w:tr>
        <w:trPr>
          <w:trHeight w:val="216"/>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assets</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412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build-to-suit leases</w:t>
            </w:r>
          </w:p>
        </w:tc>
        <w:tc>
          <w:tcPr>
            <w:tcW w:w="4120" w:type="dxa"/>
            <w:vAlign w:val="bottom"/>
          </w:tcPr>
          <w:p>
            <w:pPr>
              <w:spacing w:after="0"/>
              <w:rPr>
                <w:sz w:val="18"/>
                <w:szCs w:val="18"/>
                <w:color w:val="auto"/>
              </w:rPr>
            </w:pPr>
          </w:p>
        </w:tc>
      </w:tr>
      <w:tr>
        <w:trPr>
          <w:trHeight w:val="232"/>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contribution</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713232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839"/>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3,097</w:t>
            </w:r>
          </w:p>
        </w:tc>
      </w:tr>
      <w:tr>
        <w:trPr>
          <w:trHeight w:val="234"/>
        </w:trPr>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1,430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1,564</w:t>
            </w: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4,319</w:t>
            </w:r>
          </w:p>
        </w:tc>
        <w:tc>
          <w:tcPr>
            <w:tcW w:w="2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4,661</w:t>
            </w:r>
          </w:p>
        </w:tc>
      </w:t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22,255</w:t>
            </w:r>
          </w:p>
        </w:tc>
      </w:tr>
      <w:tr>
        <w:trPr>
          <w:trHeight w:val="430"/>
        </w:trPr>
        <w:tc>
          <w:tcPr>
            <w:tcW w:w="160" w:type="dxa"/>
            <w:vAlign w:val="bottom"/>
          </w:tcPr>
          <w:p>
            <w:pPr>
              <w:spacing w:after="0"/>
              <w:rPr>
                <w:sz w:val="24"/>
                <w:szCs w:val="24"/>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1,284</w:t>
            </w:r>
          </w:p>
        </w:tc>
      </w:tr>
    </w:tbl>
    <w:p>
      <w:pPr>
        <w:spacing w:after="0" w:line="11" w:lineRule="exact"/>
        <w:rPr>
          <w:sz w:val="20"/>
          <w:szCs w:val="20"/>
          <w:color w:val="auto"/>
        </w:rPr>
      </w:pPr>
    </w:p>
    <w:p>
      <w:pPr>
        <w:sectPr>
          <w:pgSz w:w="11900" w:h="16838" w:orient="portrait"/>
          <w:cols w:equalWidth="0" w:num="2">
            <w:col w:w="7640" w:space="200"/>
            <w:col w:w="3400"/>
          </w:cols>
          <w:pgMar w:left="320" w:top="50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5260" w:type="dxa"/>
            <w:vAlign w:val="bottom"/>
            <w:tcBorders>
              <w:bottom w:val="single" w:sz="8" w:color="CFF0FC"/>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12,002</w:t>
            </w:r>
          </w:p>
        </w:tc>
        <w:tc>
          <w:tcPr>
            <w:tcW w:w="2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11,961</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5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37,359</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40,161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26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58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5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-916940</wp:posOffset>
            </wp:positionV>
            <wp:extent cx="1200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2,541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2,721</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1,430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19,954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21,030</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1,994</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4,748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February 1, 2026:</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2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720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20" w:type="dxa"/>
            <w:vAlign w:val="bottom"/>
            <w:gridSpan w:val="2"/>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3,993</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20,325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19,146</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4,017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17,239</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14,638</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4,369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13,470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16,629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20,946</w:t>
            </w:r>
          </w:p>
        </w:tc>
        <w:tc>
          <w:tcPr>
            <w:tcW w:w="0" w:type="dxa"/>
            <w:vAlign w:val="bottom"/>
          </w:tcPr>
          <w:p>
            <w:pPr>
              <w:spacing w:after="0"/>
              <w:rPr>
                <w:sz w:val="1"/>
                <w:szCs w:val="1"/>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420" w:type="dxa"/>
            <w:vAlign w:val="bottom"/>
            <w:gridSpan w:val="2"/>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37,218</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105,764</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6,597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13,307</w:t>
            </w: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30,621</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92,457</w:t>
            </w:r>
          </w:p>
        </w:tc>
        <w:tc>
          <w:tcPr>
            <w:tcW w:w="0" w:type="dxa"/>
            <w:vAlign w:val="bottom"/>
          </w:tcPr>
          <w:p>
            <w:pPr>
              <w:spacing w:after="0"/>
              <w:rPr>
                <w:sz w:val="1"/>
                <w:szCs w:val="1"/>
                <w:color w:val="auto"/>
              </w:rPr>
            </w:pPr>
          </w:p>
        </w:tc>
      </w:tr>
      <w:tr>
        <w:trPr>
          <w:trHeight w:val="20"/>
        </w:trPr>
        <w:tc>
          <w:tcPr>
            <w:tcW w:w="7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1289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289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rent expense under non-cancellable leases was $21.0 million and $21.9 million for fiscal 2025 and fiscal 2024, respectively.</w:t>
      </w:r>
    </w:p>
    <w:p>
      <w:pPr>
        <w:spacing w:after="0" w:line="181" w:lineRule="exact"/>
        <w:rPr>
          <w:sz w:val="20"/>
          <w:szCs w:val="20"/>
          <w:color w:val="auto"/>
        </w:rPr>
      </w:pPr>
    </w:p>
    <w:p>
      <w:pPr>
        <w:ind w:left="520" w:right="8120" w:hanging="512"/>
        <w:spacing w:after="0" w:line="512" w:lineRule="auto"/>
        <w:tabs>
          <w:tab w:leader="none" w:pos="236"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AND CREDIT AGREEMENT </w:t>
      </w:r>
      <w:r>
        <w:rPr>
          <w:rFonts w:ascii="Times New Roman" w:cs="Times New Roman" w:eastAsia="Times New Roman" w:hAnsi="Times New Roman"/>
          <w:sz w:val="17"/>
          <w:szCs w:val="17"/>
          <w:color w:val="auto"/>
        </w:rPr>
        <w:t>Debt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55"/>
        </w:trPr>
        <w:tc>
          <w:tcPr>
            <w:tcW w:w="4780" w:type="dxa"/>
            <w:vAlign w:val="bottom"/>
            <w:vMerge w:val="continue"/>
          </w:tcPr>
          <w:p>
            <w:pPr>
              <w:spacing w:after="0"/>
              <w:rPr>
                <w:sz w:val="13"/>
                <w:szCs w:val="13"/>
                <w:color w:val="auto"/>
              </w:rPr>
            </w:pPr>
          </w:p>
        </w:tc>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3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20,857</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21,714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TRI Note</w:t>
            </w:r>
          </w:p>
        </w:tc>
        <w:tc>
          <w:tcPr>
            <w:tcW w:w="2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18"/>
                <w:szCs w:val="18"/>
                <w:color w:val="auto"/>
              </w:rPr>
            </w:pPr>
          </w:p>
        </w:tc>
        <w:tc>
          <w:tcPr>
            <w:tcW w:w="3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24,357</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25,214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3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23,337</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24,283</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20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202"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19" w:lineRule="exact"/>
        <w:rPr>
          <w:sz w:val="20"/>
          <w:szCs w:val="20"/>
          <w:color w:val="auto"/>
        </w:rPr>
      </w:pPr>
    </w:p>
    <w:p>
      <w:pPr>
        <w:ind w:right="4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the obligor of these notes.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principal maturities of all TRI debt, excluding unamortized financing fees of $0.9 million associated with the TRI debt are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93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1,079</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1,320</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1,432</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19,003</w:t>
            </w:r>
          </w:p>
        </w:tc>
      </w:tr>
      <w:tr>
        <w:trPr>
          <w:trHeight w:val="230"/>
        </w:trPr>
        <w:tc>
          <w:tcPr>
            <w:tcW w:w="9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25,292</w:t>
            </w:r>
          </w:p>
        </w:tc>
      </w:tr>
      <w:tr>
        <w:trPr>
          <w:trHeight w:val="20"/>
        </w:trPr>
        <w:tc>
          <w:tcPr>
            <w:tcW w:w="9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May 14, 2021, the Company terminated its prior credit agreement, and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required the Company to maintain compliance with certain financial and non-financial covenants, including a maximum rent adjusted leverage ratio and a minimum fixed charge coverage ratio as defined in the Credit Agreement.</w:t>
      </w:r>
    </w:p>
    <w:p>
      <w:pPr>
        <w:spacing w:after="0" w:line="1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 modification for accounting purposes. The First Amendment amended the Credit Agreement in order to (i) increase the revolving commitment from $150.0 million to $200.0 million; (ii) extend the maturity date from May 14, 2026 to July 8, 2027; (iii) amend the pricing index to replace BSBY with the Term Secured Overnight Financing Rate; and (iv) reduce the commitment fee in some instances.</w:t>
      </w:r>
    </w:p>
    <w:p>
      <w:pPr>
        <w:spacing w:after="0" w:line="15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January 31, 2025, the Company entered into the Second Amendment to the Credit Agreement (the “Second Amendment”), which was treated as an extinguishment for accounting purposes. The Second Amendment amends the Credit Agreement in order to (i) decrease the revolving commitment from $200.0 million to $100.0 million (ii) revise the definition of “Applicable Rate” to provide for pricing terms in the event of a Rent Adjusted Leverage Ratio greater than or equal to 3.50:1.0; (iii) limit the exceptions to the prohibition on restricted payments to (a) making dividends or distributions by any subsidiary to the Company, and (b) the acquisition of equity interests in satisfaction of tax withholding obligations associated with restricted stock or awards under employee incentive plans; and (iv) provide that the Maximum Rent Adjusted Leverage Ratio and the Minimum Fixed Charge Coverage Ratio would be measured commencing on the fiscal quarter ending May 2, 2021 and measured quarterly thereafter as of the last day of each fiscal quarter of the Company (other than for the fiscal quarter ending February 2, 2025).</w:t>
      </w:r>
    </w:p>
    <w:p>
      <w:pPr>
        <w:spacing w:after="0" w:line="151"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On April 28, 2025, the Company entered into a new credit agreement (the “New Credit Agreement”) among the Company, certain financial institutions as Lenders thereto, and BMO Bank N.A., as Administrative Agent, a Swing Line Lender and a Letter of Credit Issuer. The Credit Agreement provides for borrowings of up to $100.0 million in aggregate principal amount that are available under an asset-based revolving senior credit facility (the “Revolver”) with a $10.0 million sublimit for the issuance of standby letters of credit.</w:t>
      </w:r>
    </w:p>
    <w:p>
      <w:pPr>
        <w:spacing w:after="0" w:line="139"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Under the New Credit Agreement, (i) each Secured Overnight Financing Rate (“SOFR”) loan will bear interest on the outstanding principal amount at a rate per annum equal to adjusted term SOFR plus 150 basis points; (ii) each base rate loan will bear interest on the outstanding principal amount from the applicable borrowing date at a rate per annum equal to the Base Rate (as defined in the New Credit Agreement) plus 50 basis points; (iii) each swing line loan will bear interest on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4" w:name="page55"/>
    <w:bookmarkEnd w:id="5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outstanding principal amount from the applicable borrowing date at a rate per annum equal to the base rate plus the applicable margin; and (iv) each other obligation will bear interest on the unpaid amount at a rate per annum equal to the base rate plus the applicable margin.</w:t>
      </w:r>
    </w:p>
    <w:p>
      <w:pPr>
        <w:spacing w:after="0" w:line="121"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The Company is also permitted to voluntarily prepay the New Credit Agreement in whole or in part at any time, where borrowings bearing interest based on the base rate may be prepaid at any time without penalty and borrowings bearing interest based on SOFR may be prepaid, subject to payment of usual and customary breakage and redeployment costs. The revolver will mature on April 28, 2030. Pursuant to the New Credit Agreement, the Company may request an increase in the revolving credit commitments in the aggregate amount of up to $25.0 million during the term of the New Credit Agreement and with the consent of the Administrative Agent, subject to credit approval of the Lenders and the satisfaction of certain conditions. The New Credit Agreement contains customary events of default and financial, affirmative and negative covenants and is secured by a first-priority perfected security interest in substantially all of the tangible and intangible assets of the Company.</w:t>
      </w:r>
    </w:p>
    <w:p>
      <w:pPr>
        <w:spacing w:after="0" w:line="162"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The new $100.0 million Revolver replaces the prior revolving credit facility at a lower interest rate and extends the availability of funds to April 28, 2030. The Company believes the New Credit Agreement will provide the Company with flexibility and liquidity to finance seasonal inventory builds.</w:t>
      </w:r>
    </w:p>
    <w:p>
      <w:pPr>
        <w:spacing w:after="0" w:line="121" w:lineRule="exact"/>
        <w:rPr>
          <w:sz w:val="20"/>
          <w:szCs w:val="20"/>
          <w:color w:val="auto"/>
        </w:rPr>
      </w:pPr>
    </w:p>
    <w:p>
      <w:pPr>
        <w:ind w:right="500" w:firstLine="494"/>
        <w:spacing w:after="0" w:line="282" w:lineRule="auto"/>
        <w:rPr>
          <w:sz w:val="20"/>
          <w:szCs w:val="20"/>
          <w:color w:val="auto"/>
        </w:rPr>
      </w:pPr>
      <w:r>
        <w:rPr>
          <w:rFonts w:ascii="Times New Roman" w:cs="Times New Roman" w:eastAsia="Times New Roman" w:hAnsi="Times New Roman"/>
          <w:sz w:val="18"/>
          <w:szCs w:val="18"/>
          <w:color w:val="auto"/>
        </w:rPr>
        <w:t>On July 16, 2025, the Company entered into the First Amendment to the New Credit Agreement, pursuant to which all revolving credit loans advanced or prepaid pursuant to such Sweep to Loan Arrangement shall bear interest based on the Base Rate.</w:t>
      </w:r>
    </w:p>
    <w:p>
      <w:pPr>
        <w:spacing w:after="0" w:line="121" w:lineRule="exact"/>
        <w:rPr>
          <w:sz w:val="20"/>
          <w:szCs w:val="20"/>
          <w:color w:val="auto"/>
        </w:rPr>
      </w:pPr>
    </w:p>
    <w:p>
      <w:pPr>
        <w:jc w:val="both"/>
        <w:ind w:right="120" w:firstLine="494"/>
        <w:spacing w:after="0" w:line="257" w:lineRule="auto"/>
        <w:rPr>
          <w:sz w:val="20"/>
          <w:szCs w:val="20"/>
          <w:color w:val="auto"/>
        </w:rPr>
      </w:pPr>
      <w:r>
        <w:rPr>
          <w:rFonts w:ascii="Times New Roman" w:cs="Times New Roman" w:eastAsia="Times New Roman" w:hAnsi="Times New Roman"/>
          <w:sz w:val="18"/>
          <w:szCs w:val="18"/>
          <w:color w:val="auto"/>
        </w:rPr>
        <w:t>On October 1, 2025, the Company entered into the Second Amendment to the New Credit Agreement, which, among other things, (i) temporarily increased the aggregate revolving credit commitment under the Credit Agreement from $100.0 million to $125.0 million, as allowed by the existing New Credit Agreement, beginning on October 1, 2025 until March 31, 2026, as of which date the revolving credit commitment returned to $100.0 million and</w:t>
      </w:r>
    </w:p>
    <w:p>
      <w:pPr>
        <w:spacing w:after="0" w:line="1" w:lineRule="exact"/>
        <w:rPr>
          <w:sz w:val="20"/>
          <w:szCs w:val="20"/>
          <w:color w:val="auto"/>
        </w:rPr>
      </w:pPr>
    </w:p>
    <w:p>
      <w:pPr>
        <w:ind w:right="140" w:firstLine="8"/>
        <w:spacing w:after="0" w:line="260"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the Company to request a second increase in the revolving credit commitment of $25.0 million during the term of the New Credit Agreement after March 31, 2026 with the consent of the Administrative Agent, subject to credit approval of the Lenders and satisfaction of certain conditions.</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9" w:right="4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ind w:left="520" w:right="5640" w:hanging="512"/>
        <w:spacing w:after="0" w:line="504" w:lineRule="auto"/>
        <w:tabs>
          <w:tab w:leader="none" w:pos="236"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Freight</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39,693</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VARIABLE INTEREST ENTITIES</w:t>
      </w:r>
    </w:p>
    <w:p>
      <w:pPr>
        <w:spacing w:after="0" w:line="200"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February 1, 2026 and February 2, 2025.</w:t>
      </w:r>
    </w:p>
    <w:p>
      <w:pPr>
        <w:spacing w:after="0" w:line="14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originally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Consolidated Balance Sheets include the following amounts as a result of the consolidation of TRI as of February 1, 2026 and February 2,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42"/>
        </w:trPr>
        <w:tc>
          <w:tcPr>
            <w:tcW w:w="7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21,702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22,321</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21,710</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22,332</w:t>
            </w:r>
          </w:p>
        </w:tc>
        <w:tc>
          <w:tcPr>
            <w:tcW w:w="0" w:type="dxa"/>
            <w:vAlign w:val="bottom"/>
          </w:tcPr>
          <w:p>
            <w:pPr>
              <w:spacing w:after="0"/>
              <w:rPr>
                <w:sz w:val="1"/>
                <w:szCs w:val="1"/>
                <w:color w:val="auto"/>
              </w:rPr>
            </w:pPr>
          </w:p>
        </w:tc>
      </w:tr>
      <w:tr>
        <w:trPr>
          <w:trHeight w:val="41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0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24,283</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10"/>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22,332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-882015</wp:posOffset>
            </wp:positionV>
            <wp:extent cx="1200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-864870</wp:posOffset>
            </wp:positionV>
            <wp:extent cx="1200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200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6"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While the Balance Sheet is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the obligor of the TRI debt.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The reconciliation of the numerator and denominator of the basic and diluted earnings per share calculation is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4"/>
          </w:tcPr>
          <w:p>
            <w:pPr>
              <w:jc w:val="right"/>
              <w:ind w:right="1473"/>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56"/>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February 1, 2026</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 - net (loss) income attributable to controlling interest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 (Class A and Class B)</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34,619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33,368</w:t>
            </w:r>
          </w:p>
        </w:tc>
        <w:tc>
          <w:tcPr>
            <w:tcW w:w="0" w:type="dxa"/>
            <w:vAlign w:val="bottom"/>
          </w:tcPr>
          <w:p>
            <w:pPr>
              <w:spacing w:after="0"/>
              <w:rPr>
                <w:sz w:val="1"/>
                <w:szCs w:val="1"/>
                <w:color w:val="auto"/>
              </w:rPr>
            </w:pPr>
          </w:p>
        </w:tc>
      </w:tr>
      <w:tr>
        <w:trPr>
          <w:trHeight w:val="216"/>
        </w:trPr>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Dilutive shares</w:t>
            </w:r>
          </w:p>
        </w:tc>
        <w:tc>
          <w:tcPr>
            <w:tcW w:w="1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8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34,619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33,368</w:t>
            </w:r>
          </w:p>
        </w:tc>
        <w:tc>
          <w:tcPr>
            <w:tcW w:w="0" w:type="dxa"/>
            <w:vAlign w:val="bottom"/>
          </w:tcPr>
          <w:p>
            <w:pPr>
              <w:spacing w:after="0"/>
              <w:rPr>
                <w:sz w:val="1"/>
                <w:szCs w:val="1"/>
                <w:color w:val="auto"/>
              </w:rPr>
            </w:pPr>
          </w:p>
        </w:tc>
      </w:tr>
      <w:tr>
        <w:trPr>
          <w:trHeight w:val="197"/>
        </w:trPr>
        <w:tc>
          <w:tcPr>
            <w:tcW w:w="5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(Class A and Class B)</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4"/>
        </w:trPr>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-448310</wp:posOffset>
            </wp:positionV>
            <wp:extent cx="146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-431165</wp:posOffset>
            </wp:positionV>
            <wp:extent cx="1460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computation of diluted loss per share excluded 0.6 million and 0.1 million shares of unvested restricted stock for the fiscal years ended February 1, 2026 and February 2, 2025, respectively, because their inclusion would be anti-dilutive due to a net loss.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fulfillment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353,452</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419,860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Stores</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211,732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206,769</w:t>
            </w:r>
          </w:p>
        </w:tc>
      </w:tr>
      <w:tr>
        <w:trPr>
          <w:trHeight w:val="250"/>
        </w:trPr>
        <w:tc>
          <w:tcPr>
            <w:tcW w:w="64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565,184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626,629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1714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1714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are expected to be resold and are recorded in Prepaid expenses and other current assets on the Company’s Consolidated Balance Sheets. The Company’s contract liabilities primarily consist of gift card liabilities and are recorded upon issuance in Accrued expenses and other current liabilities under deferred revenue (see Note 5 “Accrued Expenses and Other Current Liabilities”) on the Company’s Consolidated Balance Sheets. Upon issuance of a gift card, a liability is established for its cash value.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2,020</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2,301</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9,192</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9,782</w:t>
            </w:r>
          </w:p>
        </w:tc>
      </w:tr>
      <w:tr>
        <w:trPr>
          <w:trHeight w:val="630"/>
        </w:trPr>
        <w:tc>
          <w:tcPr>
            <w:tcW w:w="3440" w:type="dxa"/>
            <w:vAlign w:val="bottom"/>
          </w:tcPr>
          <w:p>
            <w:pPr>
              <w:spacing w:after="0"/>
              <w:rPr>
                <w:sz w:val="24"/>
                <w:szCs w:val="24"/>
                <w:color w:val="auto"/>
              </w:rPr>
            </w:pPr>
          </w:p>
        </w:tc>
        <w:tc>
          <w:tcPr>
            <w:tcW w:w="30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06"/>
        </w:trPr>
        <w:tc>
          <w:tcPr>
            <w:tcW w:w="34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9,782</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9,579</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340" w:type="dxa"/>
            <w:vAlign w:val="bottom"/>
          </w:tcPr>
          <w:p>
            <w:pPr>
              <w:spacing w:after="0"/>
              <w:rPr>
                <w:sz w:val="18"/>
                <w:szCs w:val="18"/>
                <w:color w:val="auto"/>
              </w:rPr>
            </w:pPr>
          </w:p>
        </w:tc>
        <w:tc>
          <w:tcPr>
            <w:tcW w:w="1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19,113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18,975</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34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(17,173)</w:t>
            </w:r>
          </w:p>
        </w:tc>
      </w:tr>
      <w:tr>
        <w:trPr>
          <w:trHeight w:val="216"/>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4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3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9,192</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-25400</wp:posOffset>
            </wp:positionV>
            <wp:extent cx="1714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1714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1714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 has adopted Accounting Standards Update (“ASU”) 2023-09, “Income Taxes (Topic 740): Improvements to Income Tax Disclosures,” on a prospective basis for the year ended February 1, 2026. See Note 2. “Summary of Significant Accounting Policies - Income Taxes,” of these Notes to the Consolidated Financial Statements for additional details on the adoption of ASU 2023-09.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Company’s provision for income taxes consists of the following:</w:t>
            </w:r>
          </w:p>
        </w:tc>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60" w:type="dxa"/>
            <w:vAlign w:val="bottom"/>
          </w:tcPr>
          <w:p>
            <w:pPr>
              <w:spacing w:after="0"/>
              <w:rPr>
                <w:sz w:val="24"/>
                <w:szCs w:val="24"/>
                <w:color w:val="auto"/>
              </w:rPr>
            </w:pPr>
          </w:p>
        </w:tc>
        <w:tc>
          <w:tcPr>
            <w:tcW w:w="28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February 1, 2026</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 / (benefit) from continuing operations</w:t>
            </w:r>
          </w:p>
        </w:tc>
        <w:tc>
          <w:tcPr>
            <w:tcW w:w="136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tax expense</w:t>
            </w:r>
          </w:p>
        </w:tc>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 and local</w:t>
            </w:r>
          </w:p>
        </w:tc>
        <w:tc>
          <w:tcPr>
            <w:tcW w:w="1360" w:type="dxa"/>
            <w:vAlign w:val="bottom"/>
          </w:tcPr>
          <w:p>
            <w:pPr>
              <w:spacing w:after="0"/>
              <w:rPr>
                <w:sz w:val="18"/>
                <w:szCs w:val="18"/>
                <w:color w:val="auto"/>
              </w:rPr>
            </w:pPr>
          </w:p>
        </w:tc>
        <w:tc>
          <w:tcPr>
            <w:tcW w:w="2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360" w:type="dxa"/>
            <w:vAlign w:val="bottom"/>
            <w:shd w:val="clear" w:color="auto" w:fill="CFF0FC"/>
          </w:tcPr>
          <w:p>
            <w:pPr>
              <w:spacing w:after="0"/>
              <w:rPr>
                <w:sz w:val="18"/>
                <w:szCs w:val="18"/>
                <w:color w:val="auto"/>
              </w:rPr>
            </w:pPr>
          </w:p>
        </w:tc>
        <w:tc>
          <w:tcPr>
            <w:tcW w:w="2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expense</w:t>
            </w:r>
          </w:p>
        </w:tc>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16"/>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 and local</w:t>
            </w:r>
          </w:p>
        </w:tc>
        <w:tc>
          <w:tcPr>
            <w:tcW w:w="1360" w:type="dxa"/>
            <w:vAlign w:val="bottom"/>
          </w:tcPr>
          <w:p>
            <w:pPr>
              <w:spacing w:after="0"/>
              <w:rPr>
                <w:sz w:val="18"/>
                <w:szCs w:val="18"/>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1360" w:type="dxa"/>
            <w:vAlign w:val="bottom"/>
            <w:shd w:val="clear" w:color="auto" w:fill="CFF0FC"/>
          </w:tcPr>
          <w:p>
            <w:pPr>
              <w:spacing w:after="0"/>
              <w:rPr>
                <w:sz w:val="18"/>
                <w:szCs w:val="18"/>
                <w:color w:val="auto"/>
              </w:rPr>
            </w:pPr>
          </w:p>
        </w:tc>
        <w:tc>
          <w:tcPr>
            <w:tcW w:w="2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6"/>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State and local</w:t>
            </w:r>
          </w:p>
        </w:tc>
        <w:tc>
          <w:tcPr>
            <w:tcW w:w="1360" w:type="dxa"/>
            <w:vAlign w:val="bottom"/>
            <w:tcBorders>
              <w:bottom w:val="single" w:sz="8" w:color="CFF0FC"/>
            </w:tcBorders>
          </w:tcPr>
          <w:p>
            <w:pPr>
              <w:spacing w:after="0"/>
              <w:rPr>
                <w:sz w:val="18"/>
                <w:szCs w:val="18"/>
                <w:color w:val="auto"/>
              </w:rPr>
            </w:pPr>
          </w:p>
        </w:tc>
        <w:tc>
          <w:tcPr>
            <w:tcW w:w="2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9"/>
        </w:trPr>
        <w:tc>
          <w:tcPr>
            <w:tcW w:w="702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 ended February 2, 2025, prior to the adoption of ASU 2023-09, the Company's provision for income taxes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60" w:type="dxa"/>
            <w:vAlign w:val="bottom"/>
          </w:tcPr>
          <w:p>
            <w:pPr>
              <w:spacing w:after="0"/>
              <w:rPr>
                <w:sz w:val="20"/>
                <w:szCs w:val="20"/>
                <w:color w:val="auto"/>
              </w:rPr>
            </w:pPr>
          </w:p>
        </w:tc>
        <w:tc>
          <w:tcPr>
            <w:tcW w:w="2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February 2, 2025</w:t>
            </w:r>
          </w:p>
        </w:tc>
        <w:tc>
          <w:tcPr>
            <w:tcW w:w="0" w:type="dxa"/>
            <w:vAlign w:val="bottom"/>
          </w:tcPr>
          <w:p>
            <w:pPr>
              <w:spacing w:after="0"/>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 / (benefit) from continuing operations</w:t>
            </w:r>
          </w:p>
        </w:tc>
        <w:tc>
          <w:tcPr>
            <w:tcW w:w="2160" w:type="dxa"/>
            <w:vAlign w:val="bottom"/>
            <w:shd w:val="clear" w:color="auto" w:fill="CFF0FC"/>
          </w:tcPr>
          <w:p>
            <w:pPr>
              <w:spacing w:after="0"/>
              <w:rPr>
                <w:sz w:val="18"/>
                <w:szCs w:val="18"/>
                <w:color w:val="auto"/>
              </w:rPr>
            </w:pPr>
          </w:p>
        </w:tc>
        <w:tc>
          <w:tcPr>
            <w:tcW w:w="2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2160" w:type="dxa"/>
            <w:vAlign w:val="bottom"/>
          </w:tcPr>
          <w:p>
            <w:pPr>
              <w:spacing w:after="0"/>
              <w:rPr>
                <w:sz w:val="18"/>
                <w:szCs w:val="18"/>
                <w:color w:val="auto"/>
              </w:rPr>
            </w:pPr>
          </w:p>
        </w:tc>
        <w:tc>
          <w:tcPr>
            <w:tcW w:w="2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9"/>
        </w:trPr>
        <w:tc>
          <w:tcPr>
            <w:tcW w:w="6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160" w:type="dxa"/>
            <w:vAlign w:val="bottom"/>
            <w:shd w:val="clear" w:color="auto" w:fill="CFF0FC"/>
          </w:tcPr>
          <w:p>
            <w:pPr>
              <w:spacing w:after="0"/>
              <w:rPr>
                <w:sz w:val="18"/>
                <w:szCs w:val="18"/>
                <w:color w:val="auto"/>
              </w:rPr>
            </w:pPr>
          </w:p>
        </w:tc>
        <w:tc>
          <w:tcPr>
            <w:tcW w:w="2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2160" w:type="dxa"/>
            <w:vAlign w:val="bottom"/>
          </w:tcPr>
          <w:p>
            <w:pPr>
              <w:spacing w:after="0"/>
              <w:rPr>
                <w:sz w:val="18"/>
                <w:szCs w:val="18"/>
                <w:color w:val="auto"/>
              </w:rPr>
            </w:pPr>
          </w:p>
        </w:tc>
        <w:tc>
          <w:tcPr>
            <w:tcW w:w="2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160" w:type="dxa"/>
            <w:vAlign w:val="bottom"/>
            <w:tcBorders>
              <w:bottom w:val="single" w:sz="8" w:color="CFF0FC"/>
            </w:tcBorders>
            <w:shd w:val="clear" w:color="auto" w:fill="CFF0FC"/>
          </w:tcPr>
          <w:p>
            <w:pPr>
              <w:spacing w:after="0"/>
              <w:rPr>
                <w:sz w:val="18"/>
                <w:szCs w:val="18"/>
                <w:color w:val="auto"/>
              </w:rPr>
            </w:pPr>
          </w:p>
        </w:tc>
        <w:tc>
          <w:tcPr>
            <w:tcW w:w="2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09"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reconciliation of the U.S. federal statutory tax rate to the effective tax rate for the year ended February 1, 2026 is as follows:</w:t>
      </w:r>
    </w:p>
    <w:p>
      <w:pPr>
        <w:spacing w:after="0" w:line="22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February 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w:t>
            </w:r>
          </w:p>
        </w:tc>
        <w:tc>
          <w:tcPr>
            <w:tcW w:w="320" w:type="dxa"/>
            <w:vAlign w:val="bottom"/>
            <w:tcBorders>
              <w:top w:val="single" w:sz="8" w:color="auto"/>
              <w:bottom w:val="single" w:sz="8" w:color="auto"/>
            </w:tcBorders>
          </w:tcPr>
          <w:p>
            <w:pPr>
              <w:spacing w:after="0"/>
              <w:rPr>
                <w:sz w:val="18"/>
                <w:szCs w:val="18"/>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excluding noncontrolling interest, before income tax expense</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43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 at the U.S. federal statutory rate</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Credits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9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w:t>
            </w:r>
          </w:p>
        </w:tc>
        <w:tc>
          <w:tcPr>
            <w:tcW w:w="144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(27.0) %</w:t>
            </w: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 -based compensation benefit</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144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Nondeductible U.S. compensation expense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44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 net of federal income tax benefit*</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5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1,185</w:t>
            </w:r>
          </w:p>
        </w:tc>
        <w:tc>
          <w:tcPr>
            <w:tcW w:w="1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(7.8) %</w:t>
            </w:r>
          </w:p>
        </w:tc>
      </w:tr>
      <w:tr>
        <w:trPr>
          <w:trHeight w:val="20"/>
        </w:trPr>
        <w:tc>
          <w:tcPr>
            <w:tcW w:w="6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-170815</wp:posOffset>
            </wp:positionV>
            <wp:extent cx="1200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-170815</wp:posOffset>
            </wp:positionV>
            <wp:extent cx="2057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states that contribute to the majority (greater than 50%) of the tax effect of this category include Texas and Oregon.</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 ended February 2, 2025, prior to the adoption of ASU 2023-09, the effective income tax rate differs from the statutory federal income tax rate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00" w:type="dxa"/>
            <w:vAlign w:val="bottom"/>
          </w:tcPr>
          <w:p>
            <w:pPr>
              <w:spacing w:after="0"/>
              <w:rPr>
                <w:sz w:val="20"/>
                <w:szCs w:val="20"/>
                <w:color w:val="auto"/>
              </w:rPr>
            </w:pPr>
          </w:p>
        </w:tc>
        <w:tc>
          <w:tcPr>
            <w:tcW w:w="30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February 2, 2025</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15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Percent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taxes at statutory rate</w:t>
            </w:r>
          </w:p>
        </w:tc>
        <w:tc>
          <w:tcPr>
            <w:tcW w:w="3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3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 price difference</w:t>
            </w:r>
          </w:p>
        </w:tc>
        <w:tc>
          <w:tcPr>
            <w:tcW w:w="3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1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uncertain tax positions</w:t>
            </w:r>
          </w:p>
        </w:tc>
        <w:tc>
          <w:tcPr>
            <w:tcW w:w="3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11,773</w:t>
            </w:r>
          </w:p>
        </w:tc>
        <w:tc>
          <w:tcPr>
            <w:tcW w:w="1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2,370</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628"/>
        </w:trPr>
        <w:tc>
          <w:tcPr>
            <w:tcW w:w="4600" w:type="dxa"/>
            <w:vAlign w:val="bottom"/>
            <w:tcBorders>
              <w:top w:val="single" w:sz="8" w:color="CFF0FC"/>
            </w:tcBorders>
          </w:tcPr>
          <w:p>
            <w:pPr>
              <w:spacing w:after="0"/>
              <w:rPr>
                <w:sz w:val="24"/>
                <w:szCs w:val="24"/>
                <w:color w:val="auto"/>
              </w:rPr>
            </w:pPr>
          </w:p>
        </w:tc>
        <w:tc>
          <w:tcPr>
            <w:tcW w:w="3300" w:type="dxa"/>
            <w:vAlign w:val="bottom"/>
            <w:tcBorders>
              <w:top w:val="single" w:sz="8" w:color="CFF0FC"/>
            </w:tcBorders>
          </w:tcPr>
          <w:p>
            <w:pPr>
              <w:jc w:val="right"/>
              <w:ind w:right="2090"/>
              <w:spacing w:after="0"/>
              <w:rPr>
                <w:sz w:val="20"/>
                <w:szCs w:val="20"/>
                <w:color w:val="auto"/>
              </w:rPr>
            </w:pPr>
            <w:r>
              <w:rPr>
                <w:rFonts w:ascii="Times New Roman" w:cs="Times New Roman" w:eastAsia="Times New Roman" w:hAnsi="Times New Roman"/>
                <w:sz w:val="18"/>
                <w:szCs w:val="18"/>
                <w:color w:val="auto"/>
              </w:rPr>
              <w:t>58</w:t>
            </w:r>
          </w:p>
        </w:tc>
        <w:tc>
          <w:tcPr>
            <w:tcW w:w="15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6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-770890</wp:posOffset>
            </wp:positionV>
            <wp:extent cx="1543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-753745</wp:posOffset>
            </wp:positionV>
            <wp:extent cx="1543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-770890</wp:posOffset>
            </wp:positionV>
            <wp:extent cx="1885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-753745</wp:posOffset>
            </wp:positionV>
            <wp:extent cx="1885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of cash taxes paid by the Company for fiscal year ending February 1,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80" w:type="dxa"/>
            <w:vAlign w:val="bottom"/>
          </w:tcPr>
          <w:p>
            <w:pPr>
              <w:spacing w:after="0"/>
              <w:rPr>
                <w:sz w:val="20"/>
                <w:szCs w:val="20"/>
                <w:color w:val="auto"/>
              </w:rPr>
            </w:pPr>
          </w:p>
        </w:tc>
        <w:tc>
          <w:tcPr>
            <w:tcW w:w="414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February 1, 2026</w:t>
            </w:r>
          </w:p>
        </w:tc>
        <w:tc>
          <w:tcPr>
            <w:tcW w:w="0" w:type="dxa"/>
            <w:vAlign w:val="bottom"/>
          </w:tcPr>
          <w:p>
            <w:pPr>
              <w:spacing w:after="0"/>
              <w:rPr>
                <w:sz w:val="1"/>
                <w:szCs w:val="1"/>
                <w:color w:val="auto"/>
              </w:rPr>
            </w:pPr>
          </w:p>
        </w:tc>
      </w:tr>
      <w:tr>
        <w:trPr>
          <w:trHeight w:val="159"/>
        </w:trPr>
        <w:tc>
          <w:tcPr>
            <w:tcW w:w="442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U.S federal</w:t>
            </w:r>
          </w:p>
        </w:tc>
        <w:tc>
          <w:tcPr>
            <w:tcW w:w="2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state</w:t>
            </w:r>
          </w:p>
        </w:tc>
        <w:tc>
          <w:tcPr>
            <w:tcW w:w="2680" w:type="dxa"/>
            <w:vAlign w:val="bottom"/>
            <w:shd w:val="clear" w:color="auto" w:fill="CFF0FC"/>
          </w:tcPr>
          <w:p>
            <w:pPr>
              <w:spacing w:after="0"/>
              <w:rPr>
                <w:sz w:val="18"/>
                <w:szCs w:val="18"/>
                <w:color w:val="auto"/>
              </w:rPr>
            </w:pPr>
          </w:p>
        </w:tc>
        <w:tc>
          <w:tcPr>
            <w:tcW w:w="4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Kentucky</w:t>
            </w:r>
          </w:p>
        </w:tc>
        <w:tc>
          <w:tcPr>
            <w:tcW w:w="2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Minnesota</w:t>
            </w:r>
          </w:p>
        </w:tc>
        <w:tc>
          <w:tcPr>
            <w:tcW w:w="2680" w:type="dxa"/>
            <w:vAlign w:val="bottom"/>
            <w:shd w:val="clear" w:color="auto" w:fill="CFF0FC"/>
          </w:tcPr>
          <w:p>
            <w:pPr>
              <w:spacing w:after="0"/>
              <w:rPr>
                <w:sz w:val="18"/>
                <w:szCs w:val="18"/>
                <w:color w:val="auto"/>
              </w:rPr>
            </w:pPr>
          </w:p>
        </w:tc>
        <w:tc>
          <w:tcPr>
            <w:tcW w:w="4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 Carolina</w:t>
            </w:r>
          </w:p>
        </w:tc>
        <w:tc>
          <w:tcPr>
            <w:tcW w:w="2680" w:type="dxa"/>
            <w:vAlign w:val="bottom"/>
          </w:tcPr>
          <w:p>
            <w:pPr>
              <w:spacing w:after="0"/>
              <w:rPr>
                <w:sz w:val="18"/>
                <w:szCs w:val="18"/>
                <w:color w:val="auto"/>
              </w:rPr>
            </w:pPr>
          </w:p>
        </w:tc>
        <w:tc>
          <w:tcPr>
            <w:tcW w:w="4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Oregon</w:t>
            </w:r>
          </w:p>
        </w:tc>
        <w:tc>
          <w:tcPr>
            <w:tcW w:w="2680" w:type="dxa"/>
            <w:vAlign w:val="bottom"/>
            <w:shd w:val="clear" w:color="auto" w:fill="CFF0FC"/>
          </w:tcPr>
          <w:p>
            <w:pPr>
              <w:spacing w:after="0"/>
              <w:rPr>
                <w:sz w:val="18"/>
                <w:szCs w:val="18"/>
                <w:color w:val="auto"/>
              </w:rPr>
            </w:pPr>
          </w:p>
        </w:tc>
        <w:tc>
          <w:tcPr>
            <w:tcW w:w="4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Tennessee</w:t>
            </w:r>
          </w:p>
        </w:tc>
        <w:tc>
          <w:tcPr>
            <w:tcW w:w="2680" w:type="dxa"/>
            <w:vAlign w:val="bottom"/>
          </w:tcPr>
          <w:p>
            <w:pPr>
              <w:spacing w:after="0"/>
              <w:rPr>
                <w:sz w:val="18"/>
                <w:szCs w:val="18"/>
                <w:color w:val="auto"/>
              </w:rPr>
            </w:pPr>
          </w:p>
        </w:tc>
        <w:tc>
          <w:tcPr>
            <w:tcW w:w="4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2680" w:type="dxa"/>
            <w:vAlign w:val="bottom"/>
            <w:shd w:val="clear" w:color="auto" w:fill="CFF0FC"/>
          </w:tcPr>
          <w:p>
            <w:pPr>
              <w:spacing w:after="0"/>
              <w:rPr>
                <w:sz w:val="18"/>
                <w:szCs w:val="18"/>
                <w:color w:val="auto"/>
              </w:rPr>
            </w:pPr>
          </w:p>
        </w:tc>
        <w:tc>
          <w:tcPr>
            <w:tcW w:w="4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tcPr>
          <w:p>
            <w:pPr>
              <w:spacing w:after="0"/>
              <w:rPr>
                <w:sz w:val="18"/>
                <w:szCs w:val="18"/>
                <w:color w:val="auto"/>
              </w:rPr>
            </w:pPr>
          </w:p>
        </w:tc>
        <w:tc>
          <w:tcPr>
            <w:tcW w:w="4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U.S. state and local</w:t>
            </w:r>
          </w:p>
        </w:tc>
        <w:tc>
          <w:tcPr>
            <w:tcW w:w="2680" w:type="dxa"/>
            <w:vAlign w:val="bottom"/>
            <w:shd w:val="clear" w:color="auto" w:fill="CFF0FC"/>
          </w:tcPr>
          <w:p>
            <w:pPr>
              <w:spacing w:after="0"/>
              <w:rPr>
                <w:sz w:val="18"/>
                <w:szCs w:val="18"/>
                <w:color w:val="auto"/>
              </w:rPr>
            </w:pPr>
          </w:p>
        </w:tc>
        <w:tc>
          <w:tcPr>
            <w:tcW w:w="4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foreign</w:t>
            </w:r>
          </w:p>
        </w:tc>
        <w:tc>
          <w:tcPr>
            <w:tcW w:w="2680" w:type="dxa"/>
            <w:vAlign w:val="bottom"/>
            <w:tcBorders>
              <w:bottom w:val="single" w:sz="8" w:color="CFF0FC"/>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taxes paid, net</w:t>
            </w:r>
          </w:p>
        </w:tc>
        <w:tc>
          <w:tcPr>
            <w:tcW w:w="26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amount of income taxes paid during the year does not meet the 5% disaggregation threshold</w:t>
      </w: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tax effects of unrealized gains and losses on securities are components of other comprehensive income and therefore excluded from deferred tax expense.</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Company regularly assesses the realizability of deferred tax assets and under the asset and liability method prescribed under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recognizes deferred tax assets and liabilities for the future tax consequences attributable to differences between financial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amounts of assets and liabilities and their respective tax bases. Deferred tax assets and liabilities are measured using enacted tax rates expected to apply to taxable income in the years in which those temporary differences are expected to be realized or settled. The effect of a change in tax rates on deferred tax assets and liabilities is recognized in income in the period that includes the enactment date. The realizability of deferred tax assets is assessed throughout the year and a valuation allowance is recorded, if necessary, to reduce net deferred tax assets to the amount more likely than not to be realized. The Company considers all available evidence, both positive and negative, to determine the realizability of deferred tax assets and includes historical information about results of operations for the current and preceding years as well as more subjective information about future years. In conducting this assessment, a significant piece of objective negative evidence evaluated by management was a cumulative loss over the most recent 36-month period ended October 27, 2024, which was not outweighed by available positive evidence and which limited the Company’s ability to give weight to projections of future growth for purposes of this assessment. This assessment is performed quarterly. As of fiscal years ended February 1, 2026, and February 2, 2025, the Company was still was in an cumulative loss position for the most recent 36-month period. Accordingly, as of February 1, 2026 and February 2, 2025, a valuation allowance of $16.3 million and $11.8 million, respectively, was provided against the net amount of deferred tax assets. The amount of the deferred tax assets considered realizable, however, could be adjusted if estimates of future taxable income during the carryforward period are increased or if objective negative evidence in the form of cumulative losses is no longer present and additional weight is given to subjective evidence such as our projections for growth.</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U.S. GAAP and tax bases of assets and liabilities. Significant components of deferred tax assets and liabilities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February 1, 2026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February 2, 2025</w:t>
            </w:r>
          </w:p>
        </w:tc>
        <w:tc>
          <w:tcPr>
            <w:tcW w:w="0" w:type="dxa"/>
            <w:vAlign w:val="bottom"/>
          </w:tcPr>
          <w:p>
            <w:pPr>
              <w:spacing w:after="0"/>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Returns allowance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Uniform capitalization</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3,742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intangibles</w:t>
            </w:r>
          </w:p>
        </w:tc>
        <w:tc>
          <w:tcPr>
            <w:tcW w:w="2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investment</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Federal &amp; state credit</w:t>
            </w:r>
          </w:p>
        </w:tc>
        <w:tc>
          <w:tcPr>
            <w:tcW w:w="2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44,866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46,412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2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2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interest limitation</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Sales tax accrual</w:t>
            </w:r>
          </w:p>
        </w:tc>
        <w:tc>
          <w:tcPr>
            <w:tcW w:w="2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Charitable contributions</w:t>
            </w:r>
          </w:p>
        </w:tc>
        <w:tc>
          <w:tcPr>
            <w:tcW w:w="2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Federal &amp; state NOL</w:t>
            </w:r>
          </w:p>
        </w:tc>
        <w:tc>
          <w:tcPr>
            <w:tcW w:w="2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20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65,789</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Pr>
          <w:p>
            <w:pPr>
              <w:spacing w:after="0"/>
              <w:rPr>
                <w:sz w:val="19"/>
                <w:szCs w:val="19"/>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53,942</w:t>
            </w:r>
          </w:p>
        </w:tc>
        <w:tc>
          <w:tcPr>
            <w:tcW w:w="0" w:type="dxa"/>
            <w:vAlign w:val="bottom"/>
          </w:tcPr>
          <w:p>
            <w:pPr>
              <w:spacing w:after="0"/>
              <w:rPr>
                <w:sz w:val="1"/>
                <w:szCs w:val="1"/>
                <w:color w:val="auto"/>
              </w:rPr>
            </w:pPr>
          </w:p>
        </w:tc>
      </w:tr>
      <w:tr>
        <w:trPr>
          <w:trHeight w:val="41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42,663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44,928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200" w:type="dxa"/>
            <w:vAlign w:val="bottom"/>
          </w:tcPr>
          <w:p>
            <w:pPr>
              <w:spacing w:after="0"/>
              <w:rPr>
                <w:sz w:val="18"/>
                <w:szCs w:val="18"/>
                <w:color w:val="auto"/>
              </w:rPr>
            </w:pP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20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49,629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53,942</w:t>
            </w:r>
          </w:p>
        </w:tc>
        <w:tc>
          <w:tcPr>
            <w:tcW w:w="0" w:type="dxa"/>
            <w:vAlign w:val="bottom"/>
          </w:tcPr>
          <w:p>
            <w:pPr>
              <w:spacing w:after="0"/>
              <w:rPr>
                <w:sz w:val="1"/>
                <w:szCs w:val="1"/>
                <w:color w:val="auto"/>
              </w:rPr>
            </w:pPr>
          </w:p>
        </w:tc>
      </w:tr>
      <w:tr>
        <w:trPr>
          <w:trHeight w:val="249"/>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-1704975</wp:posOffset>
            </wp:positionV>
            <wp:extent cx="1543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-1422400</wp:posOffset>
            </wp:positionV>
            <wp:extent cx="1543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-316865</wp:posOffset>
            </wp:positionV>
            <wp:extent cx="154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1543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1543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February 1, 2026, and February 2, 2025, we had state tax net operating losses (“NOL”) of approximately $30.6 million and $23.2 million, respectively. As of February 1, 2026, and February 2, 2025 we had state deferred tax assets of $1.6 million and $1.2 million related to these state NOLs, respectively. These state net operating loss carryforwards expire at various periods beginning in 2029. The federal NOL as of February 1, 2026 and February 2, 2025 is approximately $34.6 million and $30.1 million respectively. As of February 1, 2026, and February 2, 2025, federal deferred tax asset of $7.3 million and $6.3 million related to the federal NOL,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7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700" w:type="dxa"/>
            <w:vAlign w:val="bottom"/>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in prior years</w:t>
            </w:r>
          </w:p>
        </w:tc>
        <w:tc>
          <w:tcPr>
            <w:tcW w:w="170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in current year</w:t>
            </w:r>
          </w:p>
        </w:tc>
        <w:tc>
          <w:tcPr>
            <w:tcW w:w="17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Statute of limitations</w:t>
            </w:r>
          </w:p>
        </w:tc>
        <w:tc>
          <w:tcPr>
            <w:tcW w:w="17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700" w:type="dxa"/>
            <w:vAlign w:val="bottom"/>
            <w:tcBorders>
              <w:bottom w:val="single" w:sz="8" w:color="auto"/>
            </w:tcBorders>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1631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1631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17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recognized, $0.1 million of the Company’s unrecognized tax benefits as of February 1, 2026, would affect the Company’s effective tax rate. The Company does not anticipate that there will be a material change in the balance of the unrecognized tax benefits in the next 12 months. Any interest and penalties related to uncertain tax positions are recorded in</w:t>
      </w:r>
    </w:p>
    <w:p>
      <w:pPr>
        <w:sectPr>
          <w:pgSz w:w="11900" w:h="16838" w:orient="portrait"/>
          <w:cols w:equalWidth="0" w:num="1">
            <w:col w:w="11240"/>
          </w:cols>
          <w:pgMar w:left="320" w:top="509"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income tax expense. There were no material amounts recorded as tax expense for interest or penalties for the years ended February 1, 2026 or February 2, 2025.</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and in various state jurisdictions. Federal tax returns for tax years 2022 through 2024, and state tax returns for tax years 2021 through 2024, are open for examination.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 As of January 1, 2025, the Company updated the non-discretionary “safe harbor” matching contributions to the Plan to 100% of the basic contribution made by each participant on the first 1% of his or her compensation plus 50% of the basic contribution made by each participant on the next 5% of his or her compensation. On January 1, 2026, the Company reverted back to the prior plan terms where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w:t>
      </w:r>
    </w:p>
    <w:p>
      <w:pPr>
        <w:spacing w:after="0" w:line="16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also permitted to make discretionary profit sharing contributions to the Plan. There were no profit sharing contributions for the plan year ended December 31,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total expenses under the Plan were $1.6 million and $2.3 million for fiscal 2025 and fiscal 2024,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0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 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of February 1, 2026 and February 2, 2025, we had one reportable segment. The Company’s operating segment is based on how the Chief Operating Decision Maker (“CODM”) makes decisions about allocating resources and assessing performance. Our CODM is our Chief Executive Officer. The CODM has the ultimate decision-making authority for resource allocation and assessing the performance of the Company. Thereby, the CODM regularly reviews consolidated net income as the measure of segment profit or loss, as well as significant segment expenses included in the below table, to evaluate operating performance, generate future operating plans and make strategic decisions regarding the allocation of capital. The CODM also uses these measures in monitoring plan versus actual results. The CODM does not review segment assets at a different asset level or category than those disclosed in the consolidated balance sheets.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gross margin and selling, general and administrative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7"/>
          </w:tcPr>
          <w:p>
            <w:pPr>
              <w:jc w:val="right"/>
              <w:ind w:right="1471"/>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jc w:val="right"/>
              <w:ind w:right="431"/>
              <w:spacing w:after="0" w:line="131" w:lineRule="exact"/>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0" w:type="dxa"/>
            <w:vAlign w:val="bottom"/>
          </w:tcPr>
          <w:p>
            <w:pPr>
              <w:spacing w:after="0"/>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565,184</w:t>
            </w:r>
          </w:p>
        </w:tc>
        <w:tc>
          <w:tcPr>
            <w:tcW w:w="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626,629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263,570</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318,119</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margin</w:t>
            </w:r>
          </w:p>
        </w:tc>
        <w:tc>
          <w:tcPr>
            <w:tcW w:w="1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301,614</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308,510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Outbound shipping expenses</w:t>
            </w:r>
          </w:p>
        </w:tc>
        <w:tc>
          <w:tcPr>
            <w:tcW w:w="1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34,724</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43,664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58,413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67,518</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expenses</w:t>
            </w:r>
          </w:p>
        </w:tc>
        <w:tc>
          <w:tcPr>
            <w:tcW w:w="1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53,797</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56,055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Overhead expenses</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163,612</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170,386</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310,546</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337,623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1,225</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loss</w:t>
            </w:r>
          </w:p>
        </w:tc>
        <w:tc>
          <w:tcPr>
            <w:tcW w:w="1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(10,157)</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5,202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14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0"/>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(15,064)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(41,242)</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1,185</w:t>
            </w:r>
          </w:p>
        </w:tc>
        <w:tc>
          <w:tcPr>
            <w:tcW w:w="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09"/>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(16,249)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(43,612)</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4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2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(16,388)</w:t>
            </w:r>
          </w:p>
        </w:tc>
        <w:tc>
          <w:tcPr>
            <w:tcW w:w="4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RESTRUCTURING</w:t>
            </w: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1, 2026</w:t>
            </w:r>
          </w:p>
        </w:tc>
        <w:tc>
          <w:tcPr>
            <w:tcW w:w="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February 2, 2025</w:t>
            </w: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Early contract termination expense</w:t>
            </w: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Lease remeasurement expense</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Accelerated depreciation expense</w:t>
            </w:r>
          </w:p>
        </w:tc>
        <w:tc>
          <w:tcPr>
            <w:tcW w:w="1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benefit expense</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restructuring expense</w:t>
            </w:r>
          </w:p>
        </w:tc>
        <w:tc>
          <w:tcPr>
            <w:tcW w:w="14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-2536825</wp:posOffset>
            </wp:positionV>
            <wp:extent cx="1460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-2253615</wp:posOffset>
            </wp:positionV>
            <wp:extent cx="1460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-1971040</wp:posOffset>
            </wp:positionV>
            <wp:extent cx="1460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1625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5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On January 8, 2026, as a result of additional analysis of our fulfillment center network, we communicated our intent to close the Salt Lake City fulfillment center, as such, the Company recorded employment related termination benefits and other restructuring related expenses.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June 4, 2025, as a result of right-sizing the expense structure of the Company, the Company voluntarily underwent a reduction in force.</w:t>
      </w:r>
    </w:p>
    <w:p>
      <w:pPr>
        <w:spacing w:after="0" w:line="18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On July 12, 2024 (the “Effective Date”), as a result of the phase two analysis of the fulfillment center network, the Company voluntarily entered into a lease amendment for one of its legacy fulfillment center leases in Dubuque, Iowa. The amended lease accelerated the lease expiration date from September 30, 2030 to October 27, 2024. The amended lease required Duluth to pay an aggregate of $3.7 million (the “Termination Penalty”) in consideration of accelerating the lease termination date, which was paid in four equal quarterly installments from October 2024 through August 2025. The Company amortized the loss from the Termination Penalty, as well as the net loss from writing off the right-of-use asset and lease liability over the modified remaining lease term. In addition, the Company accelerated the depreciation of the non-transferrable fixed assets to have no remaining net book value by the modified lease expiration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20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The Company adopted the new standard on a prospective basis in fiscal year 2025 for annual reporting periods. Refer to Note 9. "Income Taxes" of these Notes to the Consolidated Financial Statements for further discussion.</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9" w:right="399" w:bottom="1440" w:gutter="0" w:footer="0" w:header="0"/>
        </w:sectPr>
      </w:pPr>
    </w:p>
    <w:bookmarkStart w:id="64" w:name="page65"/>
    <w:bookmarkEnd w:id="64"/>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 the Years Ended February 1, 2026 and February 2,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Cost and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Inventory reserve</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February 1, 2026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2,135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2,289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4,424</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Year ended February 2, 2025</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Product returns reserve</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February 1, 2026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4,568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4,529</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Year ended February 2, 2025</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5,541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On February 20, 2026, the U.S. Supreme Court issued a ruling relating to tariffs imposed under the International Emergency Economic Powers Act (“IEEPA”). Following the ruling, U.S. Customs and Border Protection and other federal agencies issued or may issue additional guidance and take actions affecting the assessment, collection, refund, and/or protest of certain tariffs. The Company is evaluating the impact of these developments on previously paid tariffs and related matters, including the potential for refunds or other recovery. At this time, the Company cannot reasonably estimate the amount or timing of any recovery, if any, or the ultimate impact of these developments on the Company's consolidated financial statements’. Accordingly, no amounts have been recognized in the accompanying consolidated financial statements related to any potential recovery.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9A. CONTROLS AND PROCEDURES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The Company carried out an evaluation, under the supervision of and with the participation of our management, including our Chief Executive Officer and Chief Financial Officer, of the effectiveness of the design and operation of our disclosure controls and procedures at the reasonable assurance level pursuant to Rule 13a-15 of the Exchange Act. Based on this evaluation, our Chief Executive Officer and Chief Financial Officer have concluded that, as of such date,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under the Exchange Act). Management assessed the effectiveness of its internal control over financial reporting as of February 1, 2026. In making this assessment, management used the criteria set forth by the Committee of Sponsoring Organizations of the Treadway Commission (“COSO”) in the Internal Control-Integrated Framework (2013), or the COSO Report. Based on this assessment, management concluded that our internal control over financial reporting is effective as of February 1, 2026.</w:t>
      </w:r>
    </w:p>
    <w:p>
      <w:pPr>
        <w:spacing w:after="0" w:line="14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fiscal quarter ended February 1, 2026, that has materially affected, or is reasonable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9B. OTHER INFORMATION</w:t>
      </w:r>
    </w:p>
    <w:p>
      <w:pPr>
        <w:spacing w:after="0" w:line="2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color w:val="auto"/>
        </w:rPr>
      </w:pPr>
    </w:p>
    <w:p>
      <w:pPr>
        <w:ind w:left="1020" w:right="300" w:hanging="503"/>
        <w:spacing w:after="0" w:line="26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February 1, 2026, no director or Section 16 officer of the Company adopted or terminated a “Rule 10b5-1 trading arrangement” or “non-Rule 10b5-1 trading arrangement,” as each term is defined in Item 408(a) of Regulation 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sectPr>
      </w:pPr>
    </w:p>
    <w:bookmarkStart w:id="66" w:name="page67"/>
    <w:bookmarkEnd w:id="66"/>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concerning our directors, audit committee, and audit committee financial experts, insider trading policy and compliance with Section 16(a) of the Exchange Act is incorporated by reference to information under the sections “Proposal One: Election of Directors,” “Executive Compensation—Insider Trading Policy” and “Delinquent Section 16(a) Reports” in our definitive proxy statement for our 2026 annual meeting of shareholders to be held on June 3, 2026 (the “Proxy Statement”). It is anticipated that our Proxy Statement will be filed with the Securities and Exchange Commission on or about April 15, 2026.</w:t>
      </w:r>
    </w:p>
    <w:p>
      <w:pPr>
        <w:spacing w:after="0" w:line="15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including our principal executive officer, principal financial officer and principal accounting officer. We have posted the code of business conduct and ethics on our website at http://ir.duluthtrading.com under the tab “Corporate Governance—Documents &amp; Charters—Code of Business Conduct and Ethics.” We intend to satisfy our disclosure requirements under Item 5.05 of Form 8-K regarding amendments to, or waiver of, any provisions of our code of business conduct and ethics that applies to our principal executive officer, principal financial officer and principal accounting officer and our directors by posting such information to our website.</w:t>
      </w:r>
    </w:p>
    <w:p>
      <w:pPr>
        <w:spacing w:after="0" w:line="14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code of business conduct and ethics is available in print for any shareholder who requests it by writing to: Secretary, Duluth Holdings Inc., 201 East Front Street, Mount Horeb, Wisconsin, 53572. We are not including the information available on or through our website as part of, or incorporating such information by reference into, this Annual Report on Form 10-K.</w:t>
      </w:r>
    </w:p>
    <w:p>
      <w:pPr>
        <w:spacing w:after="0" w:line="13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General Instruction G(3), certain information with respect to our executive officers is set forth under the caption “Information about Our Executive Officers” as of March 20, 2026 in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11. EXECUTIVE COMPENSATION</w:t>
      </w:r>
    </w:p>
    <w:p>
      <w:pPr>
        <w:spacing w:after="0" w:line="18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“Executive Compensation” (excluding the information under the caption “Pay Versus Performance”), “Director Compensation,” and “Compensation Committee Interlocks and Insider Participation.”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SHAREHOLDER MATTERS</w:t>
      </w:r>
    </w:p>
    <w:p>
      <w:pPr>
        <w:spacing w:after="0" w:line="198"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“Security Ownership of Certain Beneficial Owners.”</w:t>
      </w:r>
    </w:p>
    <w:p>
      <w:pPr>
        <w:spacing w:after="0" w:line="119" w:lineRule="exact"/>
        <w:rPr>
          <w:sz w:val="20"/>
          <w:szCs w:val="20"/>
          <w:color w:val="auto"/>
        </w:rPr>
      </w:pPr>
    </w:p>
    <w:p>
      <w:pPr>
        <w:ind w:right="8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Compensation Plan Information: </w:t>
      </w:r>
      <w:r>
        <w:rPr>
          <w:rFonts w:ascii="Times New Roman" w:cs="Times New Roman" w:eastAsia="Times New Roman" w:hAnsi="Times New Roman"/>
          <w:sz w:val="18"/>
          <w:szCs w:val="18"/>
          <w:color w:val="auto"/>
        </w:rPr>
        <w:t>The following table sets forth information as of February 1, 2026 about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and available for issuance under our existing equity compensation plans.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14" w:lineRule="exact"/>
        <w:rPr>
          <w:sz w:val="20"/>
          <w:szCs w:val="20"/>
          <w:color w:val="auto"/>
        </w:rPr>
      </w:pPr>
    </w:p>
    <w:p>
      <w:pPr>
        <w:ind w:left="140" w:right="1540" w:hanging="134"/>
        <w:spacing w:after="0" w:line="249"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 w:lineRule="exact"/>
        <w:rPr>
          <w:sz w:val="20"/>
          <w:szCs w:val="20"/>
          <w:color w:val="auto"/>
        </w:rPr>
      </w:pPr>
    </w:p>
    <w:p>
      <w:pPr>
        <w:ind w:left="140" w:right="1280" w:hanging="134"/>
        <w:spacing w:after="0" w:line="235"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4"/>
          <w:szCs w:val="24"/>
          <w:color w:val="auto"/>
          <w:vertAlign w:val="superscript"/>
        </w:rPr>
        <w:t>(2)</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1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2"/>
                <w:szCs w:val="12"/>
                <w:color w:val="auto"/>
              </w:rPr>
            </w:pPr>
          </w:p>
        </w:tc>
        <w:tc>
          <w:tcPr>
            <w:tcW w:w="21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1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19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21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6"/>
        </w:trPr>
        <w:tc>
          <w:tcPr>
            <w:tcW w:w="196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214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75"/>
        </w:trPr>
        <w:tc>
          <w:tcPr>
            <w:tcW w:w="1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5"/>
                <w:szCs w:val="15"/>
                <w:color w:val="auto"/>
              </w:rPr>
            </w:pPr>
          </w:p>
        </w:tc>
        <w:tc>
          <w:tcPr>
            <w:tcW w:w="2140" w:type="dxa"/>
            <w:vAlign w:val="bottom"/>
            <w:tcBorders>
              <w:bottom w:val="single" w:sz="8" w:color="auto"/>
            </w:tcBorders>
          </w:tcPr>
          <w:p>
            <w:pPr>
              <w:jc w:val="center"/>
              <w:ind w:right="24"/>
              <w:spacing w:after="0" w:line="175" w:lineRule="exact"/>
              <w:rPr>
                <w:sz w:val="20"/>
                <w:szCs w:val="20"/>
                <w:color w:val="auto"/>
              </w:rPr>
            </w:pPr>
            <w:r>
              <w:rPr>
                <w:rFonts w:ascii="Times New Roman" w:cs="Times New Roman" w:eastAsia="Times New Roman" w:hAnsi="Times New Roman"/>
                <w:sz w:val="14"/>
                <w:szCs w:val="14"/>
                <w:b w:val="1"/>
                <w:bCs w:val="1"/>
                <w:color w:val="auto"/>
              </w:rPr>
              <w:t>reflected in first column)</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425"/>
        </w:trPr>
        <w:tc>
          <w:tcPr>
            <w:tcW w:w="19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5,002,154</w:t>
            </w:r>
          </w:p>
        </w:tc>
        <w:tc>
          <w:tcPr>
            <w:tcW w:w="0" w:type="dxa"/>
            <w:vAlign w:val="bottom"/>
          </w:tcPr>
          <w:p>
            <w:pPr>
              <w:spacing w:after="0"/>
              <w:rPr>
                <w:sz w:val="1"/>
                <w:szCs w:val="1"/>
                <w:color w:val="auto"/>
              </w:rPr>
            </w:pPr>
          </w:p>
        </w:tc>
      </w:tr>
      <w:tr>
        <w:trPr>
          <w:trHeight w:val="418"/>
        </w:trPr>
        <w:tc>
          <w:tcPr>
            <w:tcW w:w="19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9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5,002,154</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-710565</wp:posOffset>
            </wp:positionV>
            <wp:extent cx="7132320" cy="274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-161925</wp:posOffset>
            </wp:positionV>
            <wp:extent cx="713232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00"/>
          </w:cols>
          <w:pgMar w:left="320" w:top="900" w:right="339" w:bottom="1440" w:gutter="0" w:footer="0" w:header="0"/>
          <w:type w:val="continuous"/>
        </w:sectPr>
      </w:pPr>
    </w:p>
    <w:p>
      <w:pPr>
        <w:spacing w:after="0" w:line="223"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4,042,933 shares are available under the Company’s 2024 Equity Incentive Plan and 959,221 shares are available under the Company’s Employee Stock Purchase Plan.</w:t>
      </w:r>
    </w:p>
    <w:p>
      <w:pPr>
        <w:spacing w:after="0" w:line="3"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existing equity compensation plans have been approved by shareholders.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p>
      <w:pPr>
        <w:spacing w:after="0" w:line="18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“Certain Relationships and Related Party Transactions” and “Proposal One: Election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14. PRINCIPAL ACCOUNTANT FEES AND SERVICES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 of the Proxy Statement entitled “Audit Committee Report.”</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80" w:right="659" w:bottom="1440" w:gutter="0" w:footer="0" w:header="0"/>
        </w:sectPr>
      </w:pPr>
    </w:p>
    <w:bookmarkStart w:id="68" w:name="page69"/>
    <w:bookmarkEnd w:id="68"/>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15. EXHIBITS, FINANCIAL STATEMENTS AND SCHEDULE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Statements and Financial Statement Schedule</w:t>
      </w:r>
    </w:p>
    <w:p>
      <w:pPr>
        <w:spacing w:after="0" w:line="18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24"/>
                <w:szCs w:val="24"/>
                <w:color w:val="auto"/>
              </w:rPr>
            </w:pPr>
          </w:p>
        </w:tc>
        <w:tc>
          <w:tcPr>
            <w:tcW w:w="9480" w:type="dxa"/>
            <w:vAlign w:val="bottom"/>
            <w:tcBorders>
              <w:bottom w:val="single" w:sz="8" w:color="0000FF"/>
            </w:tcBorders>
            <w:gridSpan w:val="22"/>
          </w:tcPr>
          <w:p>
            <w:pPr>
              <w:ind w:left="20"/>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Amended and Restated Articles of Incorporation of Duluth Holdings Inc., incorporated by reference to Exhibit 3.1 of Pre-Effective</w:t>
              </w:r>
            </w:hyperlink>
          </w:p>
        </w:tc>
        <w:tc>
          <w:tcPr>
            <w:tcW w:w="520" w:type="dxa"/>
            <w:vAlign w:val="bottom"/>
            <w:gridSpan w:val="11"/>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40" w:type="dxa"/>
            <w:vAlign w:val="bottom"/>
            <w:tcBorders>
              <w:bottom w:val="single" w:sz="8" w:color="0000FF"/>
            </w:tcBorders>
            <w:gridSpan w:val="19"/>
          </w:tcPr>
          <w:p>
            <w:pPr>
              <w:ind w:left="20"/>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Amendment No. 2 to the Company’s Registration Statement on Form S-1 (File No. 333-207300), filed November 9, 2015.</w:t>
              </w:r>
            </w:hyperlink>
          </w:p>
        </w:tc>
        <w:tc>
          <w:tcPr>
            <w:tcW w:w="1160" w:type="dxa"/>
            <w:vAlign w:val="bottom"/>
            <w:gridSpan w:val="14"/>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7"/>
                <w:szCs w:val="17"/>
                <w:color w:val="auto"/>
              </w:rPr>
            </w:pPr>
          </w:p>
        </w:tc>
        <w:tc>
          <w:tcPr>
            <w:tcW w:w="9880" w:type="dxa"/>
            <w:vAlign w:val="bottom"/>
            <w:tcBorders>
              <w:bottom w:val="single" w:sz="8" w:color="0000FF"/>
            </w:tcBorders>
            <w:gridSpan w:val="30"/>
          </w:tcPr>
          <w:p>
            <w:pPr>
              <w:ind w:left="20"/>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Bylaws of Duluth Holdings Inc., incorporated by reference to Exhibit 3.2 of the Pre-Effective Amendment No. 2</w:t>
              </w:r>
            </w:hyperlink>
          </w:p>
        </w:tc>
        <w:tc>
          <w:tcPr>
            <w:tcW w:w="12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6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to the Company’s Registration Statement on Form S-1 (File No. 333-207300), filed November 9, 2015.</w:t>
              </w:r>
            </w:hyperlink>
          </w:p>
        </w:tc>
        <w:tc>
          <w:tcPr>
            <w:tcW w:w="20" w:type="dxa"/>
            <w:vAlign w:val="bottom"/>
            <w:tcBorders>
              <w:bottom w:val="single" w:sz="8" w:color="0000EE"/>
            </w:tcBorders>
          </w:tcPr>
          <w:p>
            <w:pPr>
              <w:spacing w:after="0"/>
              <w:rPr>
                <w:sz w:val="17"/>
                <w:szCs w:val="17"/>
                <w:color w:val="auto"/>
              </w:rPr>
            </w:pPr>
          </w:p>
        </w:tc>
        <w:tc>
          <w:tcPr>
            <w:tcW w:w="2520" w:type="dxa"/>
            <w:vAlign w:val="bottom"/>
            <w:gridSpan w:val="20"/>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17"/>
                <w:szCs w:val="17"/>
                <w:color w:val="auto"/>
              </w:rPr>
            </w:pPr>
          </w:p>
        </w:tc>
        <w:tc>
          <w:tcPr>
            <w:tcW w:w="980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Description of Registrant’s Securities, incorporated by reference to Exhibit 4.1 of the Company’s Annual Report on Form 10-K for the</w:t>
              </w:r>
            </w:hyperlink>
          </w:p>
        </w:tc>
        <w:tc>
          <w:tcPr>
            <w:tcW w:w="200" w:type="dxa"/>
            <w:vAlign w:val="bottom"/>
            <w:gridSpan w:val="4"/>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year ended February 2, 2020.</w:t>
              </w:r>
            </w:hyperlink>
          </w:p>
        </w:tc>
        <w:tc>
          <w:tcPr>
            <w:tcW w:w="20" w:type="dxa"/>
            <w:vAlign w:val="bottom"/>
            <w:tcBorders>
              <w:bottom w:val="single" w:sz="8" w:color="0000EE"/>
            </w:tcBorders>
          </w:tcPr>
          <w:p>
            <w:pPr>
              <w:spacing w:after="0"/>
              <w:rPr>
                <w:sz w:val="17"/>
                <w:szCs w:val="17"/>
                <w:color w:val="auto"/>
              </w:rPr>
            </w:pPr>
          </w:p>
        </w:tc>
        <w:tc>
          <w:tcPr>
            <w:tcW w:w="7860" w:type="dxa"/>
            <w:vAlign w:val="bottom"/>
            <w:gridSpan w:val="28"/>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spacing w:after="0"/>
              <w:rPr>
                <w:sz w:val="17"/>
                <w:szCs w:val="17"/>
                <w:color w:val="auto"/>
              </w:rPr>
            </w:pPr>
          </w:p>
        </w:tc>
        <w:tc>
          <w:tcPr>
            <w:tcW w:w="91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Voting Trust Agreement, dated November 1, 2021, by and between Stephen L. Schlecht, as trustee, and Duluth Holdings Inc.,</w:t>
              </w:r>
            </w:hyperlink>
          </w:p>
        </w:tc>
        <w:tc>
          <w:tcPr>
            <w:tcW w:w="880" w:type="dxa"/>
            <w:vAlign w:val="bottom"/>
            <w:gridSpan w:val="1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20" w:type="dxa"/>
            <w:vAlign w:val="bottom"/>
            <w:tcBorders>
              <w:bottom w:val="single" w:sz="8" w:color="0000FF"/>
            </w:tcBorders>
            <w:gridSpan w:val="14"/>
          </w:tcPr>
          <w:p>
            <w:pPr>
              <w:ind w:left="20"/>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incorporated by reference to Exhibit 9.1 of the Company’s Annual Report on Form 10-K filed March 25, 2022.</w:t>
              </w:r>
            </w:hyperlink>
          </w:p>
        </w:tc>
        <w:tc>
          <w:tcPr>
            <w:tcW w:w="20" w:type="dxa"/>
            <w:vAlign w:val="bottom"/>
            <w:tcBorders>
              <w:bottom w:val="single" w:sz="8" w:color="0000EE"/>
            </w:tcBorders>
          </w:tcPr>
          <w:p>
            <w:pPr>
              <w:spacing w:after="0"/>
              <w:rPr>
                <w:sz w:val="17"/>
                <w:szCs w:val="17"/>
                <w:color w:val="auto"/>
              </w:rPr>
            </w:pPr>
          </w:p>
        </w:tc>
        <w:tc>
          <w:tcPr>
            <w:tcW w:w="1960" w:type="dxa"/>
            <w:vAlign w:val="bottom"/>
            <w:gridSpan w:val="18"/>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7"/>
                <w:szCs w:val="17"/>
                <w:color w:val="auto"/>
              </w:rPr>
            </w:pPr>
          </w:p>
        </w:tc>
        <w:tc>
          <w:tcPr>
            <w:tcW w:w="9940" w:type="dxa"/>
            <w:vAlign w:val="bottom"/>
            <w:tcBorders>
              <w:bottom w:val="single" w:sz="8" w:color="0000FF"/>
            </w:tcBorders>
            <w:gridSpan w:val="31"/>
          </w:tcPr>
          <w:p>
            <w:pPr>
              <w:ind w:left="20"/>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Outside Director Compensation Policy, incorporated by reference to Exhibit 10.1 of the Company’s Annual Report on Form 10-K for the</w:t>
              </w:r>
            </w:hyperlink>
          </w:p>
        </w:tc>
        <w:tc>
          <w:tcPr>
            <w:tcW w:w="60" w:type="dxa"/>
            <w:vAlign w:val="bottom"/>
            <w:gridSpan w:val="2"/>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year ended January 28, 2024.</w:t>
              </w:r>
            </w:hyperlink>
          </w:p>
        </w:tc>
        <w:tc>
          <w:tcPr>
            <w:tcW w:w="20" w:type="dxa"/>
            <w:vAlign w:val="bottom"/>
            <w:tcBorders>
              <w:bottom w:val="single" w:sz="8" w:color="0000EE"/>
            </w:tcBorders>
          </w:tcPr>
          <w:p>
            <w:pPr>
              <w:spacing w:after="0"/>
              <w:rPr>
                <w:sz w:val="17"/>
                <w:szCs w:val="17"/>
                <w:color w:val="auto"/>
              </w:rPr>
            </w:pPr>
          </w:p>
        </w:tc>
        <w:tc>
          <w:tcPr>
            <w:tcW w:w="7860" w:type="dxa"/>
            <w:vAlign w:val="bottom"/>
            <w:gridSpan w:val="28"/>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17"/>
                <w:szCs w:val="17"/>
                <w:color w:val="auto"/>
              </w:rPr>
            </w:pPr>
          </w:p>
        </w:tc>
        <w:tc>
          <w:tcPr>
            <w:tcW w:w="9660" w:type="dxa"/>
            <w:vAlign w:val="bottom"/>
            <w:tcBorders>
              <w:bottom w:val="single" w:sz="8" w:color="0000FF"/>
            </w:tcBorders>
            <w:gridSpan w:val="27"/>
          </w:tcPr>
          <w:p>
            <w:pPr>
              <w:ind w:left="20"/>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2015 Equity Incentive Plan of Duluth Holdings Inc., incorporated by reference to Exhibit 10.7 of the Company’s Quarterly Report on</w:t>
              </w:r>
            </w:hyperlink>
          </w:p>
        </w:tc>
        <w:tc>
          <w:tcPr>
            <w:tcW w:w="340" w:type="dxa"/>
            <w:vAlign w:val="bottom"/>
            <w:gridSpan w:val="6"/>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4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Form 10-Q, filed December 18, 2015.</w:t>
              </w:r>
            </w:hyperlink>
          </w:p>
        </w:tc>
        <w:tc>
          <w:tcPr>
            <w:tcW w:w="7260" w:type="dxa"/>
            <w:vAlign w:val="bottom"/>
            <w:gridSpan w:val="25"/>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17"/>
                <w:szCs w:val="17"/>
                <w:color w:val="auto"/>
              </w:rPr>
            </w:pPr>
          </w:p>
        </w:tc>
        <w:tc>
          <w:tcPr>
            <w:tcW w:w="9620" w:type="dxa"/>
            <w:vAlign w:val="bottom"/>
            <w:tcBorders>
              <w:bottom w:val="single" w:sz="8" w:color="0000FF"/>
            </w:tcBorders>
            <w:gridSpan w:val="26"/>
          </w:tcPr>
          <w:p>
            <w:pPr>
              <w:ind w:left="20"/>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2024 Equity Incentive Plan of Duluth Holdings Inc., incorporated by reference to Appendix A to the Company’s Proxy Statement on</w:t>
              </w:r>
            </w:hyperlink>
          </w:p>
        </w:tc>
        <w:tc>
          <w:tcPr>
            <w:tcW w:w="380" w:type="dxa"/>
            <w:vAlign w:val="bottom"/>
            <w:gridSpan w:val="7"/>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80" w:type="dxa"/>
            <w:vAlign w:val="bottom"/>
            <w:tcBorders>
              <w:bottom w:val="single" w:sz="8" w:color="0000FF"/>
            </w:tcBorders>
            <w:gridSpan w:val="7"/>
          </w:tcPr>
          <w:p>
            <w:pPr>
              <w:ind w:left="20"/>
              <w:spacing w:after="0" w:line="196"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Schedule 14A filed on April 5, 2024.</w:t>
              </w:r>
            </w:hyperlink>
          </w:p>
        </w:tc>
        <w:tc>
          <w:tcPr>
            <w:tcW w:w="7320" w:type="dxa"/>
            <w:vAlign w:val="bottom"/>
            <w:gridSpan w:val="26"/>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17"/>
                <w:szCs w:val="17"/>
                <w:color w:val="auto"/>
              </w:rPr>
            </w:pPr>
          </w:p>
        </w:tc>
        <w:tc>
          <w:tcPr>
            <w:tcW w:w="9600" w:type="dxa"/>
            <w:vAlign w:val="bottom"/>
            <w:tcBorders>
              <w:bottom w:val="single" w:sz="8" w:color="0000FF"/>
            </w:tcBorders>
            <w:gridSpan w:val="25"/>
          </w:tcPr>
          <w:p>
            <w:pPr>
              <w:ind w:left="20"/>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of Restricted Stock Agreement for non-employee directors under the 2015 Equity Incentive Plan, incorporated by reference to</w:t>
              </w:r>
            </w:hyperlink>
          </w:p>
        </w:tc>
        <w:tc>
          <w:tcPr>
            <w:tcW w:w="400" w:type="dxa"/>
            <w:vAlign w:val="bottom"/>
            <w:gridSpan w:val="8"/>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20" w:type="dxa"/>
            <w:vAlign w:val="bottom"/>
            <w:tcBorders>
              <w:bottom w:val="single" w:sz="8" w:color="0000FF"/>
            </w:tcBorders>
            <w:gridSpan w:val="16"/>
          </w:tcPr>
          <w:p>
            <w:pPr>
              <w:ind w:left="20"/>
              <w:spacing w:after="0" w:line="19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Exhibit 10.17 of the Company’s Registration Statement on Form S-1 (File No. 333-207300), filed October 6, 2015.</w:t>
              </w:r>
            </w:hyperlink>
          </w:p>
        </w:tc>
        <w:tc>
          <w:tcPr>
            <w:tcW w:w="20" w:type="dxa"/>
            <w:vAlign w:val="bottom"/>
            <w:tcBorders>
              <w:bottom w:val="single" w:sz="8" w:color="0000EE"/>
            </w:tcBorders>
          </w:tcPr>
          <w:p>
            <w:pPr>
              <w:spacing w:after="0"/>
              <w:rPr>
                <w:sz w:val="17"/>
                <w:szCs w:val="17"/>
                <w:color w:val="auto"/>
              </w:rPr>
            </w:pPr>
          </w:p>
        </w:tc>
        <w:tc>
          <w:tcPr>
            <w:tcW w:w="1660" w:type="dxa"/>
            <w:vAlign w:val="bottom"/>
            <w:gridSpan w:val="16"/>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spacing w:after="0"/>
              <w:rPr>
                <w:sz w:val="17"/>
                <w:szCs w:val="17"/>
                <w:color w:val="auto"/>
              </w:rPr>
            </w:pPr>
          </w:p>
        </w:tc>
        <w:tc>
          <w:tcPr>
            <w:tcW w:w="10000" w:type="dxa"/>
            <w:vAlign w:val="bottom"/>
            <w:tcBorders>
              <w:bottom w:val="single" w:sz="8" w:color="0000FF"/>
            </w:tcBorders>
            <w:gridSpan w:val="33"/>
          </w:tcPr>
          <w:p>
            <w:pPr>
              <w:ind w:left="20"/>
              <w:spacing w:after="0" w:line="19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Commercial Lease between Schlecht Retail Ventures LLC and Duluth Holdings Inc., dated February 14, 2010 (100 West Main Street, Mt.</w:t>
              </w:r>
            </w:hyperlink>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80" w:type="dxa"/>
            <w:vAlign w:val="bottom"/>
            <w:tcBorders>
              <w:bottom w:val="single" w:sz="8" w:color="0000FF"/>
            </w:tcBorders>
            <w:gridSpan w:val="24"/>
          </w:tcPr>
          <w:p>
            <w:pPr>
              <w:ind w:left="20"/>
              <w:spacing w:after="0" w:line="19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Horeb, Wisconsin), incorporated by reference to Exhibit 10.19 of the Company’s Registration Statement on Form S-1 (File No. 333-</w:t>
              </w:r>
            </w:hyperlink>
          </w:p>
        </w:tc>
        <w:tc>
          <w:tcPr>
            <w:tcW w:w="420" w:type="dxa"/>
            <w:vAlign w:val="bottom"/>
            <w:gridSpan w:val="9"/>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207300)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October 6, 2015.</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00" w:type="dxa"/>
            <w:vAlign w:val="bottom"/>
          </w:tcPr>
          <w:p>
            <w:pPr>
              <w:spacing w:after="0"/>
              <w:rPr>
                <w:sz w:val="17"/>
                <w:szCs w:val="17"/>
                <w:color w:val="auto"/>
              </w:rPr>
            </w:pPr>
          </w:p>
        </w:tc>
        <w:tc>
          <w:tcPr>
            <w:tcW w:w="9700" w:type="dxa"/>
            <w:vAlign w:val="bottom"/>
            <w:tcBorders>
              <w:bottom w:val="single" w:sz="8" w:color="0000FF"/>
            </w:tcBorders>
            <w:gridSpan w:val="28"/>
          </w:tcPr>
          <w:p>
            <w:pPr>
              <w:ind w:left="20"/>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S Corporation Termination, Tax Allocation and Indemnification Agreement among Duluth Holdings Inc. and shareholders of</w:t>
              </w:r>
            </w:hyperlink>
          </w:p>
        </w:tc>
        <w:tc>
          <w:tcPr>
            <w:tcW w:w="300" w:type="dxa"/>
            <w:vAlign w:val="bottom"/>
            <w:gridSpan w:val="5"/>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60" w:type="dxa"/>
            <w:vAlign w:val="bottom"/>
            <w:tcBorders>
              <w:bottom w:val="single" w:sz="8" w:color="0000FF"/>
            </w:tcBorders>
            <w:gridSpan w:val="23"/>
          </w:tcPr>
          <w:p>
            <w:pPr>
              <w:ind w:left="20"/>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Duluth Holdings Inc., incorporated by reference to Exhibit 10.23 of Pre-Effective Amendment No. 1 to the Company’s Registration</w:t>
              </w:r>
            </w:hyperlink>
          </w:p>
        </w:tc>
        <w:tc>
          <w:tcPr>
            <w:tcW w:w="440" w:type="dxa"/>
            <w:vAlign w:val="bottom"/>
            <w:gridSpan w:val="10"/>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2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Statement on Form S-1 (File No. 333-207300), filed October 13, 2015.</w:t>
              </w:r>
            </w:hyperlink>
          </w:p>
        </w:tc>
        <w:tc>
          <w:tcPr>
            <w:tcW w:w="20" w:type="dxa"/>
            <w:vAlign w:val="bottom"/>
            <w:tcBorders>
              <w:bottom w:val="single" w:sz="8" w:color="0000EE"/>
            </w:tcBorders>
          </w:tcPr>
          <w:p>
            <w:pPr>
              <w:spacing w:after="0"/>
              <w:rPr>
                <w:sz w:val="17"/>
                <w:szCs w:val="17"/>
                <w:color w:val="auto"/>
              </w:rPr>
            </w:pPr>
          </w:p>
        </w:tc>
        <w:tc>
          <w:tcPr>
            <w:tcW w:w="4860" w:type="dxa"/>
            <w:vAlign w:val="bottom"/>
            <w:gridSpan w:val="22"/>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400" w:type="dxa"/>
            <w:vAlign w:val="bottom"/>
          </w:tcPr>
          <w:p>
            <w:pPr>
              <w:spacing w:after="0"/>
              <w:rPr>
                <w:sz w:val="17"/>
                <w:szCs w:val="17"/>
                <w:color w:val="auto"/>
              </w:rPr>
            </w:pPr>
          </w:p>
        </w:tc>
        <w:tc>
          <w:tcPr>
            <w:tcW w:w="9880" w:type="dxa"/>
            <w:vAlign w:val="bottom"/>
            <w:tcBorders>
              <w:bottom w:val="single" w:sz="8" w:color="0000FF"/>
            </w:tcBorders>
            <w:gridSpan w:val="30"/>
          </w:tcPr>
          <w:p>
            <w:pPr>
              <w:ind w:left="20"/>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Amended and Restated Annual Incentive Plan, incorporated by reference to Exhibit 10.1 of the Company’s Current Report on Form 8-K</w:t>
              </w:r>
            </w:hyperlink>
          </w:p>
        </w:tc>
        <w:tc>
          <w:tcPr>
            <w:tcW w:w="12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tcBorders>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dated February 20, 2024.</w:t>
              </w:r>
            </w:hyperlink>
          </w:p>
        </w:tc>
        <w:tc>
          <w:tcPr>
            <w:tcW w:w="20" w:type="dxa"/>
            <w:vAlign w:val="bottom"/>
            <w:tcBorders>
              <w:bottom w:val="single" w:sz="8" w:color="0000EE"/>
            </w:tcBorders>
          </w:tcPr>
          <w:p>
            <w:pPr>
              <w:spacing w:after="0"/>
              <w:rPr>
                <w:sz w:val="17"/>
                <w:szCs w:val="17"/>
                <w:color w:val="auto"/>
              </w:rPr>
            </w:pPr>
          </w:p>
        </w:tc>
        <w:tc>
          <w:tcPr>
            <w:tcW w:w="8160" w:type="dxa"/>
            <w:vAlign w:val="bottom"/>
            <w:gridSpan w:val="30"/>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400" w:type="dxa"/>
            <w:vAlign w:val="bottom"/>
          </w:tcPr>
          <w:p>
            <w:pPr>
              <w:spacing w:after="0"/>
              <w:rPr>
                <w:sz w:val="17"/>
                <w:szCs w:val="17"/>
                <w:color w:val="auto"/>
              </w:rPr>
            </w:pPr>
          </w:p>
        </w:tc>
        <w:tc>
          <w:tcPr>
            <w:tcW w:w="10000" w:type="dxa"/>
            <w:vAlign w:val="bottom"/>
            <w:tcBorders>
              <w:bottom w:val="single" w:sz="8" w:color="0000FF"/>
            </w:tcBorders>
            <w:gridSpan w:val="33"/>
          </w:tcPr>
          <w:p>
            <w:pPr>
              <w:ind w:left="20"/>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Form of Restricted Stock Agreement for executives under the 2015 Equity Incentive Plan, incorporated by reference to Exhibit 10.1 of the</w:t>
              </w:r>
            </w:hyperlink>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Company’s Quarterly Report on Form 10-Q dated May 1, 2016.</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EE"/>
            </w:tcBorders>
            <w:gridSpan w:val="8"/>
            <w:shd w:val="clear" w:color="auto" w:fill="0000FF"/>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400" w:type="dxa"/>
            <w:vAlign w:val="bottom"/>
          </w:tcPr>
          <w:p>
            <w:pPr>
              <w:spacing w:after="0"/>
              <w:rPr>
                <w:sz w:val="17"/>
                <w:szCs w:val="17"/>
                <w:color w:val="auto"/>
              </w:rPr>
            </w:pPr>
          </w:p>
        </w:tc>
        <w:tc>
          <w:tcPr>
            <w:tcW w:w="9980" w:type="dxa"/>
            <w:vAlign w:val="bottom"/>
            <w:tcBorders>
              <w:bottom w:val="single" w:sz="8" w:color="0000FF"/>
            </w:tcBorders>
            <w:gridSpan w:val="32"/>
          </w:tcPr>
          <w:p>
            <w:pPr>
              <w:ind w:left="20"/>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Restrictive Covenant Agreement, incorporated by reference to Exhibit 10.2 of the Company’s Current Report on Form 8-K dated</w:t>
              </w:r>
            </w:hyperlink>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July 24, 2017.</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00" w:type="dxa"/>
            <w:vAlign w:val="bottom"/>
          </w:tcPr>
          <w:p>
            <w:pPr>
              <w:spacing w:after="0"/>
              <w:rPr>
                <w:sz w:val="17"/>
                <w:szCs w:val="17"/>
                <w:color w:val="auto"/>
              </w:rPr>
            </w:pPr>
          </w:p>
        </w:tc>
        <w:tc>
          <w:tcPr>
            <w:tcW w:w="9380" w:type="dxa"/>
            <w:vAlign w:val="bottom"/>
            <w:tcBorders>
              <w:bottom w:val="single" w:sz="8" w:color="0000FF"/>
            </w:tcBorders>
            <w:gridSpan w:val="21"/>
          </w:tcPr>
          <w:p>
            <w:pPr>
              <w:ind w:left="20"/>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First Amended and Restated Employment Agreement, dated as of May 27, 2021, between Stephen L. Schlecht and the Company,</w:t>
              </w:r>
            </w:hyperlink>
          </w:p>
        </w:tc>
        <w:tc>
          <w:tcPr>
            <w:tcW w:w="620" w:type="dxa"/>
            <w:vAlign w:val="bottom"/>
            <w:gridSpan w:val="12"/>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540" w:type="dxa"/>
            <w:vAlign w:val="bottom"/>
            <w:tcBorders>
              <w:bottom w:val="single" w:sz="8" w:color="0000FF"/>
            </w:tcBorders>
            <w:gridSpan w:val="18"/>
          </w:tcPr>
          <w:p>
            <w:pPr>
              <w:ind w:left="20"/>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incorporated by reference to Exhibit 10.1 of the Company’s Quarterly Report on Form 10-Q dated September 3, 2021.</w:t>
              </w:r>
            </w:hyperlink>
          </w:p>
        </w:tc>
        <w:tc>
          <w:tcPr>
            <w:tcW w:w="1460" w:type="dxa"/>
            <w:vAlign w:val="bottom"/>
            <w:gridSpan w:val="15"/>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400" w:type="dxa"/>
            <w:vAlign w:val="bottom"/>
          </w:tcPr>
          <w:p>
            <w:pPr>
              <w:spacing w:after="0"/>
              <w:rPr>
                <w:sz w:val="17"/>
                <w:szCs w:val="17"/>
                <w:color w:val="auto"/>
              </w:rPr>
            </w:pPr>
          </w:p>
        </w:tc>
        <w:tc>
          <w:tcPr>
            <w:tcW w:w="10000" w:type="dxa"/>
            <w:vAlign w:val="bottom"/>
            <w:tcBorders>
              <w:bottom w:val="single" w:sz="8" w:color="0000FF"/>
            </w:tcBorders>
            <w:gridSpan w:val="33"/>
          </w:tcPr>
          <w:p>
            <w:pPr>
              <w:ind w:left="20"/>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Employment Agreement between Duluth Holdings Inc. and Samuel M. Sato dated May 3, 2021, incorporated by reference to Exhibit 10.3</w:t>
              </w:r>
            </w:hyperlink>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of the Company’s Quarterly Report on 10-Q dated June 4, 2021.</w:t>
              </w:r>
            </w:hyperlink>
          </w:p>
        </w:tc>
      </w:tr>
      <w:tr>
        <w:trPr>
          <w:trHeight w:val="453"/>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40" w:type="dxa"/>
            <w:vAlign w:val="bottom"/>
            <w:tcBorders>
              <w:top w:val="single" w:sz="8" w:color="0000FF"/>
            </w:tcBorders>
            <w:gridSpan w:val="9"/>
          </w:tcPr>
          <w:p>
            <w:pPr>
              <w:ind w:left="4300"/>
              <w:spacing w:after="0"/>
              <w:rPr>
                <w:sz w:val="20"/>
                <w:szCs w:val="20"/>
                <w:color w:val="auto"/>
              </w:rPr>
            </w:pPr>
            <w:r>
              <w:rPr>
                <w:rFonts w:ascii="Times New Roman" w:cs="Times New Roman" w:eastAsia="Times New Roman" w:hAnsi="Times New Roman"/>
                <w:sz w:val="18"/>
                <w:szCs w:val="18"/>
                <w:color w:val="auto"/>
              </w:rPr>
              <w:t>68</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760" w:type="dxa"/>
            <w:vAlign w:val="bottom"/>
            <w:tcBorders>
              <w:bottom w:val="single" w:sz="8" w:color="0000FF"/>
            </w:tcBorders>
            <w:gridSpan w:val="35"/>
          </w:tcPr>
          <w:p>
            <w:pPr>
              <w:ind w:left="20"/>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Offer Letter dated January 24, 2020 by and between David S. Homolka and Duluth Holdings Inc., incorporated by reference to Exhibit</w:t>
              </w:r>
            </w:hyperlink>
          </w:p>
        </w:tc>
        <w:tc>
          <w:tcPr>
            <w:tcW w:w="240" w:type="dxa"/>
            <w:vAlign w:val="bottom"/>
            <w:gridSpan w:val="11"/>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6"/>
          </w:tcPr>
          <w:p>
            <w:pPr>
              <w:ind w:left="20"/>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r>
                <w:rPr>
                  <w:rFonts w:ascii="Times New Roman" w:cs="Times New Roman" w:eastAsia="Times New Roman" w:hAnsi="Times New Roman"/>
                  <w:sz w:val="18"/>
                  <w:szCs w:val="18"/>
                  <w:color w:val="0000FF"/>
                </w:rPr>
                <w:t xml:space="preserve"> of the Company’s Annual Report on Form 10-K, filed March 25, 2022.</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920" w:type="dxa"/>
            <w:vAlign w:val="bottom"/>
            <w:tcBorders>
              <w:bottom w:val="single" w:sz="8" w:color="0000FF"/>
            </w:tcBorders>
            <w:gridSpan w:val="42"/>
          </w:tcPr>
          <w:p>
            <w:pPr>
              <w:ind w:left="20"/>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Offer Letter dated January 24, 2020 by and between Richard W. Schlecht and Duluth Holdings Inc., incorporated by reference to Exhibit</w:t>
              </w:r>
            </w:hyperlink>
          </w:p>
        </w:tc>
        <w:tc>
          <w:tcPr>
            <w:tcW w:w="8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6"/>
          </w:tcPr>
          <w:p>
            <w:pPr>
              <w:ind w:left="20"/>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r>
                <w:rPr>
                  <w:rFonts w:ascii="Times New Roman" w:cs="Times New Roman" w:eastAsia="Times New Roman" w:hAnsi="Times New Roman"/>
                  <w:sz w:val="18"/>
                  <w:szCs w:val="18"/>
                  <w:color w:val="0000FF"/>
                </w:rPr>
                <w:t xml:space="preserve"> of the Company’s Annual Report on Form 10-K, filed March 25, 2022.</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320" w:type="dxa"/>
            <w:vAlign w:val="bottom"/>
            <w:tcBorders>
              <w:bottom w:val="single" w:sz="8" w:color="0000FF"/>
            </w:tcBorders>
            <w:gridSpan w:val="27"/>
          </w:tcPr>
          <w:p>
            <w:pPr>
              <w:ind w:left="20"/>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Credit Agreement, dated as of May 14, 2021, among Duluth Holdings Inc., the Lenders party thereto, Bank of America, N.A., as</w:t>
              </w:r>
            </w:hyperlink>
          </w:p>
        </w:tc>
        <w:tc>
          <w:tcPr>
            <w:tcW w:w="680" w:type="dxa"/>
            <w:vAlign w:val="bottom"/>
            <w:gridSpan w:val="1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48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Administrative Agent, Swingline Lender and L/C Issuer, BofA Securities, Inc., as a Joint Lead Arranger and Sole Bookrunner, and</w:t>
              </w:r>
            </w:hyperlink>
          </w:p>
        </w:tc>
        <w:tc>
          <w:tcPr>
            <w:tcW w:w="520" w:type="dxa"/>
            <w:vAlign w:val="bottom"/>
            <w:gridSpan w:val="1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820" w:type="dxa"/>
            <w:vAlign w:val="bottom"/>
            <w:tcBorders>
              <w:bottom w:val="single" w:sz="8" w:color="0000FF"/>
            </w:tcBorders>
            <w:gridSpan w:val="38"/>
          </w:tcPr>
          <w:p>
            <w:pPr>
              <w:ind w:left="20"/>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Keybanc Capital Markets Inc., as a Joint Lead Arranger, incorporated by reference to Exhibit 10.1 of the Company’s Current Report on</w:t>
              </w:r>
            </w:hyperlink>
          </w:p>
        </w:tc>
        <w:tc>
          <w:tcPr>
            <w:tcW w:w="18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6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8"/>
              </w:rPr>
            </w:pPr>
            <w:hyperlink r:id="rId212">
              <w:r>
                <w:rPr>
                  <w:rFonts w:ascii="Times New Roman" w:cs="Times New Roman" w:eastAsia="Times New Roman" w:hAnsi="Times New Roman"/>
                  <w:sz w:val="18"/>
                  <w:szCs w:val="18"/>
                  <w:color w:val="0000FF"/>
                  <w:w w:val="98"/>
                </w:rPr>
                <w:t>Form 8-K dated May 14, 2021.</w:t>
              </w:r>
            </w:hyperlink>
          </w:p>
        </w:tc>
        <w:tc>
          <w:tcPr>
            <w:tcW w:w="20" w:type="dxa"/>
            <w:vAlign w:val="bottom"/>
            <w:tcBorders>
              <w:bottom w:val="single" w:sz="8" w:color="0000EE"/>
            </w:tcBorders>
          </w:tcPr>
          <w:p>
            <w:pPr>
              <w:spacing w:after="0"/>
              <w:rPr>
                <w:sz w:val="17"/>
                <w:szCs w:val="17"/>
                <w:color w:val="auto"/>
              </w:rPr>
            </w:pPr>
          </w:p>
        </w:tc>
        <w:tc>
          <w:tcPr>
            <w:tcW w:w="7720" w:type="dxa"/>
            <w:vAlign w:val="bottom"/>
            <w:gridSpan w:val="41"/>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460" w:type="dxa"/>
            <w:vAlign w:val="bottom"/>
            <w:tcBorders>
              <w:bottom w:val="single" w:sz="8" w:color="0000FF"/>
            </w:tcBorders>
            <w:gridSpan w:val="28"/>
          </w:tcPr>
          <w:p>
            <w:pPr>
              <w:ind w:left="20"/>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Security Agreement, dated as of May 14, 2021, by and between Duluth Holdings Inc. and Bank of America, N.A., incorporated by</w:t>
              </w:r>
            </w:hyperlink>
          </w:p>
        </w:tc>
        <w:tc>
          <w:tcPr>
            <w:tcW w:w="540" w:type="dxa"/>
            <w:vAlign w:val="bottom"/>
            <w:gridSpan w:val="1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6780" w:type="dxa"/>
            <w:vAlign w:val="bottom"/>
            <w:tcBorders>
              <w:bottom w:val="single" w:sz="8" w:color="0000FF"/>
            </w:tcBorders>
            <w:gridSpan w:val="21"/>
          </w:tcPr>
          <w:p>
            <w:pPr>
              <w:ind w:left="20"/>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reference to Exhibit 10.2 of the Company’s Current Report on Form 8-K dated May 14, 2021.</w:t>
              </w:r>
            </w:hyperlink>
          </w:p>
        </w:tc>
        <w:tc>
          <w:tcPr>
            <w:tcW w:w="20" w:type="dxa"/>
            <w:vAlign w:val="bottom"/>
            <w:tcBorders>
              <w:bottom w:val="single" w:sz="8" w:color="0000EE"/>
            </w:tcBorders>
          </w:tcPr>
          <w:p>
            <w:pPr>
              <w:spacing w:after="0"/>
              <w:rPr>
                <w:sz w:val="17"/>
                <w:szCs w:val="17"/>
                <w:color w:val="auto"/>
              </w:rPr>
            </w:pPr>
          </w:p>
        </w:tc>
        <w:tc>
          <w:tcPr>
            <w:tcW w:w="3200" w:type="dxa"/>
            <w:vAlign w:val="bottom"/>
            <w:gridSpan w:val="2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800" w:type="dxa"/>
            <w:vAlign w:val="bottom"/>
            <w:tcBorders>
              <w:bottom w:val="single" w:sz="8" w:color="0000FF"/>
            </w:tcBorders>
            <w:gridSpan w:val="37"/>
          </w:tcPr>
          <w:p>
            <w:pPr>
              <w:ind w:left="20"/>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Duluth Holdings Inc. Executive Change in Control Severance Plan incorporated by reference to Exhibit 10.1 of the Company’s Current</w:t>
              </w:r>
            </w:hyperlink>
          </w:p>
        </w:tc>
        <w:tc>
          <w:tcPr>
            <w:tcW w:w="20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6"/>
          </w:tcPr>
          <w:p>
            <w:pPr>
              <w:ind w:left="20"/>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Report on Form 8-K dated April 14, 2022.</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820" w:type="dxa"/>
            <w:vAlign w:val="bottom"/>
            <w:tcBorders>
              <w:bottom w:val="single" w:sz="8" w:color="0000FF"/>
            </w:tcBorders>
            <w:gridSpan w:val="38"/>
          </w:tcPr>
          <w:p>
            <w:pPr>
              <w:ind w:left="20"/>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Duluth Holdings Inc. Executive General Severance Plan Incorporated by reference to Exhibit 10.2 of the Company’s Current Report on</w:t>
              </w:r>
            </w:hyperlink>
          </w:p>
        </w:tc>
        <w:tc>
          <w:tcPr>
            <w:tcW w:w="18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6"/>
          </w:tcPr>
          <w:p>
            <w:pPr>
              <w:ind w:left="20"/>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8-K dated April 14, 2022.</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160" w:type="dxa"/>
            <w:vAlign w:val="bottom"/>
            <w:tcBorders>
              <w:bottom w:val="single" w:sz="8" w:color="0000FF"/>
            </w:tcBorders>
            <w:gridSpan w:val="26"/>
          </w:tcPr>
          <w:p>
            <w:pPr>
              <w:ind w:left="20"/>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First Amendment, dated as of July 8, 2022, among Duluth Holdings Inc., the Lenders party thereto, Bank of America, N.A., as</w:t>
              </w:r>
            </w:hyperlink>
          </w:p>
        </w:tc>
        <w:tc>
          <w:tcPr>
            <w:tcW w:w="840" w:type="dxa"/>
            <w:vAlign w:val="bottom"/>
            <w:gridSpan w:val="2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48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Administrative Agent, Swingline Lender and L/C Issuer, BofA Securities, Inc., as a Joint Lead Arranger and Sole Bookrunner, and</w:t>
              </w:r>
            </w:hyperlink>
          </w:p>
        </w:tc>
        <w:tc>
          <w:tcPr>
            <w:tcW w:w="520" w:type="dxa"/>
            <w:vAlign w:val="bottom"/>
            <w:gridSpan w:val="1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820" w:type="dxa"/>
            <w:vAlign w:val="bottom"/>
            <w:tcBorders>
              <w:bottom w:val="single" w:sz="8" w:color="0000FF"/>
            </w:tcBorders>
            <w:gridSpan w:val="38"/>
          </w:tcPr>
          <w:p>
            <w:pPr>
              <w:ind w:left="20"/>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Keybanc Capital Markets Inc., as a Joint Lead Arranger, incorporated by reference to Exhibit 10.1 of the Company’s Current Report on</w:t>
              </w:r>
            </w:hyperlink>
          </w:p>
        </w:tc>
        <w:tc>
          <w:tcPr>
            <w:tcW w:w="18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140" w:type="dxa"/>
            <w:vAlign w:val="bottom"/>
            <w:tcBorders>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8"/>
              </w:rPr>
            </w:pPr>
            <w:hyperlink r:id="rId216">
              <w:r>
                <w:rPr>
                  <w:rFonts w:ascii="Times New Roman" w:cs="Times New Roman" w:eastAsia="Times New Roman" w:hAnsi="Times New Roman"/>
                  <w:sz w:val="18"/>
                  <w:szCs w:val="18"/>
                  <w:color w:val="0000FF"/>
                  <w:w w:val="98"/>
                </w:rPr>
                <w:t>Form 8-K dated July 8, 2022.</w:t>
              </w:r>
            </w:hyperlink>
          </w:p>
        </w:tc>
        <w:tc>
          <w:tcPr>
            <w:tcW w:w="20" w:type="dxa"/>
            <w:vAlign w:val="bottom"/>
            <w:tcBorders>
              <w:bottom w:val="single" w:sz="8" w:color="0000EE"/>
            </w:tcBorders>
          </w:tcPr>
          <w:p>
            <w:pPr>
              <w:spacing w:after="0"/>
              <w:rPr>
                <w:sz w:val="17"/>
                <w:szCs w:val="17"/>
                <w:color w:val="auto"/>
              </w:rPr>
            </w:pPr>
          </w:p>
        </w:tc>
        <w:tc>
          <w:tcPr>
            <w:tcW w:w="7840" w:type="dxa"/>
            <w:vAlign w:val="bottom"/>
            <w:gridSpan w:val="43"/>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900" w:type="dxa"/>
            <w:vAlign w:val="bottom"/>
            <w:tcBorders>
              <w:bottom w:val="single" w:sz="8" w:color="0000FF"/>
            </w:tcBorders>
            <w:gridSpan w:val="41"/>
          </w:tcPr>
          <w:p>
            <w:pPr>
              <w:ind w:left="20"/>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Offer Letter dated January 17, 2024 by and between Heena Agrawal and Duluth Holdings Inc., incorporated by reference to Exhibit 10.1</w:t>
              </w:r>
            </w:hyperlink>
          </w:p>
        </w:tc>
        <w:tc>
          <w:tcPr>
            <w:tcW w:w="10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18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of the Company’s Current Report on Form 8-K dated January 18, 2024.</w:t>
              </w:r>
            </w:hyperlink>
          </w:p>
        </w:tc>
        <w:tc>
          <w:tcPr>
            <w:tcW w:w="4820" w:type="dxa"/>
            <w:vAlign w:val="bottom"/>
            <w:gridSpan w:val="36"/>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660" w:type="dxa"/>
            <w:vAlign w:val="bottom"/>
            <w:tcBorders>
              <w:bottom w:val="single" w:sz="8" w:color="0000FF"/>
            </w:tcBorders>
            <w:gridSpan w:val="32"/>
          </w:tcPr>
          <w:p>
            <w:pPr>
              <w:ind w:left="20"/>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Inducement Restricted Stock Award Agreement, dated February 12, 2024, by and between Heena Agrawal and Duluth Holdings Inc.,</w:t>
              </w:r>
            </w:hyperlink>
          </w:p>
        </w:tc>
        <w:tc>
          <w:tcPr>
            <w:tcW w:w="340" w:type="dxa"/>
            <w:vAlign w:val="bottom"/>
            <w:gridSpan w:val="1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8280" w:type="dxa"/>
            <w:vAlign w:val="bottom"/>
            <w:tcBorders>
              <w:bottom w:val="single" w:sz="8" w:color="0000FF"/>
            </w:tcBorders>
            <w:gridSpan w:val="25"/>
          </w:tcPr>
          <w:p>
            <w:pPr>
              <w:ind w:left="20"/>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incorporated by reference to Exhibit 10.1 of the Company’s Current Report on Form 8-K dated February 12, 2024.</w:t>
              </w:r>
            </w:hyperlink>
          </w:p>
        </w:tc>
        <w:tc>
          <w:tcPr>
            <w:tcW w:w="1720" w:type="dxa"/>
            <w:vAlign w:val="bottom"/>
            <w:gridSpan w:val="21"/>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780" w:type="dxa"/>
            <w:vAlign w:val="bottom"/>
            <w:tcBorders>
              <w:bottom w:val="single" w:sz="8" w:color="0000FF"/>
            </w:tcBorders>
            <w:gridSpan w:val="36"/>
          </w:tcPr>
          <w:p>
            <w:pPr>
              <w:ind w:left="20"/>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Offer Letter dated July 18, 2024 by and between Ei Getson and Duluth Holdings Inc., incorporated by reference to Exhibit 10.22 of the</w:t>
              </w:r>
            </w:hyperlink>
          </w:p>
        </w:tc>
        <w:tc>
          <w:tcPr>
            <w:tcW w:w="22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6140" w:type="dxa"/>
            <w:vAlign w:val="bottom"/>
            <w:tcBorders>
              <w:bottom w:val="single" w:sz="8" w:color="0000FF"/>
            </w:tcBorders>
            <w:gridSpan w:val="16"/>
          </w:tcPr>
          <w:p>
            <w:pPr>
              <w:ind w:left="20"/>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Company’s Annual Report on Form 10-K for the fiscal year ended February 2, 2025.</w:t>
              </w:r>
            </w:hyperlink>
          </w:p>
        </w:tc>
        <w:tc>
          <w:tcPr>
            <w:tcW w:w="20" w:type="dxa"/>
            <w:vAlign w:val="bottom"/>
            <w:tcBorders>
              <w:bottom w:val="single" w:sz="8" w:color="0000EE"/>
            </w:tcBorders>
          </w:tcPr>
          <w:p>
            <w:pPr>
              <w:spacing w:after="0"/>
              <w:rPr>
                <w:sz w:val="17"/>
                <w:szCs w:val="17"/>
                <w:color w:val="auto"/>
              </w:rPr>
            </w:pPr>
          </w:p>
        </w:tc>
        <w:tc>
          <w:tcPr>
            <w:tcW w:w="3840" w:type="dxa"/>
            <w:vAlign w:val="bottom"/>
            <w:gridSpan w:val="29"/>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860" w:type="dxa"/>
            <w:vAlign w:val="bottom"/>
            <w:tcBorders>
              <w:bottom w:val="single" w:sz="8" w:color="0000FF"/>
            </w:tcBorders>
            <w:gridSpan w:val="40"/>
          </w:tcPr>
          <w:p>
            <w:pPr>
              <w:ind w:left="20"/>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Offer Letter dated July 27, 2022 by and between Albert J. Sutera and Duluth Holdings Inc., incorporated by reference to Exhibit 10.1 of</w:t>
              </w:r>
            </w:hyperlink>
          </w:p>
        </w:tc>
        <w:tc>
          <w:tcPr>
            <w:tcW w:w="14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6"/>
          </w:tcPr>
          <w:p>
            <w:pPr>
              <w:ind w:left="20"/>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the Company’s Quarterly Report on Form 10-Q dated September 2, 2022.</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gridSpan w:val="6"/>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840" w:type="dxa"/>
            <w:vAlign w:val="bottom"/>
            <w:tcBorders>
              <w:bottom w:val="single" w:sz="8" w:color="0000FF"/>
            </w:tcBorders>
            <w:gridSpan w:val="39"/>
          </w:tcPr>
          <w:p>
            <w:pPr>
              <w:ind w:left="20"/>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Offer Letter dated August 5, 2024 by and between Garth Weber and Duluth Holdings Inc, incorporated by reference to Exhibit 10.23 of</w:t>
              </w:r>
            </w:hyperlink>
          </w:p>
        </w:tc>
        <w:tc>
          <w:tcPr>
            <w:tcW w:w="16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6400" w:type="dxa"/>
            <w:vAlign w:val="bottom"/>
            <w:tcBorders>
              <w:bottom w:val="single" w:sz="8" w:color="0000FF"/>
            </w:tcBorders>
            <w:gridSpan w:val="18"/>
          </w:tcPr>
          <w:p>
            <w:pPr>
              <w:ind w:left="20"/>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the Company’s Annual Report on Form 10-K for the fiscal year ended February 2, 2025.</w:t>
              </w:r>
            </w:hyperlink>
          </w:p>
        </w:tc>
        <w:tc>
          <w:tcPr>
            <w:tcW w:w="20" w:type="dxa"/>
            <w:vAlign w:val="bottom"/>
            <w:tcBorders>
              <w:bottom w:val="single" w:sz="8" w:color="0000EE"/>
            </w:tcBorders>
          </w:tcPr>
          <w:p>
            <w:pPr>
              <w:spacing w:after="0"/>
              <w:rPr>
                <w:sz w:val="17"/>
                <w:szCs w:val="17"/>
                <w:color w:val="auto"/>
              </w:rPr>
            </w:pPr>
          </w:p>
        </w:tc>
        <w:tc>
          <w:tcPr>
            <w:tcW w:w="3580" w:type="dxa"/>
            <w:vAlign w:val="bottom"/>
            <w:gridSpan w:val="27"/>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9980" w:type="dxa"/>
            <w:vAlign w:val="bottom"/>
            <w:tcBorders>
              <w:bottom w:val="single" w:sz="8" w:color="0000FF"/>
            </w:tcBorders>
            <w:gridSpan w:val="45"/>
          </w:tcPr>
          <w:p>
            <w:pPr>
              <w:ind w:left="20"/>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Second Amendment to Employment Agreement, dated as of February 26, 2025, by and between Stephen L. Schlecht and Duluth Holdings</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6"/>
          </w:tcPr>
          <w:p>
            <w:pPr>
              <w:ind w:left="20"/>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Inc., incorporated by reference to Exhibit 10.24 of the Company’s Annual Report on Form 10-K for the fiscal year ended February 2,</w:t>
              </w:r>
            </w:hyperlink>
          </w:p>
        </w:tc>
      </w:tr>
      <w:tr>
        <w:trPr>
          <w:trHeight w:val="196"/>
        </w:trPr>
        <w:tc>
          <w:tcPr>
            <w:tcW w:w="12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ind w:left="20"/>
              <w:spacing w:after="0" w:line="196" w:lineRule="exact"/>
              <w:rPr>
                <w:rFonts w:ascii="Times New Roman" w:cs="Times New Roman" w:eastAsia="Times New Roman" w:hAnsi="Times New Roman"/>
                <w:sz w:val="18"/>
                <w:szCs w:val="18"/>
                <w:color w:val="0000FF"/>
                <w:w w:val="93"/>
              </w:rPr>
            </w:pPr>
            <w:hyperlink r:id="rId222">
              <w:r>
                <w:rPr>
                  <w:rFonts w:ascii="Times New Roman" w:cs="Times New Roman" w:eastAsia="Times New Roman" w:hAnsi="Times New Roman"/>
                  <w:sz w:val="18"/>
                  <w:szCs w:val="18"/>
                  <w:color w:val="0000FF"/>
                  <w:w w:val="93"/>
                </w:rPr>
                <w:t>2025.</w:t>
              </w:r>
            </w:hyperlink>
          </w:p>
        </w:tc>
        <w:tc>
          <w:tcPr>
            <w:tcW w:w="17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9980" w:type="dxa"/>
            <w:vAlign w:val="bottom"/>
            <w:tcBorders>
              <w:bottom w:val="single" w:sz="8" w:color="0000FF"/>
            </w:tcBorders>
            <w:gridSpan w:val="45"/>
          </w:tcPr>
          <w:p>
            <w:pPr>
              <w:ind w:left="20"/>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Form of Restricted Stock Agreement for executives under the 2024 Equity Incentive Plan, incorporated by reference to Exhibit 10.2 of the</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80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Company’s Quarterly Report on Form 10-Q for the quarter ended July 28, 2024.</w:t>
              </w:r>
            </w:hyperlink>
          </w:p>
        </w:tc>
        <w:tc>
          <w:tcPr>
            <w:tcW w:w="4200" w:type="dxa"/>
            <w:vAlign w:val="bottom"/>
            <w:gridSpan w:val="33"/>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9560" w:type="dxa"/>
            <w:vAlign w:val="bottom"/>
            <w:tcBorders>
              <w:bottom w:val="single" w:sz="8" w:color="0000FF"/>
            </w:tcBorders>
            <w:gridSpan w:val="31"/>
          </w:tcPr>
          <w:p>
            <w:pPr>
              <w:ind w:left="20"/>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Restricted Stock Agreement for non-employee directors under the 2024 Equity Incentive Plan, incorporated by reference to</w:t>
              </w:r>
            </w:hyperlink>
          </w:p>
        </w:tc>
        <w:tc>
          <w:tcPr>
            <w:tcW w:w="440" w:type="dxa"/>
            <w:vAlign w:val="bottom"/>
            <w:gridSpan w:val="1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7200" w:type="dxa"/>
            <w:vAlign w:val="bottom"/>
            <w:tcBorders>
              <w:bottom w:val="single" w:sz="8" w:color="0000FF"/>
            </w:tcBorders>
            <w:gridSpan w:val="23"/>
          </w:tcPr>
          <w:p>
            <w:pPr>
              <w:ind w:left="20"/>
              <w:spacing w:after="0" w:line="19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Exhibit 10.3 of the Company’s Quarterly Report on Form 10-Q for the quarter ended July 28, 2024.</w:t>
              </w:r>
            </w:hyperlink>
          </w:p>
        </w:tc>
        <w:tc>
          <w:tcPr>
            <w:tcW w:w="20" w:type="dxa"/>
            <w:vAlign w:val="bottom"/>
            <w:tcBorders>
              <w:bottom w:val="single" w:sz="8" w:color="0000EE"/>
            </w:tcBorders>
          </w:tcPr>
          <w:p>
            <w:pPr>
              <w:spacing w:after="0"/>
              <w:rPr>
                <w:sz w:val="17"/>
                <w:szCs w:val="17"/>
                <w:color w:val="auto"/>
              </w:rPr>
            </w:pPr>
          </w:p>
        </w:tc>
        <w:tc>
          <w:tcPr>
            <w:tcW w:w="2780" w:type="dxa"/>
            <w:vAlign w:val="bottom"/>
            <w:gridSpan w:val="22"/>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9720" w:type="dxa"/>
            <w:vAlign w:val="bottom"/>
            <w:tcBorders>
              <w:bottom w:val="single" w:sz="8" w:color="0000FF"/>
            </w:tcBorders>
            <w:gridSpan w:val="33"/>
          </w:tcPr>
          <w:p>
            <w:pPr>
              <w:ind w:left="20"/>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Second Amendment, dated as of January 31, 2025, among Duluth Holdings Inc., the Lenders party thereto, Bank of America, N.A., as</w:t>
              </w:r>
            </w:hyperlink>
          </w:p>
        </w:tc>
        <w:tc>
          <w:tcPr>
            <w:tcW w:w="28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48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Administrative Agent, Swingline Lender and L/C Issuer, BofA Securities, Inc., as a Joint Lead Arranger and Sole Bookrunner, and</w:t>
              </w:r>
            </w:hyperlink>
          </w:p>
        </w:tc>
        <w:tc>
          <w:tcPr>
            <w:tcW w:w="520" w:type="dxa"/>
            <w:vAlign w:val="bottom"/>
            <w:gridSpan w:val="1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820" w:type="dxa"/>
            <w:vAlign w:val="bottom"/>
            <w:tcBorders>
              <w:bottom w:val="single" w:sz="8" w:color="0000FF"/>
            </w:tcBorders>
            <w:gridSpan w:val="38"/>
          </w:tcPr>
          <w:p>
            <w:pPr>
              <w:ind w:left="20"/>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Keybanc Capital Markets Inc., as a Joint Lead Arranger, incorporated by reference to Exhibit 10.1 of the Company’s Current Report on</w:t>
              </w:r>
            </w:hyperlink>
          </w:p>
        </w:tc>
        <w:tc>
          <w:tcPr>
            <w:tcW w:w="18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6"/>
          </w:tcPr>
          <w:p>
            <w:pPr>
              <w:ind w:left="20"/>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Form 8-K dated January 31, 2025.</w:t>
              </w:r>
            </w:hyperlink>
          </w:p>
        </w:tc>
      </w:tr>
      <w:tr>
        <w:trPr>
          <w:trHeight w:val="20"/>
        </w:trPr>
        <w:tc>
          <w:tcPr>
            <w:tcW w:w="1240" w:type="dxa"/>
            <w:vAlign w:val="bottom"/>
          </w:tcPr>
          <w:p>
            <w:pPr>
              <w:spacing w:after="0" w:line="20" w:lineRule="exact"/>
              <w:rPr>
                <w:sz w:val="1"/>
                <w:szCs w:val="1"/>
                <w:color w:val="auto"/>
              </w:rPr>
            </w:pPr>
          </w:p>
        </w:tc>
        <w:tc>
          <w:tcPr>
            <w:tcW w:w="2500" w:type="dxa"/>
            <w:vAlign w:val="bottom"/>
            <w:tcBorders>
              <w:right w:val="single" w:sz="8" w:color="0000EE"/>
            </w:tcBorders>
            <w:gridSpan w:val="7"/>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9960" w:type="dxa"/>
            <w:vAlign w:val="bottom"/>
            <w:tcBorders>
              <w:bottom w:val="single" w:sz="8" w:color="0000FF"/>
            </w:tcBorders>
            <w:gridSpan w:val="44"/>
          </w:tcPr>
          <w:p>
            <w:pPr>
              <w:ind w:left="20"/>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Employment Agreement between Stephanie L. Pugliese and Duluth Holdings Inc., effective as of May 5, 2025, incorporated by reference</w:t>
              </w:r>
            </w:hyperlink>
          </w:p>
        </w:tc>
        <w:tc>
          <w:tcPr>
            <w:tcW w:w="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960" w:type="dxa"/>
            <w:vAlign w:val="bottom"/>
            <w:tcBorders>
              <w:bottom w:val="single" w:sz="8" w:color="0000FF"/>
            </w:tcBorders>
            <w:gridSpan w:val="14"/>
          </w:tcPr>
          <w:p>
            <w:pPr>
              <w:ind w:left="20"/>
              <w:spacing w:after="0" w:line="19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to Exhibit 10.1 to the Company’s Current Report on Form 8-K filed April 2, 2025.</w:t>
              </w:r>
            </w:hyperlink>
          </w:p>
        </w:tc>
        <w:tc>
          <w:tcPr>
            <w:tcW w:w="20" w:type="dxa"/>
            <w:vAlign w:val="bottom"/>
            <w:tcBorders>
              <w:bottom w:val="single" w:sz="8" w:color="0000EE"/>
            </w:tcBorders>
          </w:tcPr>
          <w:p>
            <w:pPr>
              <w:spacing w:after="0"/>
              <w:rPr>
                <w:sz w:val="17"/>
                <w:szCs w:val="17"/>
                <w:color w:val="auto"/>
              </w:rPr>
            </w:pPr>
          </w:p>
        </w:tc>
        <w:tc>
          <w:tcPr>
            <w:tcW w:w="4020" w:type="dxa"/>
            <w:vAlign w:val="bottom"/>
            <w:gridSpan w:val="31"/>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9740" w:type="dxa"/>
            <w:vAlign w:val="bottom"/>
            <w:tcBorders>
              <w:bottom w:val="single" w:sz="8" w:color="0000FF"/>
            </w:tcBorders>
            <w:gridSpan w:val="34"/>
          </w:tcPr>
          <w:p>
            <w:pPr>
              <w:ind w:left="20"/>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Credit Agreement, dated as of April 28, 2025, among Duluth Holdings Inc., certain financial institutions as Lenders thereto, and BMO</w:t>
              </w:r>
            </w:hyperlink>
          </w:p>
        </w:tc>
        <w:tc>
          <w:tcPr>
            <w:tcW w:w="260" w:type="dxa"/>
            <w:vAlign w:val="bottom"/>
            <w:gridSpan w:val="1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540" w:type="dxa"/>
            <w:vAlign w:val="bottom"/>
            <w:tcBorders>
              <w:bottom w:val="single" w:sz="8" w:color="0000FF"/>
            </w:tcBorders>
            <w:gridSpan w:val="30"/>
          </w:tcPr>
          <w:p>
            <w:pPr>
              <w:ind w:left="20"/>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Bank N.A., Administrative Agent, Swing Line Lender and a Letter of Credit Issuer, incorporated by reference to Exhibit 10.1 to the</w:t>
              </w:r>
            </w:hyperlink>
          </w:p>
        </w:tc>
        <w:tc>
          <w:tcPr>
            <w:tcW w:w="460" w:type="dxa"/>
            <w:vAlign w:val="bottom"/>
            <w:gridSpan w:val="1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34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Company’s Current Report on Form 8-K filed May 1, 2025.</w:t>
              </w:r>
            </w:hyperlink>
          </w:p>
        </w:tc>
        <w:tc>
          <w:tcPr>
            <w:tcW w:w="5660" w:type="dxa"/>
            <w:vAlign w:val="bottom"/>
            <w:gridSpan w:val="37"/>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9940" w:type="dxa"/>
            <w:vAlign w:val="bottom"/>
            <w:tcBorders>
              <w:bottom w:val="single" w:sz="8" w:color="0000FF"/>
            </w:tcBorders>
            <w:gridSpan w:val="43"/>
          </w:tcPr>
          <w:p>
            <w:pPr>
              <w:ind w:left="20"/>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Pledge and Security Agreement, dated as of April 28, 2025, by and between Duluth Holdings Inc. and BMO Bank, N.A., incorporated by</w:t>
              </w:r>
            </w:hyperlink>
          </w:p>
        </w:tc>
        <w:tc>
          <w:tcPr>
            <w:tcW w:w="6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6"/>
          </w:tcPr>
          <w:p>
            <w:pPr>
              <w:ind w:left="20"/>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reference to Exhibit 10.2 to the Company’s Current Report on Form 8-K filed May 1, 2025.</w:t>
              </w:r>
            </w:hyperlink>
          </w:p>
        </w:tc>
      </w:tr>
      <w:tr>
        <w:trPr>
          <w:trHeight w:val="453"/>
        </w:trPr>
        <w:tc>
          <w:tcPr>
            <w:tcW w:w="1240" w:type="dxa"/>
            <w:vAlign w:val="bottom"/>
          </w:tcPr>
          <w:p>
            <w:pPr>
              <w:spacing w:after="0"/>
              <w:rPr>
                <w:sz w:val="24"/>
                <w:szCs w:val="24"/>
                <w:color w:val="auto"/>
              </w:rPr>
            </w:pPr>
          </w:p>
        </w:tc>
        <w:tc>
          <w:tcPr>
            <w:tcW w:w="5180" w:type="dxa"/>
            <w:vAlign w:val="bottom"/>
            <w:tcBorders>
              <w:top w:val="single" w:sz="8" w:color="0000FF"/>
            </w:tcBorders>
            <w:gridSpan w:val="10"/>
          </w:tcPr>
          <w:p>
            <w:pPr>
              <w:ind w:left="430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3"/>
        </w:trPr>
        <w:tc>
          <w:tcPr>
            <w:tcW w:w="1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840" w:type="dxa"/>
            <w:vAlign w:val="bottom"/>
            <w:tcBorders>
              <w:bottom w:val="single" w:sz="8" w:color="0000FF"/>
            </w:tcBorders>
            <w:gridSpan w:val="28"/>
          </w:tcPr>
          <w:p>
            <w:pPr>
              <w:ind w:left="20"/>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Consulting Agreement, dated as of May 1, 2025, by and between Duluth Holdings Inc. and Ronald Robinson, incorporated by reference</w:t>
              </w:r>
            </w:hyperlink>
          </w:p>
        </w:tc>
        <w:tc>
          <w:tcPr>
            <w:tcW w:w="14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to Exhibit 10.5 to the Company’s Quarterly Report on Form 10-Q for the quarter ended May 4, 2025.</w:t>
              </w:r>
            </w:hyperlink>
          </w:p>
        </w:tc>
      </w:tr>
      <w:tr>
        <w:trPr>
          <w:trHeight w:val="20"/>
        </w:trPr>
        <w:tc>
          <w:tcPr>
            <w:tcW w:w="12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9800" w:type="dxa"/>
            <w:vAlign w:val="bottom"/>
            <w:tcBorders>
              <w:bottom w:val="single" w:sz="8" w:color="0000FF"/>
            </w:tcBorders>
            <w:gridSpan w:val="27"/>
          </w:tcPr>
          <w:p>
            <w:pPr>
              <w:ind w:left="20"/>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Inducement Stock Award Agreement, dated May 5, 2025, by and between Ms. Pugliese and the Company, incorporated by reference to</w:t>
              </w:r>
            </w:hyperlink>
          </w:p>
        </w:tc>
        <w:tc>
          <w:tcPr>
            <w:tcW w:w="18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714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Exhibit 10.6 to the Company’s Quarterly Report on Form 10-Q for the quarter ended May 4, 2025.</w:t>
              </w:r>
            </w:hyperlink>
          </w:p>
        </w:tc>
        <w:tc>
          <w:tcPr>
            <w:tcW w:w="2840" w:type="dxa"/>
            <w:vAlign w:val="bottom"/>
            <w:gridSpan w:val="20"/>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9680" w:type="dxa"/>
            <w:vAlign w:val="bottom"/>
            <w:tcBorders>
              <w:bottom w:val="single" w:sz="8" w:color="0000FF"/>
            </w:tcBorders>
            <w:gridSpan w:val="23"/>
          </w:tcPr>
          <w:p>
            <w:pPr>
              <w:ind w:left="20"/>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Inducement Restricted Stock Award Agreement, dated May 5, 2025, by and between Ms. Pugliese and the Company, incorporated by</w:t>
              </w:r>
            </w:hyperlink>
          </w:p>
        </w:tc>
        <w:tc>
          <w:tcPr>
            <w:tcW w:w="30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8020" w:type="dxa"/>
            <w:vAlign w:val="bottom"/>
            <w:tcBorders>
              <w:bottom w:val="single" w:sz="8" w:color="0000FF"/>
            </w:tcBorders>
            <w:gridSpan w:val="15"/>
          </w:tcPr>
          <w:p>
            <w:pPr>
              <w:ind w:left="20"/>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reference to Exhibit 10.7 to the Company’s Quarterly Report on Form 10-Q for the quarter ended May 4, 2025.</w:t>
              </w:r>
            </w:hyperlink>
          </w:p>
        </w:tc>
        <w:tc>
          <w:tcPr>
            <w:tcW w:w="20" w:type="dxa"/>
            <w:vAlign w:val="bottom"/>
            <w:tcBorders>
              <w:bottom w:val="single" w:sz="8" w:color="0000EE"/>
            </w:tcBorders>
          </w:tcPr>
          <w:p>
            <w:pPr>
              <w:spacing w:after="0"/>
              <w:rPr>
                <w:sz w:val="17"/>
                <w:szCs w:val="17"/>
                <w:color w:val="auto"/>
              </w:rPr>
            </w:pPr>
          </w:p>
        </w:tc>
        <w:tc>
          <w:tcPr>
            <w:tcW w:w="1940" w:type="dxa"/>
            <w:vAlign w:val="bottom"/>
            <w:gridSpan w:val="16"/>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9980" w:type="dxa"/>
            <w:vAlign w:val="bottom"/>
            <w:tcBorders>
              <w:bottom w:val="single" w:sz="8" w:color="0000FF"/>
            </w:tcBorders>
            <w:gridSpan w:val="32"/>
          </w:tcPr>
          <w:p>
            <w:pPr>
              <w:ind w:left="20"/>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First Amendment, dated as of July 17, 2025, among Duluth Holdings Inc., the Lenders party thereto, BMO BANK N.A., as administrative</w:t>
              </w:r>
            </w:hyperlink>
          </w:p>
        </w:tc>
      </w:tr>
      <w:tr>
        <w:trPr>
          <w:trHeight w:val="196"/>
        </w:trPr>
        <w:tc>
          <w:tcPr>
            <w:tcW w:w="1240" w:type="dxa"/>
            <w:vAlign w:val="bottom"/>
          </w:tcPr>
          <w:p>
            <w:pPr>
              <w:spacing w:after="0"/>
              <w:rPr>
                <w:sz w:val="17"/>
                <w:szCs w:val="17"/>
                <w:color w:val="auto"/>
              </w:rPr>
            </w:pPr>
          </w:p>
        </w:tc>
        <w:tc>
          <w:tcPr>
            <w:tcW w:w="988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agent for the Lenders, incorporated by reference to Exhibit 10.1 of the Company’s Quarterly Report on Form 10-Q for the quarter ended</w:t>
              </w:r>
            </w:hyperlink>
          </w:p>
        </w:tc>
        <w:tc>
          <w:tcPr>
            <w:tcW w:w="10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16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7"/>
              </w:rPr>
            </w:pPr>
            <w:hyperlink r:id="rId234">
              <w:r>
                <w:rPr>
                  <w:rFonts w:ascii="Times New Roman" w:cs="Times New Roman" w:eastAsia="Times New Roman" w:hAnsi="Times New Roman"/>
                  <w:sz w:val="18"/>
                  <w:szCs w:val="18"/>
                  <w:color w:val="0000FF"/>
                  <w:w w:val="97"/>
                </w:rPr>
                <w:t>August 3, 2025.</w:t>
              </w:r>
            </w:hyperlink>
          </w:p>
        </w:tc>
        <w:tc>
          <w:tcPr>
            <w:tcW w:w="20" w:type="dxa"/>
            <w:vAlign w:val="bottom"/>
            <w:tcBorders>
              <w:bottom w:val="single" w:sz="8" w:color="0000EE"/>
            </w:tcBorders>
          </w:tcPr>
          <w:p>
            <w:pPr>
              <w:spacing w:after="0"/>
              <w:rPr>
                <w:sz w:val="17"/>
                <w:szCs w:val="17"/>
                <w:color w:val="auto"/>
              </w:rPr>
            </w:pPr>
          </w:p>
        </w:tc>
        <w:tc>
          <w:tcPr>
            <w:tcW w:w="8800" w:type="dxa"/>
            <w:vAlign w:val="bottom"/>
            <w:gridSpan w:val="27"/>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944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Amendment No. 2 to Credit Agreement, dated as of October 1, 2025, among Duluth Holdings Inc., certain financial institutions as</w:t>
              </w:r>
            </w:hyperlink>
          </w:p>
        </w:tc>
        <w:tc>
          <w:tcPr>
            <w:tcW w:w="540" w:type="dxa"/>
            <w:vAlign w:val="bottom"/>
            <w:gridSpan w:val="1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620" w:type="dxa"/>
            <w:vAlign w:val="bottom"/>
            <w:tcBorders>
              <w:bottom w:val="single" w:sz="8" w:color="0000FF"/>
            </w:tcBorders>
            <w:gridSpan w:val="22"/>
          </w:tcPr>
          <w:p>
            <w:pPr>
              <w:ind w:left="20"/>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Lenders thereto, and BMO Bank N.A., as Administrative Agent, incorporated by reference to Exhibit 10.1 to the Company’s Current</w:t>
              </w:r>
            </w:hyperlink>
          </w:p>
        </w:tc>
        <w:tc>
          <w:tcPr>
            <w:tcW w:w="36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220" w:type="dxa"/>
            <w:vAlign w:val="bottom"/>
            <w:tcBorders>
              <w:bottom w:val="single" w:sz="8" w:color="0000EE"/>
            </w:tcBorders>
            <w:gridSpan w:val="9"/>
          </w:tcPr>
          <w:p>
            <w:pPr>
              <w:ind w:left="20"/>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Report on Form 8-K dated October 1, 2025.</w:t>
              </w:r>
            </w:hyperlink>
          </w:p>
        </w:tc>
        <w:tc>
          <w:tcPr>
            <w:tcW w:w="6760" w:type="dxa"/>
            <w:vAlign w:val="bottom"/>
            <w:gridSpan w:val="23"/>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998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FF"/>
              </w:rPr>
              <w:t>Letter Agreement between Stephen L. Schlecht and Duluth Holdings Inc., effective June 9, 2025.*</w:t>
            </w:r>
          </w:p>
        </w:tc>
      </w:tr>
      <w:tr>
        <w:trPr>
          <w:trHeight w:val="20"/>
        </w:trPr>
        <w:tc>
          <w:tcPr>
            <w:tcW w:w="12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4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7860" w:type="dxa"/>
            <w:vAlign w:val="bottom"/>
            <w:tcBorders>
              <w:bottom w:val="single" w:sz="8" w:color="0000FF"/>
            </w:tcBorders>
            <w:gridSpan w:val="14"/>
          </w:tcPr>
          <w:p>
            <w:pPr>
              <w:ind w:left="20"/>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First Amendment to Employment Agreement, effective March 9, 2026, by and between Ms. Pugliese and the</w:t>
              </w:r>
            </w:hyperlink>
          </w:p>
        </w:tc>
        <w:tc>
          <w:tcPr>
            <w:tcW w:w="2120" w:type="dxa"/>
            <w:vAlign w:val="bottom"/>
            <w:gridSpan w:val="1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Company, incorporated by reference to Exhibit 10.1 to the Company’s Current Report on Form 8-K dated March 9, 2026.</w:t>
              </w:r>
            </w:hyperlink>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8100" w:type="dxa"/>
            <w:vAlign w:val="bottom"/>
            <w:tcBorders>
              <w:top w:val="single" w:sz="8" w:color="0000FF"/>
              <w:bottom w:val="single" w:sz="8" w:color="0000FF"/>
            </w:tcBorders>
            <w:gridSpan w:val="17"/>
          </w:tcPr>
          <w:p>
            <w:pPr>
              <w:ind w:left="20"/>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Fourth Amendment to Employment Agreement, effective March 16, 2026, by and between Mr. Schlecht and the</w:t>
              </w:r>
            </w:hyperlink>
          </w:p>
        </w:tc>
        <w:tc>
          <w:tcPr>
            <w:tcW w:w="20" w:type="dxa"/>
            <w:vAlign w:val="bottom"/>
            <w:tcBorders>
              <w:top w:val="single" w:sz="8" w:color="0000FF"/>
              <w:bottom w:val="single" w:sz="8" w:color="0000EE"/>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18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Company, incorporated by reference to Exhibit 10.2 to the Company’s Current Report on Form 8-K dated March 9, 2026.</w:t>
              </w:r>
            </w:hyperlink>
          </w:p>
        </w:tc>
      </w:tr>
      <w:tr>
        <w:trPr>
          <w:trHeight w:val="20"/>
        </w:trPr>
        <w:tc>
          <w:tcPr>
            <w:tcW w:w="12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4120" w:type="dxa"/>
            <w:vAlign w:val="bottom"/>
            <w:tcBorders>
              <w:right w:val="single" w:sz="8" w:color="0000EE"/>
            </w:tcBorders>
            <w:gridSpan w:val="9"/>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600" w:type="dxa"/>
            <w:vAlign w:val="bottom"/>
            <w:tcBorders>
              <w:bottom w:val="single" w:sz="8" w:color="0000FF"/>
            </w:tcBorders>
            <w:gridSpan w:val="21"/>
          </w:tcPr>
          <w:p>
            <w:pPr>
              <w:ind w:left="20"/>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Duluth Holdings Inc. Statement of Policy on Securities Trading, incorporated by reference to Exhibit 19.1 of the Company’s Annual</w:t>
              </w:r>
            </w:hyperlink>
          </w:p>
        </w:tc>
        <w:tc>
          <w:tcPr>
            <w:tcW w:w="380" w:type="dxa"/>
            <w:vAlign w:val="bottom"/>
            <w:gridSpan w:val="11"/>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Report on Form 10-K for the fiscal year ended February 2, 2025.</w:t>
              </w:r>
            </w:hyperlink>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860" w:type="dxa"/>
            <w:vAlign w:val="bottom"/>
            <w:tcBorders>
              <w:top w:val="single" w:sz="8" w:color="0000FF"/>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Consent of KPMG LLP.*</w:t>
            </w:r>
          </w:p>
        </w:tc>
        <w:tc>
          <w:tcPr>
            <w:tcW w:w="2820" w:type="dxa"/>
            <w:vAlign w:val="bottom"/>
            <w:tcBorders>
              <w:top w:val="single" w:sz="8" w:color="0000FF"/>
            </w:tcBorders>
            <w:gridSpan w:val="3"/>
          </w:tcPr>
          <w:p>
            <w:pPr>
              <w:spacing w:after="0"/>
              <w:rPr>
                <w:sz w:val="17"/>
                <w:szCs w:val="17"/>
                <w:color w:val="auto"/>
              </w:rPr>
            </w:pPr>
          </w:p>
        </w:tc>
        <w:tc>
          <w:tcPr>
            <w:tcW w:w="5300" w:type="dxa"/>
            <w:vAlign w:val="bottom"/>
            <w:gridSpan w:val="22"/>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998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FF"/>
              </w:rPr>
              <w:t>Power of Attorney.*</w:t>
            </w:r>
          </w:p>
        </w:tc>
      </w:tr>
      <w:tr>
        <w:trPr>
          <w:trHeight w:val="20"/>
        </w:trPr>
        <w:tc>
          <w:tcPr>
            <w:tcW w:w="12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9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960" w:type="dxa"/>
            <w:vAlign w:val="bottom"/>
            <w:tcBorders>
              <w:bottom w:val="single" w:sz="8" w:color="0000FF"/>
            </w:tcBorders>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and Rule 15d-14(a) of the Securities and Exchange Act, as amended.*</w:t>
            </w: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720" w:type="dxa"/>
            <w:vAlign w:val="bottom"/>
            <w:tcBorders>
              <w:bottom w:val="single" w:sz="8" w:color="0000FF"/>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and Exchange Act of 1934, as</w:t>
            </w:r>
          </w:p>
        </w:tc>
        <w:tc>
          <w:tcPr>
            <w:tcW w:w="26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80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amended.*</w:t>
            </w:r>
          </w:p>
        </w:tc>
        <w:tc>
          <w:tcPr>
            <w:tcW w:w="20" w:type="dxa"/>
            <w:vAlign w:val="bottom"/>
            <w:tcBorders>
              <w:bottom w:val="single" w:sz="8" w:color="0000EE"/>
            </w:tcBorders>
          </w:tcPr>
          <w:p>
            <w:pPr>
              <w:spacing w:after="0"/>
              <w:rPr>
                <w:sz w:val="17"/>
                <w:szCs w:val="17"/>
                <w:color w:val="auto"/>
              </w:rPr>
            </w:pPr>
          </w:p>
        </w:tc>
        <w:tc>
          <w:tcPr>
            <w:tcW w:w="9160" w:type="dxa"/>
            <w:vAlign w:val="bottom"/>
            <w:gridSpan w:val="30"/>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780" w:type="dxa"/>
            <w:vAlign w:val="bottom"/>
            <w:tcBorders>
              <w:bottom w:val="single" w:sz="8" w:color="0000FF"/>
            </w:tcBorders>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20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240" w:type="dxa"/>
            <w:vAlign w:val="bottom"/>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920" w:type="dxa"/>
            <w:vAlign w:val="bottom"/>
            <w:gridSpan w:val="1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740" w:type="dxa"/>
            <w:vAlign w:val="bottom"/>
            <w:tcBorders>
              <w:bottom w:val="single" w:sz="8" w:color="0000FF"/>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24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240" w:type="dxa"/>
            <w:vAlign w:val="bottom"/>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7100" w:type="dxa"/>
            <w:vAlign w:val="bottom"/>
            <w:gridSpan w:val="2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980" w:type="dxa"/>
            <w:vAlign w:val="bottom"/>
            <w:gridSpan w:val="32"/>
          </w:tcPr>
          <w:p>
            <w:pPr>
              <w:ind w:left="20"/>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Executive Officer Compensation Recovery Policy, incorporated by reference to Exhibit 97 of the Company’s Annual Report on Form 10-</w:t>
              </w:r>
            </w:hyperlink>
          </w:p>
        </w:tc>
      </w:tr>
      <w:tr>
        <w:trPr>
          <w:trHeight w:val="196"/>
        </w:trPr>
        <w:tc>
          <w:tcPr>
            <w:tcW w:w="124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K for the year ended January 28, 2024.</w:t>
              </w:r>
            </w:hyperlink>
          </w:p>
        </w:tc>
        <w:tc>
          <w:tcPr>
            <w:tcW w:w="7100" w:type="dxa"/>
            <w:vAlign w:val="bottom"/>
            <w:tcBorders>
              <w:top w:val="single" w:sz="8" w:color="0000FF"/>
            </w:tcBorders>
            <w:gridSpan w:val="2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1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9" w:lineRule="exact"/>
        <w:rPr>
          <w:sz w:val="20"/>
          <w:szCs w:val="20"/>
          <w:color w:val="auto"/>
        </w:rPr>
      </w:pPr>
    </w:p>
    <w:p>
      <w:pPr>
        <w:ind w:right="6880" w:firstLine="8"/>
        <w:spacing w:after="0" w:line="251" w:lineRule="auto"/>
        <w:tabs>
          <w:tab w:leader="none" w:pos="26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compensation plan or arrangement * Filed herewith</w:t>
      </w:r>
    </w:p>
    <w:p>
      <w:pPr>
        <w:ind w:left="260" w:hanging="251"/>
        <w:spacing w:after="0"/>
        <w:tabs>
          <w:tab w:leader="none" w:pos="2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Regulation S-T, the XBRL-related information in Exhibit 101 to this Annual Report on Form 10-K shall be deemed to be “furnished” and not “filed.”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16. FORM 10-K SUMMARY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200" w:lineRule="exact"/>
        <w:rPr>
          <w:sz w:val="20"/>
          <w:szCs w:val="20"/>
          <w:color w:val="auto"/>
        </w:rPr>
      </w:pPr>
    </w:p>
    <w:p>
      <w:pPr>
        <w:spacing w:after="0" w:line="212" w:lineRule="exact"/>
        <w:rPr>
          <w:sz w:val="20"/>
          <w:szCs w:val="20"/>
          <w:color w:val="auto"/>
        </w:rPr>
      </w:pPr>
    </w:p>
    <w:p>
      <w:pPr>
        <w:ind w:left="160"/>
        <w:spacing w:after="0"/>
        <w:tabs>
          <w:tab w:leader="none" w:pos="3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0577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8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2026</w:t>
      </w:r>
    </w:p>
    <w:p>
      <w:pPr>
        <w:spacing w:after="0" w:line="18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5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52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2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Stephanie L. Pugliese</w:t>
            </w:r>
          </w:p>
        </w:tc>
        <w:tc>
          <w:tcPr>
            <w:tcW w:w="4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President and</w:t>
            </w:r>
          </w:p>
        </w:tc>
        <w:tc>
          <w:tcPr>
            <w:tcW w:w="152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March 20, 2026</w:t>
            </w:r>
          </w:p>
        </w:tc>
      </w:tr>
      <w:tr>
        <w:trPr>
          <w:trHeight w:val="191"/>
        </w:trPr>
        <w:tc>
          <w:tcPr>
            <w:tcW w:w="268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Stephanie L. Pugliese</w:t>
            </w:r>
          </w:p>
        </w:tc>
        <w:tc>
          <w:tcPr>
            <w:tcW w:w="430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4"/>
        </w:trPr>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2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Heena K. Agrawal</w:t>
            </w:r>
          </w:p>
        </w:tc>
        <w:tc>
          <w:tcPr>
            <w:tcW w:w="4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Senior Vice President and</w:t>
            </w:r>
          </w:p>
        </w:tc>
        <w:tc>
          <w:tcPr>
            <w:tcW w:w="152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March 20, 2026</w:t>
            </w:r>
          </w:p>
        </w:tc>
      </w:tr>
      <w:tr>
        <w:trPr>
          <w:trHeight w:val="191"/>
        </w:trPr>
        <w:tc>
          <w:tcPr>
            <w:tcW w:w="268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Heena K. Agrawal</w:t>
            </w:r>
          </w:p>
        </w:tc>
        <w:tc>
          <w:tcPr>
            <w:tcW w:w="4300" w:type="dxa"/>
            <w:vAlign w:val="bottom"/>
            <w:gridSpan w:val="3"/>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w w:val="99"/>
              </w:rPr>
              <w:t>Chief Financial Officer and Interim Chief</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(Principal Financial Officer and Interim Principal</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Accounting Officer)</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194"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Stephanie L. Pugliese, Brett L. Paschke, Janet H. Kennedy, David C. Finch, Susan J. Riley, Stephen L. Schlecht, Scott K. Williams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Ronald Robinson.</w:t>
      </w:r>
    </w:p>
    <w:p>
      <w:pPr>
        <w:spacing w:after="0" w:line="170" w:lineRule="exact"/>
        <w:rPr>
          <w:sz w:val="20"/>
          <w:szCs w:val="20"/>
          <w:color w:val="auto"/>
        </w:rPr>
      </w:pPr>
    </w:p>
    <w:p>
      <w:pPr>
        <w:ind w:left="70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18415</wp:posOffset>
            </wp:positionV>
            <wp:extent cx="23145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72" w:name="page73"/>
    <w:bookmarkEnd w:id="72"/>
    <w:p>
      <w:pPr>
        <w:ind w:left="760"/>
        <w:spacing w:after="0"/>
        <w:rPr>
          <w:sz w:val="20"/>
          <w:szCs w:val="20"/>
          <w:color w:val="auto"/>
        </w:rPr>
      </w:pPr>
      <w:r>
        <w:rPr>
          <w:rFonts w:ascii="Times New Roman" w:cs="Times New Roman" w:eastAsia="Times New Roman" w:hAnsi="Times New Roman"/>
          <w:sz w:val="18"/>
          <w:szCs w:val="18"/>
          <w:b w:val="1"/>
          <w:bCs w:val="1"/>
          <w:color w:val="auto"/>
        </w:rPr>
        <w:t>LETTER AGREEMENT BETWEEN STEPHEN L. SCHLECHT AND DULUTH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Employment Agreement Dear Mr. Schlecht: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Stephen L. Schlecht</w:t>
      </w:r>
    </w:p>
    <w:p>
      <w:pPr>
        <w:spacing w:after="0" w:line="225"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This Letter Agreement (this “Letter Agreement”) is entered into effective as of June 9, 2025 by and between Duluth Holdings Inc. (d/b/a Duluth Trading Company) (“Duluth Trading”), and Mr. Stephen L. Schlecht (“You”).</w:t>
      </w:r>
    </w:p>
    <w:p>
      <w:pPr>
        <w:spacing w:after="0" w:line="16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You and Duluth Trading are parties to that certain First Amended and Restated Employment Agreement, dated as of May 27, 2021, as amended by that certain Second Amendment to Employment Agreement, dated as of February 26, 2025 (the “Employment Agreement”). Terms used in this Letter Agreement but not defined herein shall have the meanings ascribed to them in the Employment Agreement.</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light of Duluth Trading’s performance, you have agreed to temporarily reduce your Base Salary. Notwithstanding anything else to the contrary in the Employment Agreement, as of the date of this Letter Agreement, you and Duluth Trading acknowledge and agree that your annual Base Salary shall be reduced from $275,000 to $50,000 from June 9, 2025 through February 1, 2026. Such reduction in Base Salary shall not constitute “Good Reason” under Section 3.1(e) of the Employment Agreement. On February 2, 2026, your Base Salary under the Employment Agreement shall automatically increase from $50,000 to $275,000. Furthermore, notwithstanding anything else to the contrary in the Employment Agreement, for purposes of your participation in the Bonus Plan for fiscal year 2025, the amount of your bonus amount, if any, shall be calculated using a Base Salary of $275,000.</w:t>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This Letter Agreement and the other agreements referred to herein set forth the entire understanding between you and Duluth Trading with respect to the subject matter hereof. Except as specifically modified by this Letter Agreement, the Employment Agreement remains in full force and effect. This Letter Agreement shall be governed by the laws of the State of Wisconsin. This Letter Agreement may be executed in any number of counterparts, each of which shall be deemed an original but all of which shall together constitute one and the same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Stephanie Pugliese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L. Pugliese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Stephen L. Schlecht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L. Schlecht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center"/>
        <w:ind w:right="-2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 333-286939, 333-279655, 333-276949, 333-230064, 333-225364, 333-223217, 333-216128, 333-209540, and 333-208185) on Form S-8 of our report dated March 20, 2026, with respect to the consolidated financial statements and financial statement Schedule II of Duluth Holdings Inc.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69" w:right="579" w:bottom="1440" w:gutter="0" w:footer="0" w:header="0"/>
        </w:sectPr>
      </w:pPr>
    </w:p>
    <w:bookmarkStart w:id="74" w:name="page75"/>
    <w:bookmarkEnd w:id="74"/>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Each of the undersigned directors of Duluth Holdings Inc. (the “Corporation”) hereby designates and appoints Stephanie Pugliese, Heena Agrawal and Wenyu Blanchard,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Corporation the Corporation’s Annual Report on Form 10-K for the year ended February 1, 2026,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92"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each executed this Power of Attorney for Annual Report on Form 10-K, on one or more counterparts, as of the 17th of March, 2026.</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/s/ Stephen L. Schlecht</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 Stephanie L. Pugliese</w:t>
            </w:r>
          </w:p>
        </w:tc>
      </w:tr>
      <w:tr>
        <w:trPr>
          <w:trHeight w:val="385"/>
        </w:trPr>
        <w:tc>
          <w:tcPr>
            <w:tcW w:w="16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Stephen L. Schlecht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Stephanie L. Pugliese</w:t>
            </w:r>
          </w:p>
        </w:tc>
        <w:tc>
          <w:tcPr>
            <w:tcW w:w="6940" w:type="dxa"/>
            <w:vAlign w:val="bottom"/>
          </w:tcPr>
          <w:p>
            <w:pPr>
              <w:spacing w:after="0"/>
              <w:rPr>
                <w:sz w:val="24"/>
                <w:szCs w:val="24"/>
                <w:color w:val="auto"/>
              </w:rPr>
            </w:pPr>
          </w:p>
        </w:tc>
      </w:tr>
      <w:tr>
        <w:trPr>
          <w:trHeight w:val="67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9"/>
              </w:rPr>
              <w:t>/s/ David C. Finch</w:t>
            </w:r>
          </w:p>
        </w:tc>
        <w:tc>
          <w:tcPr>
            <w:tcW w:w="820" w:type="dxa"/>
            <w:vAlign w:val="bottom"/>
            <w:gridSpan w:val="4"/>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/s/ Brett L. Paschke</w:t>
            </w:r>
          </w:p>
        </w:tc>
        <w:tc>
          <w:tcPr>
            <w:tcW w:w="7660" w:type="dxa"/>
            <w:vAlign w:val="bottom"/>
            <w:gridSpan w:val="4"/>
          </w:tcPr>
          <w:p>
            <w:pPr>
              <w:spacing w:after="0"/>
              <w:rPr>
                <w:sz w:val="24"/>
                <w:szCs w:val="24"/>
                <w:color w:val="auto"/>
              </w:rPr>
            </w:pPr>
          </w:p>
        </w:tc>
      </w:tr>
      <w:tr>
        <w:trPr>
          <w:trHeight w:val="385"/>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David C. Finch</w:t>
            </w:r>
          </w:p>
        </w:tc>
        <w:tc>
          <w:tcPr>
            <w:tcW w:w="360" w:type="dxa"/>
            <w:vAlign w:val="bottom"/>
          </w:tcPr>
          <w:p>
            <w:pPr>
              <w:spacing w:after="0"/>
              <w:rPr>
                <w:sz w:val="24"/>
                <w:szCs w:val="24"/>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Brett L. Paschke</w:t>
            </w:r>
          </w:p>
        </w:tc>
      </w:tr>
      <w:tr>
        <w:trPr>
          <w:trHeight w:val="675"/>
        </w:trPr>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/s/ Ronald Robinson</w:t>
            </w:r>
          </w:p>
        </w:tc>
        <w:tc>
          <w:tcPr>
            <w:tcW w:w="6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/s/ Susan J. Riley</w:t>
            </w:r>
          </w:p>
        </w:tc>
        <w:tc>
          <w:tcPr>
            <w:tcW w:w="7480" w:type="dxa"/>
            <w:vAlign w:val="bottom"/>
            <w:gridSpan w:val="3"/>
          </w:tcPr>
          <w:p>
            <w:pPr>
              <w:spacing w:after="0"/>
              <w:rPr>
                <w:sz w:val="24"/>
                <w:szCs w:val="24"/>
                <w:color w:val="auto"/>
              </w:rPr>
            </w:pPr>
          </w:p>
        </w:tc>
      </w:tr>
      <w:tr>
        <w:trPr>
          <w:trHeight w:val="385"/>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Ronald Robinson</w:t>
            </w:r>
          </w:p>
        </w:tc>
        <w:tc>
          <w:tcPr>
            <w:tcW w:w="360" w:type="dxa"/>
            <w:vAlign w:val="bottom"/>
          </w:tcPr>
          <w:p>
            <w:pPr>
              <w:spacing w:after="0"/>
              <w:rPr>
                <w:sz w:val="24"/>
                <w:szCs w:val="24"/>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Susan J. Riley</w:t>
            </w:r>
          </w:p>
        </w:tc>
      </w:tr>
      <w:tr>
        <w:trPr>
          <w:trHeight w:val="675"/>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/s/ Scott K. Williams</w:t>
            </w:r>
          </w:p>
        </w:tc>
        <w:tc>
          <w:tcPr>
            <w:tcW w:w="68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 Janet H. Kennedy</w:t>
            </w:r>
          </w:p>
        </w:tc>
      </w:tr>
      <w:tr>
        <w:trPr>
          <w:trHeight w:val="385"/>
        </w:trPr>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Scott K. Williams</w:t>
            </w:r>
          </w:p>
        </w:tc>
        <w:tc>
          <w:tcPr>
            <w:tcW w:w="68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Janet H. Kennedy</w:t>
            </w:r>
          </w:p>
        </w:tc>
        <w:tc>
          <w:tcPr>
            <w:tcW w:w="7220" w:type="dxa"/>
            <w:vAlign w:val="bottom"/>
            <w:gridSpan w:val="2"/>
          </w:tcPr>
          <w:p>
            <w:pPr>
              <w:spacing w:after="0"/>
              <w:rPr>
                <w:sz w:val="24"/>
                <w:szCs w:val="24"/>
                <w:color w:val="auto"/>
              </w:rPr>
            </w:pPr>
          </w:p>
        </w:tc>
      </w:tr>
      <w:tr>
        <w:trPr>
          <w:trHeight w:val="2194"/>
        </w:trPr>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Stephanie Pugliese, President and Chief Executive Officer,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Form 10-K of Duluth Holdings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March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Stephanie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Stephanie Pugliese</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Heena Agrawal, Chief Financial Officer and Interim Chief Accounting Officer , certify that:</w:t>
      </w:r>
    </w:p>
    <w:p>
      <w:pPr>
        <w:spacing w:after="0" w:line="22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Form 10-K of Duluth Holdings Inc. (the "registrant");</w:t>
      </w:r>
    </w:p>
    <w:p>
      <w:pPr>
        <w:spacing w:after="0" w:line="225" w:lineRule="exact"/>
        <w:rPr>
          <w:sz w:val="20"/>
          <w:szCs w:val="20"/>
          <w:color w:val="auto"/>
        </w:rPr>
      </w:pPr>
    </w:p>
    <w:p>
      <w:pPr>
        <w:jc w:val="both"/>
        <w:ind w:left="520" w:right="26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tabs>
          <w:tab w:leader="none" w:pos="5340" w:val="left"/>
          <w:tab w:leader="none" w:pos="7820" w:val="left"/>
        </w:tabs>
        <w:rPr>
          <w:sz w:val="20"/>
          <w:szCs w:val="20"/>
          <w:color w:val="auto"/>
        </w:rPr>
      </w:pPr>
      <w:r>
        <w:rPr>
          <w:rFonts w:ascii="Times New Roman" w:cs="Times New Roman" w:eastAsia="Times New Roman" w:hAnsi="Times New Roman"/>
          <w:sz w:val="18"/>
          <w:szCs w:val="18"/>
          <w:color w:val="auto"/>
        </w:rPr>
        <w:t>Date: March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18415</wp:posOffset>
            </wp:positionV>
            <wp:extent cx="34544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9"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 and Interim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Duluth Holdings Inc. (the “Company”) for the period ending February 1, 2026 as filed with the Securities and Exchange Commission on the date hereof (the “Report”), I Stephanie Pugliese, President and Chief Executive Officer of the Company, hereby certify, pursuant to 18 U.S.C. § 1350, as adopted pursuant to § 906 of the Sarbanes-Oxley Act of 2002, that, to the best of my knowledge:</w:t>
      </w:r>
    </w:p>
    <w:p>
      <w:pPr>
        <w:spacing w:after="0" w:line="176"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7" w:lineRule="exact"/>
        <w:rPr>
          <w:sz w:val="20"/>
          <w:szCs w:val="20"/>
          <w:color w:val="auto"/>
        </w:rPr>
      </w:pPr>
    </w:p>
    <w:p>
      <w:pPr>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March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Stephanie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Stephanie Pugliese</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Duluth Holdings Inc. (the “Company”) for the period ending February 1, 2026 as filed with the Securities and Exchange Commission on the date hereof (the “Report”), I, Heena Agrawal, Chief Financial Officer and Interim Chief Accounting Officer, of the Company, hereby certify, pursuant to 18 U.S.C. § 1350, as adopted pursuant to § 906 of the Sarbanes-Oxley Act of 2002, that, to the best of my knowledge:</w:t>
      </w:r>
    </w:p>
    <w:p>
      <w:pPr>
        <w:spacing w:after="0" w:line="39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7" w:lineRule="exact"/>
        <w:rPr>
          <w:sz w:val="20"/>
          <w:szCs w:val="20"/>
          <w:color w:val="auto"/>
        </w:rPr>
      </w:pPr>
    </w:p>
    <w:p>
      <w:pPr>
        <w:spacing w:after="0"/>
        <w:tabs>
          <w:tab w:leader="none" w:pos="4600" w:val="left"/>
          <w:tab w:leader="none" w:pos="7460" w:val="left"/>
        </w:tabs>
        <w:rPr>
          <w:sz w:val="20"/>
          <w:szCs w:val="20"/>
          <w:color w:val="auto"/>
        </w:rPr>
      </w:pPr>
      <w:r>
        <w:rPr>
          <w:rFonts w:ascii="Times New Roman" w:cs="Times New Roman" w:eastAsia="Times New Roman" w:hAnsi="Times New Roman"/>
          <w:sz w:val="18"/>
          <w:szCs w:val="18"/>
          <w:color w:val="auto"/>
        </w:rPr>
        <w:t>Date: March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18415</wp:posOffset>
            </wp:positionV>
            <wp:extent cx="39173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9"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 and Interim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4"/>
    </w:lvl>
  </w:abstractNum>
  <w:abstractNum w:abstractNumId="14">
    <w:nsid w:val="257130A3"/>
    <w:multiLevelType w:val="hybridMultilevel"/>
    <w:lvl w:ilvl="0">
      <w:lvlJc w:val="left"/>
      <w:lvlText w:val="(%1)"/>
      <w:numFmt w:val="lowerRoman"/>
      <w:start w:val="2"/>
    </w:lvl>
  </w:abstractNum>
  <w:abstractNum w:abstractNumId="15">
    <w:nsid w:val="62BBD95A"/>
    <w:multiLevelType w:val="hybridMultilevel"/>
    <w:lvl w:ilvl="0">
      <w:lvlJc w:val="left"/>
      <w:lvlText w:val="%1."/>
      <w:numFmt w:val="decimal"/>
      <w:start w:val="5"/>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lvl w:ilvl="1">
      <w:lvlJc w:val="left"/>
      <w:lvlText w:val="**"/>
      <w:numFmt w:val="bullet"/>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1"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38" Type="http://schemas.openxmlformats.org/officeDocument/2006/relationships/hyperlink" Target="https://www.sec.gov/ix?doc=/Archives/edgar/data/0001649744/000164974424000006/dlth-20240128x10k.htm" TargetMode="External"/><Relationship Id="rId193" Type="http://schemas.openxmlformats.org/officeDocument/2006/relationships/hyperlink" Target="https://www.sec.gov/Archives/edgar/data/1649744/000119312515371181/d70652dex31.htm" TargetMode="External"/><Relationship Id="rId194" Type="http://schemas.openxmlformats.org/officeDocument/2006/relationships/hyperlink" Target="https://www.sec.gov/Archives/edgar/data/1649744/000119312515371181/d70652dex32.htm" TargetMode="External"/><Relationship Id="rId195" Type="http://schemas.openxmlformats.org/officeDocument/2006/relationships/hyperlink" Target="https://www.sec.gov/Archives/edgar/data/1649744/000164974420000008/dlth-20200202xex4_1.htm" TargetMode="External"/><Relationship Id="rId196" Type="http://schemas.openxmlformats.org/officeDocument/2006/relationships/hyperlink" Target="https://www.sec.gov/Archives/edgar/data/1649744/000164974422000008/dlth-20220130xex9_1.htm" TargetMode="External"/><Relationship Id="rId197" Type="http://schemas.openxmlformats.org/officeDocument/2006/relationships/hyperlink" Target="https://www.sec.gov/Archives/edgar/data/1649744/000164974424000006/dlth-20240128xex10_1.htm" TargetMode="External"/><Relationship Id="rId198" Type="http://schemas.openxmlformats.org/officeDocument/2006/relationships/hyperlink" Target="https://www.sec.gov/Archives/edgar/data/1649744/000164974415000014/dlth-20151101ex107695db3.htm" TargetMode="External"/><Relationship Id="rId199" Type="http://schemas.openxmlformats.org/officeDocument/2006/relationships/hyperlink" Target="https://www.sec.gov/Archives/edgar/data/1649744/000119312524088178/d646253ddef14a.htm" TargetMode="External"/><Relationship Id="rId200" Type="http://schemas.openxmlformats.org/officeDocument/2006/relationships/hyperlink" Target="https://www.sec.gov/Archives/edgar/data/1649744/000119312515338287/d70652dex1017.htm" TargetMode="External"/><Relationship Id="rId201" Type="http://schemas.openxmlformats.org/officeDocument/2006/relationships/hyperlink" Target="https://www.sec.gov/Archives/edgar/data/1649744/000119312515338287/d70652dex1019.htm" TargetMode="External"/><Relationship Id="rId202" Type="http://schemas.openxmlformats.org/officeDocument/2006/relationships/hyperlink" Target="https://www.sec.gov/Archives/edgar/data/1649744/000119312515342675/d70652dex1023.htm" TargetMode="External"/><Relationship Id="rId203" Type="http://schemas.openxmlformats.org/officeDocument/2006/relationships/hyperlink" Target="https://www.sec.gov/Archives/edgar/data/1649744/000119312524039979/d756119dex101.htm" TargetMode="External"/><Relationship Id="rId204" Type="http://schemas.openxmlformats.org/officeDocument/2006/relationships/hyperlink" Target="https://www.sec.gov/Archives/edgar/data/1649744/000164974416000030/dlth-20160501xex10_1.htm" TargetMode="External"/><Relationship Id="rId205" Type="http://schemas.openxmlformats.org/officeDocument/2006/relationships/hyperlink" Target="https://www.sec.gov/Archives/edgar/data/1649744/000089271217000564/exhibit102.htm" TargetMode="External"/><Relationship Id="rId206" Type="http://schemas.openxmlformats.org/officeDocument/2006/relationships/hyperlink" Target="https://www.sec.gov/Archives/edgar/data/1649744/000164974421000028/dlth-20210801xex10_1.htm" TargetMode="External"/><Relationship Id="rId207" Type="http://schemas.openxmlformats.org/officeDocument/2006/relationships/hyperlink" Target="https://www.sec.gov/Archives/edgar/data/1649744/000164974421000017/dlth-20210502xex10_3.htm" TargetMode="External"/><Relationship Id="rId210" Type="http://schemas.openxmlformats.org/officeDocument/2006/relationships/hyperlink" Target="https://www.sec.gov/Archives/edgar/data/1649744/000164974422000008/dlth-20220130xex10_18.htm" TargetMode="External"/><Relationship Id="rId211" Type="http://schemas.openxmlformats.org/officeDocument/2006/relationships/hyperlink" Target="https://www.sec.gov/Archives/edgar/data/1649744/000164974422000008/dlth-20220130xex10_19.htm" TargetMode="External"/><Relationship Id="rId212" Type="http://schemas.openxmlformats.org/officeDocument/2006/relationships/hyperlink" Target="https://www.sec.gov/Archives/edgar/data/1649744/000119312521166645/d157092dex101.htm" TargetMode="External"/><Relationship Id="rId213" Type="http://schemas.openxmlformats.org/officeDocument/2006/relationships/hyperlink" Target="https://www.sec.gov/Archives/edgar/data/1649744/000119312521166645/d157092dex102.htm" TargetMode="External"/><Relationship Id="rId214" Type="http://schemas.openxmlformats.org/officeDocument/2006/relationships/hyperlink" Target="https://www.sec.gov/Archives/edgar/data/1649744/000089271222000097/exhibit101.htm" TargetMode="External"/><Relationship Id="rId215" Type="http://schemas.openxmlformats.org/officeDocument/2006/relationships/hyperlink" Target="https://www.sec.gov/Archives/edgar/data/1649744/000089271222000097/exhibit102.htm" TargetMode="External"/><Relationship Id="rId216" Type="http://schemas.openxmlformats.org/officeDocument/2006/relationships/hyperlink" Target="https://www.sec.gov/Archives/edgar/data/1649744/000119312522192012/d380936dex101.htm" TargetMode="External"/><Relationship Id="rId217" Type="http://schemas.openxmlformats.org/officeDocument/2006/relationships/hyperlink" Target="https://www.sec.gov/Archives/edgar/data/1649744/000119312524012578/d716111dex101.htm" TargetMode="External"/><Relationship Id="rId218" Type="http://schemas.openxmlformats.org/officeDocument/2006/relationships/hyperlink" Target="https://www.sec.gov/Archives/edgar/data/1649744/000119312524033732/d731683dex101.htm" TargetMode="External"/><Relationship Id="rId219" Type="http://schemas.openxmlformats.org/officeDocument/2006/relationships/hyperlink" Target="https://www.sec.gov/Archives/edgar/data/1649744/000164974425000006/dlth-20250202xex10_22.htm" TargetMode="External"/><Relationship Id="rId220" Type="http://schemas.openxmlformats.org/officeDocument/2006/relationships/hyperlink" Target="https://www.sec.gov/Archives/edgar/data/1649744/000164974422000025/dlth-20220731xex10_2.htm" TargetMode="External"/><Relationship Id="rId221" Type="http://schemas.openxmlformats.org/officeDocument/2006/relationships/hyperlink" Target="https://www.sec.gov/Archives/edgar/data/1649744/000164974425000006/dlth-20250202xex10_23.htm" TargetMode="External"/><Relationship Id="rId222" Type="http://schemas.openxmlformats.org/officeDocument/2006/relationships/hyperlink" Target="https://www.sec.gov/Archives/edgar/data/1649744/000164974425000006/dlth-20250202xex10_24.htm" TargetMode="External"/><Relationship Id="rId223" Type="http://schemas.openxmlformats.org/officeDocument/2006/relationships/hyperlink" Target="https://www.sec.gov/Archives/edgar/data/1649744/000164974424000015/dlth-20240728xex10_2.htm" TargetMode="External"/><Relationship Id="rId224" Type="http://schemas.openxmlformats.org/officeDocument/2006/relationships/hyperlink" Target="https://www.sec.gov/Archives/edgar/data/1649744/000164974424000015/dlth-20240728xex10_3.htm" TargetMode="External"/><Relationship Id="rId225" Type="http://schemas.openxmlformats.org/officeDocument/2006/relationships/hyperlink" Target="https://www.sec.gov/Archives/edgar/data/1649744/000119312525021392/d894195dex101.htm" TargetMode="External"/><Relationship Id="rId226" Type="http://schemas.openxmlformats.org/officeDocument/2006/relationships/hyperlink" Target="https://www.sec.gov/Archives/edgar/data/1649744/000119312525071322/d936221dex101.htm" TargetMode="External"/><Relationship Id="rId227" Type="http://schemas.openxmlformats.org/officeDocument/2006/relationships/hyperlink" Target="https://www.sec.gov/Archives/edgar/data/1649744/000119312525110141/d933264dex101.htm" TargetMode="External"/><Relationship Id="rId228" Type="http://schemas.openxmlformats.org/officeDocument/2006/relationships/hyperlink" Target="https://www.sec.gov/Archives/edgar/data/1649744/000119312525110141/d933264dex102.htm" TargetMode="External"/><Relationship Id="rId231" Type="http://schemas.openxmlformats.org/officeDocument/2006/relationships/hyperlink" Target="https://www.sec.gov/Archives/edgar/data/1649744/000164974425000011/dlth-20250504xex10_5.htm" TargetMode="External"/><Relationship Id="rId232" Type="http://schemas.openxmlformats.org/officeDocument/2006/relationships/hyperlink" Target="https://www.sec.gov/Archives/edgar/data/1649744/000119312525112846/d944338dex101.htm" TargetMode="External"/><Relationship Id="rId233" Type="http://schemas.openxmlformats.org/officeDocument/2006/relationships/hyperlink" Target="https://www.sec.gov/Archives/edgar/data/1649744/000119312525112846/d944338dex102.htm" TargetMode="External"/><Relationship Id="rId234" Type="http://schemas.openxmlformats.org/officeDocument/2006/relationships/hyperlink" Target="https://www.sec.gov/Archives/edgar/data/1649744/000164974425000015/dlth-20250803xex10_1.htm" TargetMode="External"/><Relationship Id="rId235" Type="http://schemas.openxmlformats.org/officeDocument/2006/relationships/hyperlink" Target="https://www.sec.gov/Archives/edgar/data/1649744/000119312525229318/d98826dex101.htm" TargetMode="External"/><Relationship Id="rId236" Type="http://schemas.openxmlformats.org/officeDocument/2006/relationships/hyperlink" Target="https://www.sec.gov/Archives/edgar/data/1649744/000119312526105103/d119145dex101.htm" TargetMode="External"/><Relationship Id="rId237" Type="http://schemas.openxmlformats.org/officeDocument/2006/relationships/hyperlink" Target="https://www.sec.gov/Archives/edgar/data/1649744/000119312526105103/d119145dex102.htm" TargetMode="External"/><Relationship Id="rId238" Type="http://schemas.openxmlformats.org/officeDocument/2006/relationships/hyperlink" Target="https://www.sec.gov/Archives/edgar/data/1649744/000164974425000006/dlth-20250202xex19_1.htm" TargetMode="External"/><Relationship Id="rId239" Type="http://schemas.openxmlformats.org/officeDocument/2006/relationships/hyperlink" Target="https://www.sec.gov/Archives/edgar/data/1649744/000164974424000006/dlth-20240128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2026-03-20T14:35:57Z</dcterms:created>
  <dcterms:modified xsi:type="dcterms:W3CDTF">2026-03-20T14:35:57Z</dcterms:modified>
</cp:coreProperties>
</file>