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9"/>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300"/>
        <w:spacing w:after="0" w:line="231"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39"/>
        <w:spacing w:after="0" w:line="23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5" w:lineRule="exact"/>
        <w:rPr>
          <w:sz w:val="24"/>
          <w:szCs w:val="24"/>
          <w:color w:val="auto"/>
        </w:rPr>
      </w:pPr>
    </w:p>
    <w:p>
      <w:pPr>
        <w:ind w:left="820" w:right="360" w:hanging="695"/>
        <w:spacing w:after="0" w:line="262" w:lineRule="auto"/>
        <w:tabs>
          <w:tab w:leader="none" w:pos="8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30, 2017</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4" w:lineRule="exact"/>
        <w:rPr>
          <w:sz w:val="24"/>
          <w:szCs w:val="24"/>
          <w:color w:val="auto"/>
        </w:rPr>
      </w:pPr>
    </w:p>
    <w:p>
      <w:pPr>
        <w:ind w:left="920" w:right="260" w:hanging="795"/>
        <w:spacing w:after="0" w:line="262" w:lineRule="auto"/>
        <w:tabs>
          <w:tab w:leader="none" w:pos="9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4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-5080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1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39"/>
        <w:spacing w:after="0" w:line="234" w:lineRule="auto"/>
        <w:rPr>
          <w:sz w:val="20"/>
          <w:szCs w:val="20"/>
          <w:color w:val="auto"/>
        </w:rPr>
      </w:pPr>
      <w:r>
        <w:rPr>
          <w:rFonts w:ascii="Times New Roman" w:cs="Times New Roman" w:eastAsia="Times New Roman" w:hAnsi="Times New Roman"/>
          <w:sz w:val="40"/>
          <w:szCs w:val="40"/>
          <w:b w:val="1"/>
          <w:bCs w:val="1"/>
          <w:color w:val="auto"/>
        </w:rPr>
        <w:t>DULUTH HOLDINGS INC.</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4"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5180" w:type="dxa"/>
            <w:vAlign w:val="bottom"/>
          </w:tcPr>
          <w:p>
            <w:pPr>
              <w:jc w:val="center"/>
              <w:ind w:right="272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5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5180" w:type="dxa"/>
            <w:vAlign w:val="bottom"/>
          </w:tcPr>
          <w:p>
            <w:pPr>
              <w:jc w:val="center"/>
              <w:ind w:right="27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180" w:type="dxa"/>
            <w:vAlign w:val="bottom"/>
          </w:tcPr>
          <w:p>
            <w:pPr>
              <w:jc w:val="center"/>
              <w:ind w:right="27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5180" w:type="dxa"/>
            <w:vAlign w:val="bottom"/>
          </w:tcPr>
          <w:p>
            <w:pPr>
              <w:jc w:val="center"/>
              <w:ind w:right="2721"/>
              <w:spacing w:after="0"/>
              <w:rPr>
                <w:sz w:val="20"/>
                <w:szCs w:val="20"/>
                <w:color w:val="auto"/>
              </w:rPr>
            </w:pPr>
            <w:r>
              <w:rPr>
                <w:rFonts w:ascii="Times New Roman" w:cs="Times New Roman" w:eastAsia="Times New Roman" w:hAnsi="Times New Roman"/>
                <w:sz w:val="18"/>
                <w:szCs w:val="18"/>
                <w:b w:val="1"/>
                <w:bCs w:val="1"/>
                <w:color w:val="auto"/>
                <w:w w:val="99"/>
              </w:rPr>
              <w:t>170 Countryside Drive</w:t>
            </w:r>
          </w:p>
        </w:tc>
        <w:tc>
          <w:tcPr>
            <w:tcW w:w="1500" w:type="dxa"/>
            <w:vAlign w:val="bottom"/>
          </w:tcPr>
          <w:p>
            <w:pPr>
              <w:spacing w:after="0"/>
              <w:rPr>
                <w:sz w:val="24"/>
                <w:szCs w:val="24"/>
                <w:color w:val="auto"/>
              </w:rPr>
            </w:pPr>
          </w:p>
        </w:tc>
      </w:tr>
      <w:tr>
        <w:trPr>
          <w:trHeight w:val="216"/>
        </w:trPr>
        <w:tc>
          <w:tcPr>
            <w:tcW w:w="5180" w:type="dxa"/>
            <w:vAlign w:val="bottom"/>
          </w:tcPr>
          <w:p>
            <w:pPr>
              <w:jc w:val="center"/>
              <w:ind w:right="2721"/>
              <w:spacing w:after="0"/>
              <w:rPr>
                <w:sz w:val="20"/>
                <w:szCs w:val="20"/>
                <w:color w:val="auto"/>
              </w:rPr>
            </w:pPr>
            <w:r>
              <w:rPr>
                <w:rFonts w:ascii="Times New Roman" w:cs="Times New Roman" w:eastAsia="Times New Roman" w:hAnsi="Times New Roman"/>
                <w:sz w:val="18"/>
                <w:szCs w:val="18"/>
                <w:b w:val="1"/>
                <w:bCs w:val="1"/>
                <w:color w:val="auto"/>
                <w:w w:val="97"/>
              </w:rPr>
              <w:t>P.O. Box 409</w:t>
            </w:r>
          </w:p>
        </w:tc>
        <w:tc>
          <w:tcPr>
            <w:tcW w:w="150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53508</w:t>
            </w:r>
          </w:p>
        </w:tc>
      </w:tr>
      <w:tr>
        <w:trPr>
          <w:trHeight w:val="214"/>
        </w:trPr>
        <w:tc>
          <w:tcPr>
            <w:tcW w:w="5180" w:type="dxa"/>
            <w:vAlign w:val="bottom"/>
          </w:tcPr>
          <w:p>
            <w:pPr>
              <w:jc w:val="center"/>
              <w:ind w:right="2721"/>
              <w:spacing w:after="0"/>
              <w:rPr>
                <w:sz w:val="20"/>
                <w:szCs w:val="20"/>
                <w:color w:val="auto"/>
              </w:rPr>
            </w:pPr>
            <w:r>
              <w:rPr>
                <w:rFonts w:ascii="Times New Roman" w:cs="Times New Roman" w:eastAsia="Times New Roman" w:hAnsi="Times New Roman"/>
                <w:sz w:val="18"/>
                <w:szCs w:val="18"/>
                <w:b w:val="1"/>
                <w:bCs w:val="1"/>
                <w:color w:val="auto"/>
                <w:w w:val="99"/>
              </w:rPr>
              <w:t>Belleville, Wisconsin</w:t>
            </w:r>
          </w:p>
        </w:tc>
        <w:tc>
          <w:tcPr>
            <w:tcW w:w="1500" w:type="dxa"/>
            <w:vAlign w:val="bottom"/>
          </w:tcPr>
          <w:p>
            <w:pPr>
              <w:spacing w:after="0"/>
              <w:rPr>
                <w:sz w:val="18"/>
                <w:szCs w:val="18"/>
                <w:color w:val="auto"/>
              </w:rPr>
            </w:pPr>
          </w:p>
        </w:tc>
      </w:tr>
      <w:tr>
        <w:trPr>
          <w:trHeight w:val="190"/>
        </w:trPr>
        <w:tc>
          <w:tcPr>
            <w:tcW w:w="5180" w:type="dxa"/>
            <w:vAlign w:val="bottom"/>
          </w:tcPr>
          <w:p>
            <w:pPr>
              <w:jc w:val="center"/>
              <w:ind w:right="27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5180" w:type="dxa"/>
            <w:vAlign w:val="bottom"/>
          </w:tcPr>
          <w:p>
            <w:pPr>
              <w:jc w:val="right"/>
              <w:ind w:right="1141"/>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500" w:type="dxa"/>
            <w:vAlign w:val="bottom"/>
          </w:tcPr>
          <w:p>
            <w:pPr>
              <w:spacing w:after="0"/>
              <w:rPr>
                <w:sz w:val="24"/>
                <w:szCs w:val="24"/>
                <w:color w:val="auto"/>
              </w:rPr>
            </w:pPr>
          </w:p>
        </w:tc>
      </w:tr>
      <w:tr>
        <w:trPr>
          <w:trHeight w:val="164"/>
        </w:trPr>
        <w:tc>
          <w:tcPr>
            <w:tcW w:w="518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4"/>
                <w:szCs w:val="14"/>
                <w:color w:val="auto"/>
              </w:rPr>
            </w:pPr>
          </w:p>
        </w:tc>
      </w:tr>
      <w:tr>
        <w:trPr>
          <w:trHeight w:val="175"/>
        </w:trPr>
        <w:tc>
          <w:tcPr>
            <w:tcW w:w="5180" w:type="dxa"/>
            <w:vAlign w:val="bottom"/>
          </w:tcPr>
          <w:p>
            <w:pPr>
              <w:jc w:val="right"/>
              <w:ind w:right="41"/>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500" w:type="dxa"/>
            <w:vAlign w:val="bottom"/>
          </w:tcPr>
          <w:p>
            <w:pPr>
              <w:spacing w:after="0"/>
              <w:rPr>
                <w:sz w:val="15"/>
                <w:szCs w:val="15"/>
                <w:color w:val="auto"/>
              </w:rPr>
            </w:pPr>
          </w:p>
        </w:tc>
      </w:tr>
    </w:tbl>
    <w:p>
      <w:pPr>
        <w:ind w:firstLine="42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120" w:firstLine="42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140" w:firstLine="42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5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(Do not check if smaller reporting company)</w:t>
            </w:r>
          </w:p>
        </w:tc>
        <w:tc>
          <w:tcPr>
            <w:tcW w:w="13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4"/>
          <w:szCs w:val="24"/>
          <w:color w:val="auto"/>
        </w:rPr>
      </w:pPr>
    </w:p>
    <w:p>
      <w:pPr>
        <w:ind w:right="20" w:firstLine="432"/>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September 1, 2017, was 3,364,200.</w:t>
      </w:r>
    </w:p>
    <w:p>
      <w:pPr>
        <w:spacing w:after="0" w:line="2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September 1, 2017, was 29,094,597.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749300</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09" w:right="1239" w:bottom="1440" w:gutter="0" w:footer="0" w:header="0"/>
        </w:sectPr>
      </w:pPr>
    </w:p>
    <w:bookmarkStart w:id="1" w:name="page2"/>
    <w:bookmarkEnd w:id="1"/>
    <w:p>
      <w:pPr>
        <w:ind w:left="370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QUARTER ENDED July 30, 2017</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Borders>
              <w:bottom w:val="single" w:sz="8" w:color="0000EE"/>
            </w:tcBorders>
            <w:gridSpan w:val="8"/>
          </w:tcPr>
          <w:p>
            <w:pPr>
              <w:jc w:val="cente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I—Financial Information</w:t>
              </w:r>
            </w:hyperlink>
          </w:p>
        </w:tc>
        <w:tc>
          <w:tcPr>
            <w:tcW w:w="2740" w:type="dxa"/>
            <w:vAlign w:val="bottom"/>
            <w:gridSpan w:val="8"/>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Page</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July 30, 2017 and January 29, 2017</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(Unaudited)</w:t>
              </w:r>
            </w:hyperlink>
          </w:p>
        </w:tc>
        <w:tc>
          <w:tcPr>
            <w:tcW w:w="5040" w:type="dxa"/>
            <w:vAlign w:val="bottom"/>
            <w:tcBorders>
              <w:top w:val="single" w:sz="8" w:color="0000EE"/>
            </w:tcBorders>
            <w:gridSpan w:val="17"/>
          </w:tcPr>
          <w:p>
            <w:pPr>
              <w:spacing w:after="0"/>
              <w:rPr>
                <w:sz w:val="17"/>
                <w:szCs w:val="17"/>
                <w:color w:val="auto"/>
              </w:rPr>
            </w:pPr>
          </w:p>
        </w:tc>
        <w:tc>
          <w:tcPr>
            <w:tcW w:w="130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six months ended July</w:t>
              </w:r>
            </w:hyperlink>
          </w:p>
        </w:tc>
        <w:tc>
          <w:tcPr>
            <w:tcW w:w="68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30, 2017 and July 31, 2016 (Unaudited)</w:t>
              </w:r>
            </w:hyperlink>
          </w:p>
        </w:tc>
        <w:tc>
          <w:tcPr>
            <w:tcW w:w="434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six months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ended July 30, 2017 and July 31, 2016 (Unaudited)</w:t>
              </w:r>
            </w:hyperlink>
          </w:p>
        </w:tc>
        <w:tc>
          <w:tcPr>
            <w:tcW w:w="2940" w:type="dxa"/>
            <w:vAlign w:val="bottom"/>
            <w:tcBorders>
              <w:top w:val="single" w:sz="8" w:color="0000EE"/>
            </w:tcBorders>
            <w:gridSpan w:val="11"/>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Shareholders’ Equity for the six months ended</w:t>
              </w:r>
            </w:hyperlink>
          </w:p>
        </w:tc>
        <w:tc>
          <w:tcPr>
            <w:tcW w:w="102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July 30, 2017 (Unaudited)</w:t>
              </w:r>
            </w:hyperlink>
          </w:p>
        </w:tc>
        <w:tc>
          <w:tcPr>
            <w:tcW w:w="5320" w:type="dxa"/>
            <w:vAlign w:val="bottom"/>
            <w:gridSpan w:val="17"/>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w:t>
              </w:r>
            </w:hyperlink>
          </w:p>
        </w:tc>
        <w:tc>
          <w:tcPr>
            <w:tcW w:w="1600" w:type="dxa"/>
            <w:vAlign w:val="bottom"/>
            <w:gridSpan w:val="6"/>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20" w:type="dxa"/>
            <w:vAlign w:val="bottom"/>
            <w:gridSpan w:val="2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July 30, 2017 and July 31, 2016 (Unaudited)</w:t>
              </w:r>
            </w:hyperlink>
          </w:p>
        </w:tc>
        <w:tc>
          <w:tcPr>
            <w:tcW w:w="104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230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Item 2.</w:t>
              </w:r>
            </w:hyperlink>
          </w:p>
        </w:tc>
        <w:tc>
          <w:tcPr>
            <w:tcW w:w="740" w:type="dxa"/>
            <w:vAlign w:val="bottom"/>
            <w:gridSpan w:val="3"/>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76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2860" w:type="dxa"/>
            <w:vAlign w:val="bottom"/>
            <w:gridSpan w:val="10"/>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6"/>
          </w:tcPr>
          <w:p>
            <w:pPr>
              <w:jc w:val="cente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Part II—Other Information</w:t>
              </w:r>
            </w:hyperlink>
          </w:p>
        </w:tc>
        <w:tc>
          <w:tcPr>
            <w:tcW w:w="284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5880" w:type="dxa"/>
            <w:vAlign w:val="bottom"/>
            <w:gridSpan w:val="20"/>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1A.</w:t>
              </w:r>
            </w:hyperlink>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20" w:type="dxa"/>
            <w:vAlign w:val="bottom"/>
            <w:gridSpan w:val="24"/>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Unregistered Sales of Equity Securities and Use of Proceeds</w:t>
              </w:r>
            </w:hyperlink>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2880" w:type="dxa"/>
            <w:vAlign w:val="bottom"/>
            <w:gridSpan w:val="11"/>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114"/>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12"/>
          </w:tcPr>
          <w:p>
            <w:pPr>
              <w:ind w:left="338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17" w:right="11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40" w:type="dxa"/>
            <w:vAlign w:val="bottom"/>
            <w:vMerge w:val="restart"/>
          </w:tcPr>
          <w:p>
            <w:pPr>
              <w:ind w:left="28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Inventory, less reserve for excess and obsolete items</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$2,212 and $1,242, respectively</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 (see Note 11)</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tcPr>
          <w:p>
            <w:pPr>
              <w:ind w:left="124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Bank overdrafts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line of credit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under build-to-suit leases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obligations, less current maturities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or outstanding as of July 30, 2017 and January 29, 2017</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3,364 shares issued and outstanding as of July 30, 2017 and January 29, 2017</w:t>
            </w: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29,106 and 29,012 shares issued and outstanding as of July 30, 2017 and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January 29, 2017, respectively</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5"/>
                <w:szCs w:val="15"/>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169,913</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97,566</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32,936</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89,428</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31,825</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income per share attributable</w:t>
            </w:r>
          </w:p>
        </w:tc>
        <w:tc>
          <w:tcPr>
            <w:tcW w:w="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60" w:type="dxa"/>
            <w:vAlign w:val="bottom"/>
            <w:tcBorders>
              <w:right w:val="single" w:sz="8" w:color="CCEEFF"/>
            </w:tcBorders>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 outstanding</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32,318</w:t>
            </w:r>
          </w:p>
        </w:tc>
        <w:tc>
          <w:tcPr>
            <w:tcW w:w="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w:t>
            </w:r>
          </w:p>
        </w:tc>
        <w:tc>
          <w:tcPr>
            <w:tcW w:w="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0" w:type="dxa"/>
            <w:vAlign w:val="bottom"/>
          </w:tcPr>
          <w:p>
            <w:pPr>
              <w:spacing w:after="0"/>
              <w:rPr>
                <w:sz w:val="1"/>
                <w:szCs w:val="1"/>
                <w:color w:val="auto"/>
              </w:rPr>
            </w:pPr>
          </w:p>
        </w:tc>
      </w:tr>
      <w:tr>
        <w:trPr>
          <w:trHeight w:val="205"/>
        </w:trPr>
        <w:tc>
          <w:tcPr>
            <w:tcW w:w="42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income per share attributable</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6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5"/>
                <w:szCs w:val="15"/>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value of interest rate swap agreement</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3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30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tcPr>
          <w:p>
            <w:pPr>
              <w:spacing w:after="0"/>
              <w:rPr>
                <w:sz w:val="15"/>
                <w:szCs w:val="15"/>
                <w:color w:val="auto"/>
              </w:rPr>
            </w:pPr>
          </w:p>
        </w:tc>
        <w:tc>
          <w:tcPr>
            <w:tcW w:w="16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3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shareholders'</w:t>
            </w:r>
          </w:p>
        </w:tc>
      </w:tr>
      <w:tr>
        <w:trPr>
          <w:trHeight w:val="183"/>
        </w:trPr>
        <w:tc>
          <w:tcPr>
            <w:tcW w:w="20" w:type="dxa"/>
            <w:vAlign w:val="bottom"/>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113,788</w:t>
            </w: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contributions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30, 2017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119,967</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198"/>
        </w:trPr>
        <w:tc>
          <w:tcPr>
            <w:tcW w:w="20" w:type="dxa"/>
            <w:vAlign w:val="bottom"/>
          </w:tcPr>
          <w:p>
            <w:pPr>
              <w:spacing w:after="0"/>
              <w:rPr>
                <w:sz w:val="17"/>
                <w:szCs w:val="17"/>
                <w:color w:val="auto"/>
              </w:rPr>
            </w:pPr>
          </w:p>
        </w:tc>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 provided by</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catalog costs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accounts payable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16"/>
        </w:trPr>
        <w:tc>
          <w:tcPr>
            <w:tcW w:w="20" w:type="dxa"/>
            <w:vAlign w:val="bottom"/>
          </w:tcPr>
          <w:p>
            <w:pPr>
              <w:spacing w:after="0"/>
              <w:rPr>
                <w:sz w:val="18"/>
                <w:szCs w:val="18"/>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other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cash</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other assets</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(15,307)</w:t>
            </w: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 term debt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long term debt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bank overdrafts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finance lease obligations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contributions to variable interest entity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w:t>
            </w: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37,873</w:t>
            </w: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6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w:t>
            </w:r>
          </w:p>
        </w:tc>
      </w:tr>
      <w:tr>
        <w:trPr>
          <w:trHeight w:val="190"/>
        </w:trPr>
        <w:tc>
          <w:tcPr>
            <w:tcW w:w="20" w:type="dxa"/>
            <w:vAlign w:val="bottom"/>
          </w:tcPr>
          <w:p>
            <w:pPr>
              <w:spacing w:after="0"/>
              <w:rPr>
                <w:sz w:val="16"/>
                <w:szCs w:val="16"/>
                <w:color w:val="auto"/>
              </w:rPr>
            </w:pPr>
          </w:p>
        </w:tc>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4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under build-to-suit leases</w:t>
            </w:r>
          </w:p>
        </w:tc>
        <w:tc>
          <w:tcPr>
            <w:tcW w:w="9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4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right="428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1. NATURE OF OPERATIONS AND BASIS OF PRESENTATION </w:t>
      </w:r>
      <w:r>
        <w:rPr>
          <w:rFonts w:ascii="Times New Roman" w:cs="Times New Roman" w:eastAsia="Times New Roman" w:hAnsi="Times New Roman"/>
          <w:sz w:val="18"/>
          <w:szCs w:val="18"/>
          <w:b w:val="1"/>
          <w:bCs w:val="1"/>
          <w:i w:val="1"/>
          <w:iCs w:val="1"/>
          <w:color w:val="auto"/>
        </w:rPr>
        <w:t>A. Nature of Operations</w:t>
      </w:r>
    </w:p>
    <w:p>
      <w:pPr>
        <w:spacing w:after="0" w:line="1" w:lineRule="exact"/>
        <w:rPr>
          <w:sz w:val="20"/>
          <w:szCs w:val="20"/>
          <w:color w:val="auto"/>
        </w:rPr>
      </w:pPr>
    </w:p>
    <w:p>
      <w:pPr>
        <w:ind w:right="120" w:firstLine="428"/>
        <w:spacing w:after="0" w:line="255"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July 30, 2017, the Company operated 20 retail stores and three outlet stores across the Midwestern and Eastern United States. The Company’s products are marketed under the Duluth Trading brand, with the majority of products being exclusively developed and sold as Duluth Trading branded merchandise.</w:t>
      </w:r>
    </w:p>
    <w:p>
      <w:pPr>
        <w:spacing w:after="0" w:line="162"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Basis of Presentation</w:t>
      </w:r>
    </w:p>
    <w:p>
      <w:pPr>
        <w:spacing w:after="0" w:line="189"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Effective October 3, 2016, Duluth Trading Company, LLC was dissolved and no longer consolidated, which did not impact the Company’s consolidated financial statements. The Company also consolidates Schlecht Retail Ventures LLC (“SRV”) as a variable interest entity (see Note 4 “Variable Interest Entity”). All intercompany balances and transactions have been eliminated.</w:t>
      </w:r>
    </w:p>
    <w:p>
      <w:pPr>
        <w:spacing w:after="0" w:line="161"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2017 is a 52-week period and ends on January 28, 2018. Fiscal 2016 was a 52-week period and ended on January 29, 2017. The three and six months of fiscal 2017 and fiscal 2016 represent the Company’s 13 and 26-week periods ended July 30, 2017 and July 31, 2016, respectively.</w:t>
      </w:r>
    </w:p>
    <w:p>
      <w:pPr>
        <w:spacing w:after="0" w:line="136" w:lineRule="exact"/>
        <w:rPr>
          <w:sz w:val="20"/>
          <w:szCs w:val="20"/>
          <w:color w:val="auto"/>
        </w:rPr>
      </w:pPr>
    </w:p>
    <w:p>
      <w:pPr>
        <w:ind w:firstLine="42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six months ended July 30, 2017 and July 31, 2016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note disclosures normally included in consolidated financial statements prepared in accordance with U.S. GAAP have been condensed or omitted pursuant to such SEC rules and regulations as of and for the three and six months ended July 30, 2017 and July 31, 2016. These interim condensed consolidated financial statements should be read in conjunction with the consolidated financial statements and notes included in the Company’s annual report on Form 10-K for the fiscal year ended January 29, 2017.</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Seasonality of Business</w:t>
      </w:r>
    </w:p>
    <w:p>
      <w:pPr>
        <w:spacing w:after="0" w:line="202" w:lineRule="exact"/>
        <w:rPr>
          <w:sz w:val="20"/>
          <w:szCs w:val="20"/>
          <w:color w:val="auto"/>
        </w:rPr>
      </w:pPr>
    </w:p>
    <w:p>
      <w:pPr>
        <w:jc w:val="both"/>
        <w:ind w:right="160" w:firstLine="428"/>
        <w:spacing w:after="0" w:line="266"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189" w:lineRule="exact"/>
        <w:rPr>
          <w:sz w:val="20"/>
          <w:szCs w:val="20"/>
          <w:color w:val="auto"/>
        </w:rPr>
      </w:pPr>
    </w:p>
    <w:p>
      <w:pPr>
        <w:ind w:right="40" w:firstLine="428"/>
        <w:spacing w:after="0" w:line="266" w:lineRule="auto"/>
        <w:rPr>
          <w:sz w:val="20"/>
          <w:szCs w:val="20"/>
          <w:color w:val="auto"/>
        </w:rPr>
      </w:pPr>
      <w:r>
        <w:rPr>
          <w:rFonts w:ascii="Times New Roman" w:cs="Times New Roman" w:eastAsia="Times New Roman" w:hAnsi="Times New Roman"/>
          <w:sz w:val="18"/>
          <w:szCs w:val="18"/>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Build-to-Suit Lease</w:t>
      </w:r>
    </w:p>
    <w:p>
      <w:pPr>
        <w:spacing w:after="0" w:line="189" w:lineRule="exact"/>
        <w:rPr>
          <w:sz w:val="20"/>
          <w:szCs w:val="20"/>
          <w:color w:val="auto"/>
        </w:rPr>
      </w:pPr>
    </w:p>
    <w:p>
      <w:pPr>
        <w:ind w:right="180" w:firstLine="428"/>
        <w:spacing w:after="0" w:line="261" w:lineRule="auto"/>
        <w:rPr>
          <w:sz w:val="20"/>
          <w:szCs w:val="20"/>
          <w:color w:val="auto"/>
        </w:rPr>
      </w:pPr>
      <w:r>
        <w:rPr>
          <w:rFonts w:ascii="Times New Roman" w:cs="Times New Roman" w:eastAsia="Times New Roman" w:hAnsi="Times New Roman"/>
          <w:sz w:val="18"/>
          <w:szCs w:val="18"/>
          <w:color w:val="auto"/>
        </w:rPr>
        <w:t>The Company may at times be involved in the construction of stores to be leased by the Company and, depending on the extent to which the Company is involved, the Company may be deemed the owner of the leased premises for accounting purposes during the store construction period. The Company’s headquarters lease, see Note 11 “Subsequent Events,” is treated as a build-to-suit lease transaction for accounting purposes during the construction period. For leases that the Company 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deemed the owner of the property during the construction period, upon commencement of the construction project, the Company is required to capitalize the cash and non-cash assets contributed by the landlord for construction as property and equipment on the Company’s Condensed Consolidated Balance Sheets. Upon the completion of the construction project, the Company performs an analysis on the lease to determine if the Company qualifies for sale-leaseback treatment. For those qualifying leases, the finance lease obligation and the associated property and equipment are removed and the difference is reclassified to either prepaid or deferred rent and amortized over the lease term as an increase or decrease to rent expense. If the lease does not qualify for sale-leaseback treatment, the finance lease obligation is amortized over the lease term based on the rent payments in the lease agreement and the associated property and equipment are depreciated over the estimated useful life.</w:t>
      </w:r>
    </w:p>
    <w:p>
      <w:pPr>
        <w:spacing w:after="0" w:line="145" w:lineRule="exact"/>
        <w:rPr>
          <w:sz w:val="20"/>
          <w:szCs w:val="20"/>
          <w:color w:val="auto"/>
        </w:rPr>
      </w:pPr>
    </w:p>
    <w:p>
      <w:pPr>
        <w:ind w:right="280" w:firstLine="428"/>
        <w:spacing w:after="0" w:line="258" w:lineRule="auto"/>
        <w:rPr>
          <w:sz w:val="20"/>
          <w:szCs w:val="20"/>
          <w:color w:val="auto"/>
        </w:rPr>
      </w:pPr>
      <w:r>
        <w:rPr>
          <w:rFonts w:ascii="Times New Roman" w:cs="Times New Roman" w:eastAsia="Times New Roman" w:hAnsi="Times New Roman"/>
          <w:sz w:val="18"/>
          <w:szCs w:val="18"/>
          <w:color w:val="auto"/>
        </w:rPr>
        <w:t>As of July 30, 2017, the Company capitalized $13.8 million in property and equipment and $0.1 million in accumulated depreciation and recorded a $6.8 million non-current liability related to build-to-suit transactions in which the Company is considered the owner for accounting purposes. As of January 29, 2017, the Company capitalized $6.6 million in property and equipment and $0.01 million in accumulated depreciation and recorded a $3.3 million non-current liability related to build-to-suit transactions in which the Company is considered the owner for accounting purposes.</w:t>
      </w:r>
    </w:p>
    <w:p>
      <w:pPr>
        <w:spacing w:after="0" w:line="200" w:lineRule="exact"/>
        <w:rPr>
          <w:sz w:val="20"/>
          <w:szCs w:val="20"/>
          <w:color w:val="auto"/>
        </w:rPr>
      </w:pPr>
    </w:p>
    <w:p>
      <w:pPr>
        <w:spacing w:after="0" w:line="345" w:lineRule="exact"/>
        <w:rPr>
          <w:sz w:val="20"/>
          <w:szCs w:val="20"/>
          <w:color w:val="auto"/>
        </w:rPr>
      </w:pPr>
    </w:p>
    <w:p>
      <w:pPr>
        <w:jc w:val="center"/>
        <w:ind w:left="440" w:right="6840" w:hanging="432"/>
        <w:spacing w:after="0" w:line="397" w:lineRule="auto"/>
        <w:tabs>
          <w:tab w:leader="none" w:pos="32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LINE OF CREDIT </w:t>
      </w:r>
      <w:r>
        <w:rPr>
          <w:rFonts w:ascii="Times New Roman" w:cs="Times New Roman" w:eastAsia="Times New Roman" w:hAnsi="Times New Roman"/>
          <w:sz w:val="18"/>
          <w:szCs w:val="18"/>
          <w:color w:val="auto"/>
        </w:rPr>
        <w:t>Debt consists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96"/>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SRV Mortgage Term A Note</w:t>
            </w:r>
          </w:p>
        </w:tc>
        <w:tc>
          <w:tcPr>
            <w:tcW w:w="2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SRV Mortgage Term B Note</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Schlecht Retail Ventures LLC</w:t>
      </w:r>
    </w:p>
    <w:p>
      <w:pPr>
        <w:spacing w:after="0" w:line="189" w:lineRule="exact"/>
        <w:rPr>
          <w:sz w:val="20"/>
          <w:szCs w:val="20"/>
          <w:color w:val="auto"/>
        </w:rPr>
      </w:pPr>
    </w:p>
    <w:p>
      <w:pPr>
        <w:ind w:right="120" w:firstLine="428"/>
        <w:spacing w:after="0" w:line="258" w:lineRule="auto"/>
        <w:rPr>
          <w:sz w:val="20"/>
          <w:szCs w:val="20"/>
          <w:color w:val="auto"/>
        </w:rPr>
      </w:pPr>
      <w:r>
        <w:rPr>
          <w:rFonts w:ascii="Times New Roman" w:cs="Times New Roman" w:eastAsia="Times New Roman" w:hAnsi="Times New Roman"/>
          <w:sz w:val="18"/>
          <w:szCs w:val="18"/>
          <w:color w:val="auto"/>
        </w:rPr>
        <w:t>SRV entered into a mortgage note (“SRV Term A Note”) with an original balance of $0.8 million. The SRV Term A Note was scheduled to mature in September 2017 and required monthly payments of $3,300 plus interest at 3.1%, with a final balloon payment due in September 2017. On July 20, 2017, SRV refinanced the SRV Term A Note, which extended the maturity date to September 2022, with a final balloon payment in September 2022, and changed the interest rate to 3.69%. The required monthly payments of $3,300 did not change.</w:t>
      </w:r>
    </w:p>
    <w:p>
      <w:pPr>
        <w:spacing w:after="0" w:line="143" w:lineRule="exact"/>
        <w:rPr>
          <w:sz w:val="20"/>
          <w:szCs w:val="20"/>
          <w:color w:val="auto"/>
        </w:rPr>
      </w:pPr>
    </w:p>
    <w:p>
      <w:pPr>
        <w:ind w:right="120" w:firstLine="428"/>
        <w:spacing w:after="0" w:line="266" w:lineRule="auto"/>
        <w:rPr>
          <w:sz w:val="20"/>
          <w:szCs w:val="20"/>
          <w:color w:val="auto"/>
        </w:rPr>
      </w:pPr>
      <w:r>
        <w:rPr>
          <w:rFonts w:ascii="Times New Roman" w:cs="Times New Roman" w:eastAsia="Times New Roman" w:hAnsi="Times New Roman"/>
          <w:sz w:val="18"/>
          <w:szCs w:val="18"/>
          <w:color w:val="auto"/>
        </w:rPr>
        <w:t>On July 20, 2017, SRV entered into a mortgage note (“SRV Term B Note”) with an original balance of $0.8 million. The SRV Term B Note matures in September 2022 and requires monthly payments of $3,300 plus interest at 3.69%, with a final balloon payment in September 2022.</w:t>
      </w:r>
    </w:p>
    <w:p>
      <w:pPr>
        <w:spacing w:after="0" w:line="149" w:lineRule="exact"/>
        <w:rPr>
          <w:sz w:val="20"/>
          <w:szCs w:val="20"/>
          <w:color w:val="auto"/>
        </w:rPr>
      </w:pPr>
    </w:p>
    <w:p>
      <w:pPr>
        <w:ind w:right="320" w:firstLine="428"/>
        <w:spacing w:after="0" w:line="282" w:lineRule="auto"/>
        <w:rPr>
          <w:sz w:val="20"/>
          <w:szCs w:val="20"/>
          <w:color w:val="auto"/>
        </w:rPr>
      </w:pPr>
      <w:r>
        <w:rPr>
          <w:rFonts w:ascii="Times New Roman" w:cs="Times New Roman" w:eastAsia="Times New Roman" w:hAnsi="Times New Roman"/>
          <w:sz w:val="18"/>
          <w:szCs w:val="18"/>
          <w:color w:val="auto"/>
        </w:rPr>
        <w:t>The SRV Term A Note and SRV Term B Note are guaranteed by the Company’s majority shareholder and collateralized by certain real property owned by SRV in Mt. Horeb, Wisconsin.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The Amended and Restated Loan Agreement dated as of October 7, 2016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2.3% at July 30, 2017). The Amended and Restated Agreement is secured by essentially all Company assets and requires the Company to maintain compliance with certain financial and non-financial covenants, including minimum tangible net worth and a minimum trailing twelve month EBITDA. In addition, the Amended and Restated Agreement does not contain borrowing base limits.</w:t>
      </w:r>
    </w:p>
    <w:p>
      <w:pPr>
        <w:spacing w:after="0" w:line="158" w:lineRule="exact"/>
        <w:rPr>
          <w:sz w:val="20"/>
          <w:szCs w:val="20"/>
          <w:color w:val="auto"/>
        </w:rPr>
      </w:pPr>
    </w:p>
    <w:p>
      <w:pPr>
        <w:ind w:right="280" w:firstLine="428"/>
        <w:spacing w:after="0" w:line="282" w:lineRule="auto"/>
        <w:rPr>
          <w:sz w:val="20"/>
          <w:szCs w:val="20"/>
          <w:color w:val="auto"/>
        </w:rPr>
      </w:pPr>
      <w:r>
        <w:rPr>
          <w:rFonts w:ascii="Times New Roman" w:cs="Times New Roman" w:eastAsia="Times New Roman" w:hAnsi="Times New Roman"/>
          <w:sz w:val="18"/>
          <w:szCs w:val="18"/>
          <w:color w:val="auto"/>
        </w:rPr>
        <w:t>As of July 30, 2017 and for the six months then ended, the Company was in compliance with all financial and non-financial covenants for all debts discussed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right="4100" w:hanging="432"/>
        <w:spacing w:after="0" w:line="471" w:lineRule="auto"/>
        <w:tabs>
          <w:tab w:leader="none" w:pos="318"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96"/>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6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Catalog costs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200" w:lineRule="exact"/>
        <w:rPr>
          <w:sz w:val="20"/>
          <w:szCs w:val="20"/>
          <w:color w:val="auto"/>
        </w:rPr>
      </w:pPr>
    </w:p>
    <w:p>
      <w:pPr>
        <w:jc w:val="both"/>
        <w:ind w:right="160" w:firstLine="428"/>
        <w:spacing w:after="0" w:line="267"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has determined that it was the primary beneficiary of one variable interest entity (“VIE”) as of July 30, 2017 and January 29, 2017, as the Company absorbs significant economics of the entity and has the power to direct the activities that are considered most significant to the entity.</w:t>
      </w:r>
    </w:p>
    <w:p>
      <w:pPr>
        <w:spacing w:after="0" w:line="135" w:lineRule="exact"/>
        <w:rPr>
          <w:sz w:val="20"/>
          <w:szCs w:val="20"/>
          <w:color w:val="auto"/>
        </w:rPr>
      </w:pPr>
    </w:p>
    <w:p>
      <w:pPr>
        <w:ind w:right="120" w:firstLine="428"/>
        <w:spacing w:after="0" w:line="258" w:lineRule="auto"/>
        <w:rPr>
          <w:sz w:val="20"/>
          <w:szCs w:val="20"/>
          <w:color w:val="auto"/>
        </w:rPr>
      </w:pPr>
      <w:r>
        <w:rPr>
          <w:rFonts w:ascii="Times New Roman" w:cs="Times New Roman" w:eastAsia="Times New Roman" w:hAnsi="Times New Roman"/>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43"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SRV as of July 30, 2017 and January 29, 2017:</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January 29, 2017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16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340" w:firstLine="428"/>
        <w:spacing w:after="0" w:line="282" w:lineRule="auto"/>
        <w:rPr>
          <w:sz w:val="20"/>
          <w:szCs w:val="20"/>
          <w:color w:val="auto"/>
        </w:rPr>
      </w:pPr>
      <w:r>
        <w:rPr>
          <w:rFonts w:ascii="Times New Roman" w:cs="Times New Roman" w:eastAsia="Times New Roman" w:hAnsi="Times New Roman"/>
          <w:sz w:val="18"/>
          <w:szCs w:val="18"/>
          <w:color w:val="auto"/>
        </w:rPr>
        <w:t>The Company does not consolidate the developer of the Company’s future headquarters as the Company is not the primary beneficiary, see Note 11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7" w:lineRule="exact"/>
        <w:rPr>
          <w:sz w:val="20"/>
          <w:szCs w:val="20"/>
          <w:color w:val="auto"/>
        </w:rPr>
      </w:pPr>
    </w:p>
    <w:p>
      <w:pPr>
        <w:jc w:val="both"/>
        <w:ind w:right="40" w:firstLine="428"/>
        <w:spacing w:after="0" w:line="259"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196"/>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attributable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 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r>
      <w:tr>
        <w:trPr>
          <w:trHeight w:val="225"/>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and Class B)</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shares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32,318</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32,265</w:t>
            </w:r>
          </w:p>
        </w:tc>
      </w:tr>
      <w:tr>
        <w:trPr>
          <w:trHeight w:val="24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47"/>
        </w:trPr>
        <w:tc>
          <w:tcPr>
            <w:tcW w:w="20" w:type="dxa"/>
            <w:vAlign w:val="bottom"/>
          </w:tcPr>
          <w:p>
            <w:pPr>
              <w:spacing w:after="0"/>
              <w:rPr>
                <w:sz w:val="21"/>
                <w:szCs w:val="21"/>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00"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35"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during the three and six months ended July 30, 2017 was $0.3 million and $0.6 million, respectively, and during the three and six months ended July 31, 2016 was $0.3 million and $0.6 million, respectively. The Company’s total stock compensation expense is included in selling, general and administrative expenses on the Condensed Consolidated Statements of Operations.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six months ended July 30, 2017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3"/>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29, 2017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30, 2017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bl>
    <w:p>
      <w:pPr>
        <w:spacing w:after="0" w:line="171" w:lineRule="exact"/>
        <w:rPr>
          <w:sz w:val="20"/>
          <w:szCs w:val="20"/>
          <w:color w:val="auto"/>
        </w:rPr>
      </w:pPr>
    </w:p>
    <w:p>
      <w:pPr>
        <w:ind w:right="100" w:firstLine="428"/>
        <w:spacing w:after="0" w:line="282" w:lineRule="auto"/>
        <w:rPr>
          <w:sz w:val="20"/>
          <w:szCs w:val="20"/>
          <w:color w:val="auto"/>
        </w:rPr>
      </w:pPr>
      <w:r>
        <w:rPr>
          <w:rFonts w:ascii="Times New Roman" w:cs="Times New Roman" w:eastAsia="Times New Roman" w:hAnsi="Times New Roman"/>
          <w:sz w:val="18"/>
          <w:szCs w:val="18"/>
          <w:color w:val="auto"/>
        </w:rPr>
        <w:t>At July 30, 2017, the Company had unrecognized compensation expense of $2.9 million related to the restricted stock awards, which is expected to be recognized over a weighted average period of 1.8 years.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96"/>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16,178</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52,432</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SEGMENT REPORTING</w:t>
      </w:r>
    </w:p>
    <w:p>
      <w:pPr>
        <w:spacing w:after="0" w:line="189" w:lineRule="exact"/>
        <w:rPr>
          <w:sz w:val="20"/>
          <w:szCs w:val="20"/>
          <w:color w:val="auto"/>
        </w:rPr>
      </w:pPr>
    </w:p>
    <w:p>
      <w:pPr>
        <w:ind w:right="280" w:firstLine="428"/>
        <w:spacing w:after="0" w:line="258" w:lineRule="auto"/>
        <w:rPr>
          <w:sz w:val="20"/>
          <w:szCs w:val="20"/>
          <w:color w:val="auto"/>
        </w:rPr>
      </w:pPr>
      <w:r>
        <w:rPr>
          <w:rFonts w:ascii="Times New Roman" w:cs="Times New Roman" w:eastAsia="Times New Roman" w:hAnsi="Times New Roman"/>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57" w:lineRule="exact"/>
        <w:rPr>
          <w:sz w:val="20"/>
          <w:szCs w:val="20"/>
          <w:color w:val="auto"/>
        </w:rPr>
      </w:pPr>
    </w:p>
    <w:p>
      <w:pPr>
        <w:ind w:right="20" w:firstLine="428"/>
        <w:spacing w:after="0" w:line="258" w:lineRule="auto"/>
        <w:rPr>
          <w:sz w:val="20"/>
          <w:szCs w:val="20"/>
          <w:color w:val="auto"/>
        </w:rPr>
      </w:pPr>
      <w:r>
        <w:rPr>
          <w:rFonts w:ascii="Times New Roman" w:cs="Times New Roman" w:eastAsia="Times New Roman" w:hAnsi="Times New Roman"/>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3" w:lineRule="exact"/>
        <w:rPr>
          <w:sz w:val="20"/>
          <w:szCs w:val="20"/>
          <w:color w:val="auto"/>
        </w:rPr>
      </w:pPr>
    </w:p>
    <w:p>
      <w:pPr>
        <w:jc w:val="both"/>
        <w:ind w:right="40" w:firstLine="428"/>
        <w:spacing w:after="0" w:line="266" w:lineRule="auto"/>
        <w:rPr>
          <w:sz w:val="20"/>
          <w:szCs w:val="20"/>
          <w:color w:val="auto"/>
        </w:rPr>
      </w:pPr>
      <w:r>
        <w:rPr>
          <w:rFonts w:ascii="Times New Roman" w:cs="Times New Roman" w:eastAsia="Times New Roman" w:hAnsi="Times New Roman"/>
          <w:sz w:val="18"/>
          <w:szCs w:val="18"/>
          <w:color w:val="auto"/>
        </w:rPr>
        <w:t>Net sales by product is not presented because providing the information is impracticable. Net sales outside of the United States were insignificant. Variable allocations of assets are not made for segment reporting. The Company does not have any assets outside of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information is presented in the following tables: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114,166</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169,913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134,455</w:t>
            </w:r>
          </w:p>
        </w:tc>
      </w:tr>
      <w:tr>
        <w:trPr>
          <w:trHeight w:val="203"/>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10"/>
        </w:trPr>
        <w:tc>
          <w:tcPr>
            <w:tcW w:w="2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11,327</w:t>
            </w: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7"/>
        </w:trPr>
        <w:tc>
          <w:tcPr>
            <w:tcW w:w="20" w:type="dxa"/>
            <w:vAlign w:val="bottom"/>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r>
    </w:tbl>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Segment total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January 29, 2017</w:t>
            </w:r>
          </w:p>
        </w:tc>
      </w:tr>
      <w:tr>
        <w:trPr>
          <w:trHeight w:val="183"/>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2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116,914</w:t>
            </w:r>
          </w:p>
        </w:tc>
        <w:tc>
          <w:tcPr>
            <w:tcW w:w="5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115,239</w:t>
            </w: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w:t>
            </w:r>
          </w:p>
        </w:tc>
        <w:tc>
          <w:tcPr>
            <w:tcW w:w="1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40,728</w:t>
            </w:r>
          </w:p>
        </w:tc>
      </w:tr>
      <w:tr>
        <w:trPr>
          <w:trHeight w:val="217"/>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period end</w:t>
            </w:r>
          </w:p>
        </w:tc>
        <w:tc>
          <w:tcPr>
            <w:tcW w:w="18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181,697</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155,967</w:t>
            </w:r>
          </w:p>
        </w:tc>
      </w:tr>
    </w:tbl>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80" w:firstLine="428"/>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39% for both the three and six months ended July 30, 2017, and July 31, 2016. The income from SRV was excluded from the calculation of the Company’s effective tax rate, as SRV is an “S” corporation and not subject to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right="5320" w:hanging="432"/>
        <w:spacing w:after="0" w:line="460" w:lineRule="auto"/>
        <w:tabs>
          <w:tab w:leader="none" w:pos="40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i w:val="1"/>
          <w:iCs w:val="1"/>
          <w:u w:val="single" w:color="auto"/>
          <w:color w:val="auto"/>
        </w:rPr>
        <w:t xml:space="preserve">Recently Adopted Accounting Pronouncements </w:t>
      </w:r>
      <w:r>
        <w:rPr>
          <w:rFonts w:ascii="Times New Roman" w:cs="Times New Roman" w:eastAsia="Times New Roman" w:hAnsi="Times New Roman"/>
          <w:sz w:val="18"/>
          <w:szCs w:val="18"/>
          <w:i w:val="1"/>
          <w:iCs w:val="1"/>
          <w:color w:val="auto"/>
        </w:rPr>
        <w:t>Simplifying the Measurement of Inventory</w:t>
      </w:r>
    </w:p>
    <w:p>
      <w:pPr>
        <w:ind w:left="440"/>
        <w:spacing w:after="0"/>
        <w:rPr>
          <w:sz w:val="20"/>
          <w:szCs w:val="20"/>
          <w:color w:val="auto"/>
        </w:rPr>
      </w:pPr>
      <w:r>
        <w:rPr>
          <w:rFonts w:ascii="Times New Roman" w:cs="Times New Roman" w:eastAsia="Times New Roman" w:hAnsi="Times New Roman"/>
          <w:sz w:val="18"/>
          <w:szCs w:val="18"/>
          <w:color w:val="auto"/>
        </w:rPr>
        <w:t xml:space="preserve">In July 2015, the FASB issued Accounting Standards Update No. 2015-11, </w:t>
      </w:r>
      <w:r>
        <w:rPr>
          <w:rFonts w:ascii="Times New Roman" w:cs="Times New Roman" w:eastAsia="Times New Roman" w:hAnsi="Times New Roman"/>
          <w:sz w:val="18"/>
          <w:szCs w:val="18"/>
          <w:i w:val="1"/>
          <w:iCs w:val="1"/>
          <w:color w:val="auto"/>
        </w:rPr>
        <w:t>Simplifying the Measurement of Inventory (Topic</w:t>
      </w:r>
    </w:p>
    <w:p>
      <w:pPr>
        <w:spacing w:after="0" w:line="29" w:lineRule="exact"/>
        <w:rPr>
          <w:sz w:val="20"/>
          <w:szCs w:val="20"/>
          <w:color w:val="auto"/>
        </w:rPr>
      </w:pPr>
    </w:p>
    <w:p>
      <w:pPr>
        <w:ind w:right="40" w:firstLine="8"/>
        <w:spacing w:after="0" w:line="252" w:lineRule="auto"/>
        <w:tabs>
          <w:tab w:leader="none" w:pos="37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The Company adopted ASU 2015-11 as of January 30, 2017, the first day of the Company’s fiscal year 2017 and there was no significant impact to the Company’s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Improvements to Employee Share-Based Payment Accounting</w:t>
      </w:r>
    </w:p>
    <w:p>
      <w:pPr>
        <w:spacing w:after="0" w:line="185" w:lineRule="exact"/>
        <w:rPr>
          <w:sz w:val="20"/>
          <w:szCs w:val="20"/>
          <w:color w:val="auto"/>
        </w:rPr>
      </w:pPr>
    </w:p>
    <w:p>
      <w:pPr>
        <w:ind w:right="120" w:firstLine="428"/>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(Topic 718):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adopted ASU 2016-09 as of May 1, 2016 and there was no significant impact to the Company’s consolidated financial statements.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w:t>
      </w:r>
    </w:p>
    <w:p>
      <w:pPr>
        <w:spacing w:after="0" w:line="185" w:lineRule="exact"/>
        <w:rPr>
          <w:sz w:val="20"/>
          <w:szCs w:val="20"/>
          <w:color w:val="auto"/>
        </w:rPr>
      </w:pPr>
    </w:p>
    <w:p>
      <w:pPr>
        <w:ind w:right="1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No. 2015-17, </w:t>
      </w:r>
      <w:r>
        <w:rPr>
          <w:rFonts w:ascii="Times New Roman" w:cs="Times New Roman" w:eastAsia="Times New Roman" w:hAnsi="Times New Roman"/>
          <w:sz w:val="18"/>
          <w:szCs w:val="18"/>
          <w:i w:val="1"/>
          <w:iCs w:val="1"/>
          <w:color w:val="auto"/>
        </w:rPr>
        <w:t>Balance Sheet Classification of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(Topic 740) (“ASU 2015-17”), which requires the classification of all deferred tax assets and liabilities as noncurrent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adopted ASU 2015-17 as of January 31, 2016 and has reported deferred tax assets and liabilities as noncurrent on the balance sheet.</w:t>
      </w: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w:t>
      </w:r>
    </w:p>
    <w:p>
      <w:pPr>
        <w:spacing w:after="0" w:line="29"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(“ASU 2014-09”), which supersedes the revenue recognition requirements in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ASU</w:t>
      </w:r>
    </w:p>
    <w:p>
      <w:pPr>
        <w:spacing w:after="0" w:line="9" w:lineRule="exact"/>
        <w:rPr>
          <w:rFonts w:ascii="Times New Roman" w:cs="Times New Roman" w:eastAsia="Times New Roman" w:hAnsi="Times New Roman"/>
          <w:sz w:val="18"/>
          <w:szCs w:val="18"/>
          <w:i w:val="1"/>
          <w:iCs w:val="1"/>
          <w:color w:val="auto"/>
        </w:rPr>
      </w:pPr>
    </w:p>
    <w:p>
      <w:pPr>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the Company will adopt ASU 2014-09 on January 29, 2018, the first day of the Company’s first quarter for the fiscal year ending February 3, 2019, the Company’s fiscal year 2018. The Company expects to adopt ASU 2014-09 retrospectively with the cumulative effect of initially applying the update recognized at the date of the adoption along with additional disclosures. The Company’s review is ongoing and the Company has not yet identified any material changes in the timing of revenue recognition. The Company continues to evaluate the new disclosure requirements of ASU 2014-09 on its consolidated financial statements.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requires lessees to recognize most leases on the balance sheets (right-of-use asset and lease liability),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The Company expects to early adopt ASU 2016-02 on January 29, 2018, the first day of the Company’s first quarter for the fiscal year ending February 3, 2019, the Company’s fiscal year 2018. The Company conducts its retail operations through leased stores and therefore, the Company expects the adoption of ASU 2016-02 to have a significant impact on its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18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Accounting Standards Update No.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(Topic 230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(“ASU 2016-18”), which requires companies to include cash and cash equivalents that have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or use in total cash and cash equivalents on the statement of cash flows. ASU 2016-18 is effective for public entities with fiscal years beginning after December 15, 2017, and interim periods within those years, with early adoption permitted. The Company expects to adopt ASU 2016-18 on January 29, 2018, the first day of the Company’s first quarter for the fiscal year ending February 3, 2019, the Company’s fiscal year 2018. The Company is evaluating the level of impact of adopting ASU 2016-18 will have on the Company’s consolidated financial statements.</w:t>
      </w:r>
    </w:p>
    <w:p>
      <w:pPr>
        <w:spacing w:after="0" w:line="200" w:lineRule="exact"/>
        <w:rPr>
          <w:sz w:val="20"/>
          <w:szCs w:val="20"/>
          <w:color w:val="auto"/>
        </w:rPr>
      </w:pPr>
    </w:p>
    <w:p>
      <w:pPr>
        <w:spacing w:after="0" w:line="34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SUBSEQUENT EVENTS</w:t>
      </w:r>
    </w:p>
    <w:p>
      <w:pPr>
        <w:spacing w:after="0" w:line="189" w:lineRule="exact"/>
        <w:rPr>
          <w:sz w:val="20"/>
          <w:szCs w:val="20"/>
          <w:color w:val="auto"/>
        </w:rPr>
      </w:pPr>
    </w:p>
    <w:p>
      <w:pPr>
        <w:ind w:right="600" w:firstLine="428"/>
        <w:spacing w:after="0" w:line="313" w:lineRule="auto"/>
        <w:rPr>
          <w:sz w:val="20"/>
          <w:szCs w:val="20"/>
          <w:color w:val="auto"/>
        </w:rPr>
      </w:pPr>
      <w:r>
        <w:rPr>
          <w:rFonts w:ascii="Times New Roman" w:cs="Times New Roman" w:eastAsia="Times New Roman" w:hAnsi="Times New Roman"/>
          <w:sz w:val="17"/>
          <w:szCs w:val="17"/>
          <w:color w:val="auto"/>
        </w:rPr>
        <w:t>The Company evaluated its July 30, 2017 unaudited condensed consolidated financial statements for subsequent events through September 6, 2017, the date the unaudited condensed consolidated financial statements were available to be issued.</w:t>
      </w:r>
    </w:p>
    <w:p>
      <w:pPr>
        <w:spacing w:after="0" w:line="111" w:lineRule="exact"/>
        <w:rPr>
          <w:sz w:val="20"/>
          <w:szCs w:val="20"/>
          <w:color w:val="auto"/>
        </w:rPr>
      </w:pPr>
    </w:p>
    <w:p>
      <w:pPr>
        <w:ind w:right="40" w:firstLine="428"/>
        <w:spacing w:after="0" w:line="255" w:lineRule="auto"/>
        <w:rPr>
          <w:sz w:val="20"/>
          <w:szCs w:val="20"/>
          <w:color w:val="auto"/>
        </w:rPr>
      </w:pPr>
      <w:r>
        <w:rPr>
          <w:rFonts w:ascii="Times New Roman" w:cs="Times New Roman" w:eastAsia="Times New Roman" w:hAnsi="Times New Roman"/>
          <w:sz w:val="18"/>
          <w:szCs w:val="18"/>
          <w:color w:val="auto"/>
        </w:rPr>
        <w:t>On August 18, 2017, the Company entered into a lease agreement for the construction of the Company’s headquarters in Mt. Horeb, Wisconsin (the “HQ Lease”). The HQ Lease is for an initial term of 30 years and is expected to begin on November 1, 2018, with annual lease payments of $1.8 million, increasing at 2.0% each year, through the first 20 years, then beginning in year 21, the annual lease payments reset to $1.3 million, increasing at 2.0% each year until the end of the lease term, with a renewal option to extend for up to two terms of ten years each. The Company is treating the HQ Lease as a build-to-suit lease transaction for accounting purposes during the construction period. The construction completion date of the Company’s headquarters is expected on or before November 1, 2018.</w:t>
      </w:r>
    </w:p>
    <w:p>
      <w:pPr>
        <w:spacing w:after="0" w:line="149" w:lineRule="exact"/>
        <w:rPr>
          <w:sz w:val="20"/>
          <w:szCs w:val="20"/>
          <w:color w:val="auto"/>
        </w:rPr>
      </w:pPr>
    </w:p>
    <w:p>
      <w:pPr>
        <w:ind w:right="100" w:firstLine="428"/>
        <w:spacing w:after="0" w:line="254" w:lineRule="auto"/>
        <w:rPr>
          <w:sz w:val="20"/>
          <w:szCs w:val="20"/>
          <w:color w:val="auto"/>
        </w:rPr>
      </w:pPr>
      <w:r>
        <w:rPr>
          <w:rFonts w:ascii="Times New Roman" w:cs="Times New Roman" w:eastAsia="Times New Roman" w:hAnsi="Times New Roman"/>
          <w:sz w:val="18"/>
          <w:szCs w:val="18"/>
          <w:color w:val="auto"/>
        </w:rPr>
        <w:t>In conjunction with the HQ Lease discussed above, the Company entered into an agreement to purchase a $6.4 million investment in a note (the “Note”) with an interest rate of 4.95% and a 20-year term from a financial services firm through a private placement sale. The Note was issued from the developer of the Company’s planned headquarters in Mt. Horeb, Wisconsin. During the first 13 months of the Note, beginning October 15, 2017, the Company expects to receive interest only payments. From November 15, 2018 through the maturity date of the Note on October 15, 2038, the Company expects to receive principal and interest payments. As of July 30, 2017, the cash available for purchase of the Note was advanced to the developer to begin construction on the Company’s headquarters and is recorded in other assets, net on the Company’s condensed consolidated balance sheet. The Company expects the transaction to close by the end of September 30, 2017. At closing, the Company plans to record the $6.4 million Note as an available-for-sale security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2" w:lineRule="exact"/>
        <w:rPr>
          <w:sz w:val="20"/>
          <w:szCs w:val="20"/>
          <w:color w:val="auto"/>
        </w:rPr>
      </w:pPr>
    </w:p>
    <w:p>
      <w:pPr>
        <w:ind w:right="100" w:firstLine="428"/>
        <w:spacing w:after="0" w:line="24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29, 2017 (“2016 Form 10-K”).</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The three and six months of fiscal 2017 and fiscal 2016 represent our 13 and 26-week periods ended July 30, 2017 and July 31, 2016, respectively.</w:t>
      </w:r>
    </w:p>
    <w:p>
      <w:pPr>
        <w:spacing w:after="0" w:line="163" w:lineRule="exact"/>
        <w:rPr>
          <w:sz w:val="20"/>
          <w:szCs w:val="20"/>
          <w:color w:val="auto"/>
        </w:rPr>
      </w:pPr>
    </w:p>
    <w:p>
      <w:pPr>
        <w:ind w:right="180" w:firstLine="428"/>
        <w:spacing w:after="0" w:line="265" w:lineRule="auto"/>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 and its subsidiary on a consolidated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40" w:firstLine="42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2016 Form 10-K,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54" w:lineRule="exact"/>
        <w:rPr>
          <w:sz w:val="20"/>
          <w:szCs w:val="20"/>
          <w:color w:val="auto"/>
        </w:rPr>
      </w:pPr>
    </w:p>
    <w:p>
      <w:pPr>
        <w:ind w:right="680" w:firstLine="428"/>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these forward-looking statements, except as required under the federal securities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66.9% and 71.5% of our consolidated net sales for the three and six months ended July 31, 2017, respectively, and 81.8% and 84.9% of our consolidated net sales for the three and six months ended July 30, 2016, respectively. In 2010, we added retail to our omni-channel platform with the opening of our first store. Since then, we have expanded our retail presence, and as of July 30, 2017, we operated 20 retail stores and three outlet stores. Net sales for our retail segment represented 33.1% and 28.5% of consolidated net sales for the three and six months ended July 30, 2017, respectively, and 18.2% and 15.1% of consolidated net sales for the three and six months ended July 31, 2016, respectively.</w:t>
      </w:r>
    </w:p>
    <w:p>
      <w:pPr>
        <w:spacing w:after="0" w:line="145" w:lineRule="exact"/>
        <w:rPr>
          <w:sz w:val="20"/>
          <w:szCs w:val="20"/>
          <w:color w:val="auto"/>
        </w:rPr>
      </w:pPr>
    </w:p>
    <w:p>
      <w:pPr>
        <w:ind w:firstLine="428"/>
        <w:spacing w:after="0" w:line="261"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7"/>
          <w:szCs w:val="7"/>
          <w:color w:val="auto"/>
        </w:rPr>
        <w:t>TM</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work pants, and No-Yank</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40"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ind w:left="860" w:hanging="420"/>
        <w:spacing w:after="0" w:line="233" w:lineRule="auto"/>
        <w:tabs>
          <w:tab w:leader="none" w:pos="8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have increased year-over-year for 30 consecutive quarters through July 30, 2017;</w:t>
      </w:r>
    </w:p>
    <w:p>
      <w:pPr>
        <w:spacing w:after="0" w:line="96" w:lineRule="exact"/>
        <w:rPr>
          <w:rFonts w:ascii="Times New Roman" w:cs="Times New Roman" w:eastAsia="Times New Roman" w:hAnsi="Times New Roman"/>
          <w:sz w:val="29"/>
          <w:szCs w:val="29"/>
          <w:color w:val="auto"/>
          <w:vertAlign w:val="superscript"/>
        </w:rPr>
      </w:pPr>
    </w:p>
    <w:p>
      <w:pPr>
        <w:ind w:left="860" w:right="200" w:hanging="420"/>
        <w:spacing w:after="0" w:line="207" w:lineRule="auto"/>
        <w:tabs>
          <w:tab w:leader="none" w:pos="86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sales in fiscal 2017 second quarter increased by 31.0% over the prior year second quarter to $86.2 million and net sales in the first six months of fiscal 2017 increased by 26.4% over the first six months of the prior year to $169.9 million;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860" w:right="160" w:hanging="420"/>
        <w:spacing w:after="0" w:line="214" w:lineRule="auto"/>
        <w:tabs>
          <w:tab w:leader="none" w:pos="8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income in fiscal 2017 second quarter increased by 18.4% over the prior year second quarter to $4.3 million and net income in the first six months of fiscal 2017 decreased by 32.4% over the first six months of the prior year to $4.6 million;</w:t>
      </w:r>
    </w:p>
    <w:p>
      <w:pPr>
        <w:spacing w:after="0" w:line="76" w:lineRule="exact"/>
        <w:rPr>
          <w:rFonts w:ascii="Times New Roman" w:cs="Times New Roman" w:eastAsia="Times New Roman" w:hAnsi="Times New Roman"/>
          <w:sz w:val="29"/>
          <w:szCs w:val="29"/>
          <w:color w:val="auto"/>
          <w:vertAlign w:val="superscript"/>
        </w:rPr>
      </w:pPr>
    </w:p>
    <w:p>
      <w:pPr>
        <w:ind w:left="860" w:right="220" w:hanging="420"/>
        <w:spacing w:after="0" w:line="214" w:lineRule="auto"/>
        <w:tabs>
          <w:tab w:leader="none" w:pos="8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EBITDA in fiscal 2017 second quarter increased by 26.7% over the prior year second quarter to $9.5 million and adjusted EBITDA in the first six months of fiscal 2017 decreased by 13.4% over the first six months of the prior year to $12.1 million; and</w:t>
      </w:r>
    </w:p>
    <w:p>
      <w:pPr>
        <w:ind w:left="860" w:hanging="420"/>
        <w:spacing w:after="0" w:line="223" w:lineRule="auto"/>
        <w:tabs>
          <w:tab w:leader="none" w:pos="86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retail stores have achieved an average payback of less than two years.</w:t>
      </w:r>
    </w:p>
    <w:p>
      <w:pPr>
        <w:spacing w:after="0" w:line="172" w:lineRule="exact"/>
        <w:rPr>
          <w:sz w:val="20"/>
          <w:szCs w:val="20"/>
          <w:color w:val="auto"/>
        </w:rPr>
      </w:pPr>
    </w:p>
    <w:p>
      <w:pPr>
        <w:ind w:right="360" w:firstLine="428"/>
        <w:spacing w:after="0" w:line="261" w:lineRule="auto"/>
        <w:rPr>
          <w:sz w:val="20"/>
          <w:szCs w:val="20"/>
          <w:color w:val="auto"/>
        </w:rPr>
      </w:pPr>
      <w:r>
        <w:rPr>
          <w:rFonts w:ascii="Times New Roman" w:cs="Times New Roman" w:eastAsia="Times New Roman" w:hAnsi="Times New Roman"/>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0" w:lineRule="exact"/>
        <w:rPr>
          <w:sz w:val="20"/>
          <w:szCs w:val="20"/>
          <w:color w:val="auto"/>
        </w:rPr>
      </w:pPr>
    </w:p>
    <w:p>
      <w:pPr>
        <w:ind w:right="180" w:firstLine="428"/>
        <w:spacing w:after="0" w:line="266" w:lineRule="auto"/>
        <w:rPr>
          <w:sz w:val="20"/>
          <w:szCs w:val="20"/>
          <w:color w:val="auto"/>
        </w:rPr>
      </w:pPr>
      <w:r>
        <w:rPr>
          <w:rFonts w:ascii="Times New Roman" w:cs="Times New Roman" w:eastAsia="Times New Roman" w:hAnsi="Times New Roman"/>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49" w:lineRule="exact"/>
        <w:rPr>
          <w:sz w:val="20"/>
          <w:szCs w:val="20"/>
          <w:color w:val="auto"/>
        </w:rPr>
      </w:pPr>
    </w:p>
    <w:p>
      <w:pPr>
        <w:ind w:right="60" w:firstLine="428"/>
        <w:spacing w:after="0" w:line="266" w:lineRule="auto"/>
        <w:rPr>
          <w:sz w:val="20"/>
          <w:szCs w:val="20"/>
          <w:color w:val="auto"/>
        </w:rPr>
      </w:pPr>
      <w:r>
        <w:rPr>
          <w:rFonts w:ascii="Times New Roman" w:cs="Times New Roman" w:eastAsia="Times New Roman" w:hAnsi="Times New Roman"/>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 sales are recognized upon customer receipt of the product, while retail sales are recognized at the point of sale. We also use net sales as one of the key financial metrics in determining our annual bonus compensation for our employees.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202"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21"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We have excluded comparable store sales data from this Form 10-Q due to the limited number of comparable retail stores as of July 30, 2017. Although retail store expansion is part of our growth strategy, we expect a majority of our net sales to come from our direct segment for the foreseeable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firstLine="428"/>
        <w:spacing w:after="0" w:line="25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297" w:right="11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180" w:firstLine="42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62" w:lineRule="exact"/>
        <w:rPr>
          <w:sz w:val="20"/>
          <w:szCs w:val="20"/>
          <w:color w:val="auto"/>
        </w:rPr>
      </w:pPr>
    </w:p>
    <w:p>
      <w:pPr>
        <w:ind w:firstLine="428"/>
        <w:spacing w:after="0" w:line="261" w:lineRule="auto"/>
        <w:rPr>
          <w:sz w:val="20"/>
          <w:szCs w:val="20"/>
          <w:color w:val="auto"/>
        </w:rPr>
      </w:pPr>
      <w:r>
        <w:rPr>
          <w:rFonts w:ascii="Times New Roman" w:cs="Times New Roman" w:eastAsia="Times New Roman" w:hAnsi="Times New Roman"/>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89"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 We also use Adjusted EBITDA as one of the key financial metrics in determining our annual bonus compensation for our employees.</w:t>
      </w:r>
    </w:p>
    <w:p>
      <w:pPr>
        <w:spacing w:after="0" w:line="161" w:lineRule="exact"/>
        <w:rPr>
          <w:sz w:val="20"/>
          <w:szCs w:val="20"/>
          <w:color w:val="auto"/>
        </w:rPr>
      </w:pPr>
    </w:p>
    <w:p>
      <w:pPr>
        <w:ind w:right="380" w:firstLine="428"/>
        <w:spacing w:after="0" w:line="261" w:lineRule="auto"/>
        <w:rPr>
          <w:sz w:val="20"/>
          <w:szCs w:val="20"/>
          <w:color w:val="auto"/>
        </w:rPr>
      </w:pPr>
      <w:r>
        <w:rPr>
          <w:rFonts w:ascii="Times New Roman" w:cs="Times New Roman" w:eastAsia="Times New Roman" w:hAnsi="Times New Roman"/>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20" w:firstLine="42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 sales.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53,841</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121,442</w:t>
            </w:r>
          </w:p>
        </w:tc>
        <w:tc>
          <w:tcPr>
            <w:tcW w:w="1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114,166</w:t>
            </w:r>
          </w:p>
        </w:tc>
        <w:tc>
          <w:tcPr>
            <w:tcW w:w="2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2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w:t>
            </w:r>
          </w:p>
        </w:tc>
        <w:tc>
          <w:tcPr>
            <w:tcW w:w="2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55,842</w:t>
            </w: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78,613</w:t>
            </w:r>
          </w:p>
        </w:tc>
        <w:tc>
          <w:tcPr>
            <w:tcW w:w="22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41,534</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32,936</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67,286</w:t>
            </w:r>
          </w:p>
        </w:tc>
        <w:tc>
          <w:tcPr>
            <w:tcW w:w="22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22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20"/>
                <w:szCs w:val="20"/>
                <w:color w:val="auto"/>
              </w:rPr>
            </w:pPr>
          </w:p>
        </w:tc>
      </w:tr>
      <w:tr>
        <w:trPr>
          <w:trHeight w:val="217"/>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3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 net sales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net sales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98"/>
        </w:trPr>
        <w:tc>
          <w:tcPr>
            <w:tcW w:w="20" w:type="dxa"/>
            <w:vAlign w:val="bottom"/>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5"/>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attributable to</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7"/>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200" w:lineRule="exact"/>
        <w:rPr>
          <w:sz w:val="20"/>
          <w:szCs w:val="20"/>
          <w:color w:val="auto"/>
        </w:rPr>
      </w:pPr>
    </w:p>
    <w:p>
      <w:pPr>
        <w:spacing w:after="0" w:line="358" w:lineRule="exact"/>
        <w:rPr>
          <w:sz w:val="20"/>
          <w:szCs w:val="20"/>
          <w:color w:val="auto"/>
        </w:rPr>
      </w:pPr>
    </w:p>
    <w:p>
      <w:pPr>
        <w:ind w:right="312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Three Months Ended July 30, 2017 Compared to Three Months Ended July 31, 2016 </w:t>
      </w:r>
      <w:r>
        <w:rPr>
          <w:rFonts w:ascii="Times New Roman" w:cs="Times New Roman" w:eastAsia="Times New Roman" w:hAnsi="Times New Roman"/>
          <w:sz w:val="18"/>
          <w:szCs w:val="18"/>
          <w:b w:val="1"/>
          <w:bCs w:val="1"/>
          <w:i w:val="1"/>
          <w:iCs w:val="1"/>
          <w:color w:val="auto"/>
        </w:rPr>
        <w:t>Net Sales</w:t>
      </w: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Net sales increased $20.4 million, or 31.0%, to $86.2 million in the three months ended July 30, 2017 compared to $65.8 million in the three months ended July 31, 2016, driven by gains in both direct and retail segments of $3.8 million, or 7.1%, and $16.6 million, or 138.3%, respectively, with gains across all product categories. Our website visits increased 19.8% in the three months ended July 30, 2017 compared to the three months ended July 31, 2016. The increase in retail net sales was primarily due to having 12 more stores during the three months ended July 30, 2017 as compared to the three months ended July 31, 2016.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280" w:firstLine="428"/>
        <w:spacing w:after="0" w:line="282" w:lineRule="auto"/>
        <w:rPr>
          <w:sz w:val="20"/>
          <w:szCs w:val="20"/>
          <w:color w:val="auto"/>
        </w:rPr>
      </w:pPr>
      <w:r>
        <w:rPr>
          <w:rFonts w:ascii="Times New Roman" w:cs="Times New Roman" w:eastAsia="Times New Roman" w:hAnsi="Times New Roman"/>
          <w:sz w:val="18"/>
          <w:szCs w:val="18"/>
          <w:color w:val="auto"/>
        </w:rPr>
        <w:t>Gross profit increased $10.0 million, or 25.7%, to $48.9 million in the three months ended July 30, 2017 compared to $38.9 million in the three months ended July 31, 2016. As a percentage of net sales, gross margin decreased 240 basis points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56.7% of net sales in the three months ended July 30, 2017, compared to 59.1% of net sales in the three months ended July 31, 2016. The decrease in gross margin rate was primarily attributable to a decline in shipping revenues due to promotions offering more free shipping days, as compared to the prior year three months, coupled with the increase in inventory reserve due to retail growth and an increase in freight cost related to transporting inventory from our Belleville distribution center to our retail stores due to geographic expansion.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60" w:firstLine="428"/>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increased $8.6 million, or 26.1%, to $41.5 million in the three months ended July 30, 2017 compared to $32.9 million in the three months ended July 31, 2016. Selling, general and administrative expenses as a percentage of net sales decreased 180 basis points to 48.2% in the three months ended July 30, 2017, compared to 50.0% in the three months ended July 31, 2016. The increase in selling, general and administrative expenses was attributable to an increase of $1.3 million in advertising and marketing costs, $3.5 million in selling expenses and $3.8 million in general and administrative expenses.</w:t>
      </w:r>
    </w:p>
    <w:p>
      <w:pPr>
        <w:spacing w:after="0" w:line="128" w:lineRule="exact"/>
        <w:rPr>
          <w:sz w:val="20"/>
          <w:szCs w:val="20"/>
          <w:color w:val="auto"/>
        </w:rPr>
      </w:pPr>
    </w:p>
    <w:p>
      <w:pPr>
        <w:ind w:right="100" w:firstLine="428"/>
        <w:spacing w:after="0" w:line="258" w:lineRule="auto"/>
        <w:rPr>
          <w:sz w:val="20"/>
          <w:szCs w:val="20"/>
          <w:color w:val="auto"/>
        </w:rPr>
      </w:pPr>
      <w:r>
        <w:rPr>
          <w:rFonts w:ascii="Times New Roman" w:cs="Times New Roman" w:eastAsia="Times New Roman" w:hAnsi="Times New Roman"/>
          <w:sz w:val="18"/>
          <w:szCs w:val="18"/>
          <w:color w:val="auto"/>
        </w:rPr>
        <w:t>As a percentage of net sales, advertising and marketing costs decreased 340 basis points to 17.4% in the three months ended July 30, 2017, compared to 20.8% in the three months ended July 31, 2016. The 340 basis point decrease in advertising and marketing costs as a percentage of net sales was primarily attributable to a decrease of 220 basis points due the shift in our women’s television advertising that occurred in the first quarter of fiscal 2017, as compared to the second quarter of fiscal 2016, coupled with a decrease of 110 basis points due to our planned decrease spend in catalog costs as a percentage of net sales.</w:t>
      </w:r>
    </w:p>
    <w:p>
      <w:pPr>
        <w:spacing w:after="0" w:line="143"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As a percentage of net sales, selling expenses increased 100 basis points to 14.1% in the three months ended July 30, 2017, compared to 13.1% in the three months ended July 31, 2016, primarily due to an increase of 130 basis points in customer service due to growth in retail, offset by a decrease of 50 basis points in shipping expenses due to leverage from an increase in the proportion of retail net sales.</w:t>
      </w:r>
    </w:p>
    <w:p>
      <w:pPr>
        <w:spacing w:after="0" w:line="153" w:lineRule="exact"/>
        <w:rPr>
          <w:sz w:val="20"/>
          <w:szCs w:val="20"/>
          <w:color w:val="auto"/>
        </w:rPr>
      </w:pPr>
    </w:p>
    <w:p>
      <w:pPr>
        <w:jc w:val="both"/>
        <w:ind w:right="40" w:firstLine="428"/>
        <w:spacing w:after="0" w:line="258" w:lineRule="auto"/>
        <w:rPr>
          <w:sz w:val="20"/>
          <w:szCs w:val="20"/>
          <w:color w:val="auto"/>
        </w:rPr>
      </w:pPr>
      <w:r>
        <w:rPr>
          <w:rFonts w:ascii="Times New Roman" w:cs="Times New Roman" w:eastAsia="Times New Roman" w:hAnsi="Times New Roman"/>
          <w:sz w:val="18"/>
          <w:szCs w:val="18"/>
          <w:color w:val="auto"/>
        </w:rPr>
        <w:t>As a percentage of net sales, general and administrative expenses increased 60 basis points to 16.7% in the three months ended July 30, 2017, compared to 16.1% in the three months ended July 31, 2016. The 60 basis point increase was primarily attributable to an increase of 70 basis points in occupancy and equipment cost due to growth in retail, coupled with an increase of 40 basis points in depreciation, which was partially offset by decrease of 50 basis points in personnel expenses due to operating leverage from higher sales.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420" w:firstLine="428"/>
        <w:spacing w:after="0" w:line="282" w:lineRule="auto"/>
        <w:rPr>
          <w:sz w:val="20"/>
          <w:szCs w:val="20"/>
          <w:color w:val="auto"/>
        </w:rPr>
      </w:pPr>
      <w:r>
        <w:rPr>
          <w:rFonts w:ascii="Times New Roman" w:cs="Times New Roman" w:eastAsia="Times New Roman" w:hAnsi="Times New Roman"/>
          <w:sz w:val="18"/>
          <w:szCs w:val="18"/>
          <w:color w:val="auto"/>
        </w:rPr>
        <w:t>Interest expense was $0.4 million in the three months ended July 30, 2017, compared to $0.04 million in the three months ended July 31, 2016. The increase in interest expense was primarily attributable to our build-to-suit retail stores.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Income tax expense was $2.7 million in the three months ended July 30, 2017, compared to $2.3 million in the three months ended July 31, 2016. Our effective tax rate related to controlling interest was 39%, for both the three months ended July 30, 2017 and July 30, 2016.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2" w:lineRule="exact"/>
        <w:rPr>
          <w:sz w:val="20"/>
          <w:szCs w:val="20"/>
          <w:color w:val="auto"/>
        </w:rPr>
      </w:pPr>
    </w:p>
    <w:p>
      <w:pPr>
        <w:ind w:right="520" w:firstLine="428"/>
        <w:spacing w:after="0" w:line="282" w:lineRule="auto"/>
        <w:rPr>
          <w:sz w:val="20"/>
          <w:szCs w:val="20"/>
          <w:color w:val="auto"/>
        </w:rPr>
      </w:pPr>
      <w:r>
        <w:rPr>
          <w:rFonts w:ascii="Times New Roman" w:cs="Times New Roman" w:eastAsia="Times New Roman" w:hAnsi="Times New Roman"/>
          <w:sz w:val="18"/>
          <w:szCs w:val="18"/>
          <w:color w:val="auto"/>
        </w:rPr>
        <w:t>Net income increased $0.7 million, or 18.4%, to $4.3 million in the three months ended July 30, 2017, compared to $3.6 million in the three months ended July 31, 2016, primarily due to the factors discussed above.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July 30, 2017 Compared to Six Months Ended July 31, 2016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8"/>
          <w:szCs w:val="18"/>
          <w:color w:val="auto"/>
        </w:rPr>
        <w:t>Net sales increased $35.5 million, or 26.4%, to $169.9 million in the six months ended July 30, 2017 compared to $134.5 million in the six months ended July 31, 2016, driven by gains in both direct and retail segments of $7.3 million, or 6.4%, and $28.2 million, or 138.9%, respectively, with gains across all product categories. Our website visits increased 18.0% in the six months ended July 30, 2017 compared to the six months ended July 31, 2016. The increase in retail net sales was primarily attributable to the same factors discussed above for the three months ended July 30, 2017 compared to the three months ended July 31, 2016.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Gross profit increased $19.0 million, or 24.1%, to $97.6 million in the six months ended July 30, 2017 compared to $78.6 million in the six months ended July 31, 2016. As a percentage of net sales, gross margin decreased 110 basis points to 57.4% of net sales in the six months ended July 30, 2017, compared to 58.5% of net sales in the six months ended July 31, 2016. The decrease in gross margin rate was primarily due to the same factors discussed above for the three months ended July 30, 2017 compared to the three months ended July 31, 2016, which was partially offset by an increase in product margins.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increased $22.1 million, or 32.9%, to $89.4 million in the six months ended July 30, 2017 compared to $67.3 million in the six months ended July 31, 2016. Selling, general and administrative expenses as a percentage of net sales increased 260 basis points to 52.6% in the six months ended July 30, 2017, compared to 50.0% in the six months ended July 31, 2016. The increase in selling, general and administrative expenses was attributable to an increase of $7.2 million in advertising and marketing costs, $6.2 million in selling expenses and $8.7 million in general and administrative expenses.</w:t>
      </w:r>
    </w:p>
    <w:p>
      <w:pPr>
        <w:spacing w:after="0" w:line="128" w:lineRule="exact"/>
        <w:rPr>
          <w:sz w:val="20"/>
          <w:szCs w:val="20"/>
          <w:color w:val="auto"/>
        </w:rPr>
      </w:pPr>
    </w:p>
    <w:p>
      <w:pPr>
        <w:ind w:right="60" w:firstLine="428"/>
        <w:spacing w:after="0" w:line="258" w:lineRule="auto"/>
        <w:rPr>
          <w:sz w:val="20"/>
          <w:szCs w:val="20"/>
          <w:color w:val="auto"/>
        </w:rPr>
      </w:pPr>
      <w:r>
        <w:rPr>
          <w:rFonts w:ascii="Times New Roman" w:cs="Times New Roman" w:eastAsia="Times New Roman" w:hAnsi="Times New Roman"/>
          <w:sz w:val="18"/>
          <w:szCs w:val="18"/>
          <w:color w:val="auto"/>
        </w:rPr>
        <w:t>As a percentage of net sales, advertising and marketing costs decreased 30 basis points to 21.2% in the six months ended July 30, 2017, compared to 21.5% in the six months ended July 31, 2016. The 30 basis point decrease in advertising and marketing costs as a percentage of net sales was primarily attributable to a decrease of 120 basis points in catalog costs due to our planned decrease spend in catalog as a percentage of net sales, which was partially offset by an increase of 80 basis points in television advertising primarily due to increase in women’s television advertising.</w:t>
      </w:r>
    </w:p>
    <w:p>
      <w:pPr>
        <w:spacing w:after="0" w:line="157" w:lineRule="exact"/>
        <w:rPr>
          <w:sz w:val="20"/>
          <w:szCs w:val="20"/>
          <w:color w:val="auto"/>
        </w:rPr>
      </w:pPr>
    </w:p>
    <w:p>
      <w:pPr>
        <w:ind w:right="120" w:firstLine="428"/>
        <w:spacing w:after="0" w:line="261" w:lineRule="auto"/>
        <w:rPr>
          <w:sz w:val="20"/>
          <w:szCs w:val="20"/>
          <w:color w:val="auto"/>
        </w:rPr>
      </w:pPr>
      <w:r>
        <w:rPr>
          <w:rFonts w:ascii="Times New Roman" w:cs="Times New Roman" w:eastAsia="Times New Roman" w:hAnsi="Times New Roman"/>
          <w:sz w:val="18"/>
          <w:szCs w:val="18"/>
          <w:color w:val="auto"/>
        </w:rPr>
        <w:t>As a percentage of net sales, selling expenses increased 90 basis points to 14.3% in the six months ended July 30, 2017, compared to 13.4% in the six months ended July 31, 2016, primarily due to an increase of 140 basis points in customer service due to growth in retail, offset by a decrease of 50 basis points in shipping expenses attributable to the leverage from an increase in the proportion of retail net sales.</w:t>
      </w:r>
    </w:p>
    <w:p>
      <w:pPr>
        <w:spacing w:after="0" w:line="140" w:lineRule="exact"/>
        <w:rPr>
          <w:sz w:val="20"/>
          <w:szCs w:val="20"/>
          <w:color w:val="auto"/>
        </w:rPr>
      </w:pPr>
    </w:p>
    <w:p>
      <w:pPr>
        <w:ind w:right="40" w:firstLine="428"/>
        <w:spacing w:after="0" w:line="261" w:lineRule="auto"/>
        <w:rPr>
          <w:sz w:val="20"/>
          <w:szCs w:val="20"/>
          <w:color w:val="auto"/>
        </w:rPr>
      </w:pPr>
      <w:r>
        <w:rPr>
          <w:rFonts w:ascii="Times New Roman" w:cs="Times New Roman" w:eastAsia="Times New Roman" w:hAnsi="Times New Roman"/>
          <w:sz w:val="18"/>
          <w:szCs w:val="18"/>
          <w:color w:val="auto"/>
        </w:rPr>
        <w:t>As a percentage of net sales, general and administrative expenses increased 200 basis points to 17.1% in the six months ended July 30, 2017, compared to 15.1% in the six months ended July 31, 2016. The 200 basis point increase was primarily attributable to an increase of 140 basis points in occupancy and equipment costs due to retail growth and an increase of 40 basis points in depreciation.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280" w:firstLine="428"/>
        <w:spacing w:after="0" w:line="282" w:lineRule="auto"/>
        <w:rPr>
          <w:sz w:val="20"/>
          <w:szCs w:val="20"/>
          <w:color w:val="auto"/>
        </w:rPr>
      </w:pPr>
      <w:r>
        <w:rPr>
          <w:rFonts w:ascii="Times New Roman" w:cs="Times New Roman" w:eastAsia="Times New Roman" w:hAnsi="Times New Roman"/>
          <w:sz w:val="18"/>
          <w:szCs w:val="18"/>
          <w:color w:val="auto"/>
        </w:rPr>
        <w:t>Interest expense was $0.5 million in the six months ended July 30, 2017, compared to $0.1 million in the six months ended July 31, 2016. The increase in interest expense was primarily attributable to our build-to-suit retail stores.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Income tax expense was $2.9 million in the six months ended July 30, 2017, compared to $4.4 million in the six months ended July 31, 2016. Our effective tax rate related to controlling interest was 39%, for both the six months ended July 30, 2017 and July 31, 2016.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89" w:lineRule="exact"/>
        <w:rPr>
          <w:sz w:val="20"/>
          <w:szCs w:val="20"/>
          <w:color w:val="auto"/>
        </w:rPr>
      </w:pPr>
    </w:p>
    <w:p>
      <w:pPr>
        <w:ind w:right="20" w:firstLine="428"/>
        <w:spacing w:after="0" w:line="282" w:lineRule="auto"/>
        <w:rPr>
          <w:sz w:val="20"/>
          <w:szCs w:val="20"/>
          <w:color w:val="auto"/>
        </w:rPr>
      </w:pPr>
      <w:r>
        <w:rPr>
          <w:rFonts w:ascii="Times New Roman" w:cs="Times New Roman" w:eastAsia="Times New Roman" w:hAnsi="Times New Roman"/>
          <w:sz w:val="18"/>
          <w:szCs w:val="18"/>
          <w:color w:val="auto"/>
        </w:rPr>
        <w:t>Net income decreased $2.2 million, or 32.4%, to $4.6 million in the six months ended July 30, 2017, compared to $6.9 million in the six months ended July 31, 2016, primarily due to the factors discussed above.</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97" w:right="119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EBITDA and EBITDA to Adjusted EBITDA</w:t>
      </w:r>
    </w:p>
    <w:p>
      <w:pPr>
        <w:spacing w:after="0" w:line="189" w:lineRule="exact"/>
        <w:rPr>
          <w:sz w:val="20"/>
          <w:szCs w:val="20"/>
          <w:color w:val="auto"/>
        </w:rPr>
      </w:pPr>
    </w:p>
    <w:p>
      <w:pPr>
        <w:ind w:right="160" w:firstLine="428"/>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3"/>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250"/>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16"/>
        </w:trPr>
        <w:tc>
          <w:tcPr>
            <w:tcW w:w="20" w:type="dxa"/>
            <w:vAlign w:val="bottom"/>
          </w:tcPr>
          <w:p>
            <w:pPr>
              <w:spacing w:after="0"/>
              <w:rPr>
                <w:sz w:val="18"/>
                <w:szCs w:val="18"/>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Non-cash stock based compensation</w:t>
            </w: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7"/>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r>
    </w:tbl>
    <w:p>
      <w:pPr>
        <w:spacing w:after="0" w:line="157" w:lineRule="exact"/>
        <w:rPr>
          <w:sz w:val="20"/>
          <w:szCs w:val="20"/>
          <w:color w:val="auto"/>
        </w:rPr>
      </w:pPr>
    </w:p>
    <w:p>
      <w:pPr>
        <w:ind w:right="10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increased $2.0 million, or 26.7%, to $9.5 million in the three months ended July 30, 2017 compared to $7.5 million in the three months ended July 31, 2016. As a percentage of net sales, Adjusted EBITDA decreased 30 basis points to 11.0% of net sales in the three months ended July 30, 2017 compared to 11.3% of net sales in the three months ended July 31, 2016.</w:t>
      </w:r>
    </w:p>
    <w:p>
      <w:pPr>
        <w:spacing w:after="0" w:line="140" w:lineRule="exact"/>
        <w:rPr>
          <w:sz w:val="20"/>
          <w:szCs w:val="20"/>
          <w:color w:val="auto"/>
        </w:rPr>
      </w:pPr>
    </w:p>
    <w:p>
      <w:pPr>
        <w:ind w:right="80" w:firstLine="428"/>
        <w:spacing w:after="0" w:line="261"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$1.9 million, or 13.4%, to $12.1 million in the six months ended July 30, 2017 compared to $14.0 million in the six months ended July 31, 2016. As a percentage of net sales, Adjusted EBITDA decreased 330 basis points to 7.1% of net sales in the six months ended July 30, 2017 compared to 10.4% of net sales in the six months ended July 31, 2016.</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180" w:firstLine="428"/>
        <w:spacing w:after="0" w:line="258" w:lineRule="auto"/>
        <w:rPr>
          <w:sz w:val="20"/>
          <w:szCs w:val="20"/>
          <w:color w:val="auto"/>
        </w:rPr>
      </w:pPr>
      <w:r>
        <w:rPr>
          <w:rFonts w:ascii="Times New Roman" w:cs="Times New Roman" w:eastAsia="Times New Roman" w:hAnsi="Times New Roman"/>
          <w:sz w:val="18"/>
          <w:szCs w:val="18"/>
          <w:color w:val="auto"/>
        </w:rPr>
        <w:t>Our business relies on cash from operating activities, as well as cash on hand and a revolving line of credit as our primary sources of liquidity, which was increased effective August 1, 2017, from $40.0 million to $50.0 million through July 31, 2018.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43" w:lineRule="exact"/>
        <w:rPr>
          <w:sz w:val="20"/>
          <w:szCs w:val="20"/>
          <w:color w:val="auto"/>
        </w:rPr>
      </w:pPr>
    </w:p>
    <w:p>
      <w:pPr>
        <w:ind w:right="60" w:firstLine="428"/>
        <w:spacing w:after="0" w:line="273" w:lineRule="auto"/>
        <w:rPr>
          <w:sz w:val="20"/>
          <w:szCs w:val="20"/>
          <w:color w:val="auto"/>
        </w:rPr>
      </w:pPr>
      <w:r>
        <w:rPr>
          <w:rFonts w:ascii="Times New Roman" w:cs="Times New Roman" w:eastAsia="Times New Roman" w:hAnsi="Times New Roman"/>
          <w:sz w:val="17"/>
          <w:szCs w:val="17"/>
          <w:color w:val="auto"/>
        </w:rPr>
        <w:t>We expect to spend approximately $38.0 million to $42.0 million in fiscal 2017 on capital expenditures, including a total of approximately $28.0 million to $32.0 million for new retail store expansion. We expect it will take approximately $2.0 million to $2.6 million in capital expenditures and starting inventory to open a new store. At July 30, 2017, our net working capital was $58.3 million, including $1.4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32" w:lineRule="exact"/>
        <w:rPr>
          <w:sz w:val="20"/>
          <w:szCs w:val="20"/>
          <w:color w:val="auto"/>
        </w:rPr>
      </w:pPr>
    </w:p>
    <w:p>
      <w:pPr>
        <w:ind w:right="80" w:firstLine="428"/>
        <w:spacing w:after="0" w:line="266" w:lineRule="auto"/>
        <w:rPr>
          <w:sz w:val="20"/>
          <w:szCs w:val="20"/>
          <w:color w:val="auto"/>
        </w:rPr>
      </w:pPr>
      <w:r>
        <w:rPr>
          <w:rFonts w:ascii="Times New Roman" w:cs="Times New Roman" w:eastAsia="Times New Roman" w:hAnsi="Times New Roman"/>
          <w:sz w:val="18"/>
          <w:szCs w:val="18"/>
          <w:color w:val="auto"/>
        </w:rPr>
        <w:t>We believe that our cash balance as of July 30, 2017,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Borders>
              <w:bottom w:val="single" w:sz="8" w:color="auto"/>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30, 2017</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July 31, 2016</w:t>
            </w:r>
          </w:p>
        </w:tc>
      </w:tr>
      <w:tr>
        <w:trPr>
          <w:trHeight w:val="250"/>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7"/>
              </w:rPr>
              <w:t>(12,168)</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center"/>
              <w:ind w:left="836"/>
              <w:spacing w:after="0"/>
              <w:rPr>
                <w:sz w:val="20"/>
                <w:szCs w:val="20"/>
                <w:color w:val="auto"/>
              </w:rPr>
            </w:pPr>
            <w:r>
              <w:rPr>
                <w:rFonts w:ascii="Times New Roman" w:cs="Times New Roman" w:eastAsia="Times New Roman" w:hAnsi="Times New Roman"/>
                <w:sz w:val="18"/>
                <w:szCs w:val="18"/>
                <w:color w:val="auto"/>
                <w:w w:val="97"/>
              </w:rPr>
              <w:t>(27,651)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(15,307)</w:t>
            </w: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rPr>
              <w:t>17,188</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960" w:type="dxa"/>
            <w:vAlign w:val="bottom"/>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7"/>
              </w:rPr>
              <w:t>(22,631)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89" w:lineRule="exact"/>
        <w:rPr>
          <w:sz w:val="20"/>
          <w:szCs w:val="20"/>
          <w:color w:val="auto"/>
        </w:rPr>
      </w:pPr>
    </w:p>
    <w:p>
      <w:pPr>
        <w:ind w:right="60" w:firstLine="428"/>
        <w:spacing w:after="0" w:line="313" w:lineRule="auto"/>
        <w:rPr>
          <w:sz w:val="20"/>
          <w:szCs w:val="20"/>
          <w:color w:val="auto"/>
        </w:rPr>
      </w:pPr>
      <w:r>
        <w:rPr>
          <w:rFonts w:ascii="Times New Roman" w:cs="Times New Roman" w:eastAsia="Times New Roman" w:hAnsi="Times New Roman"/>
          <w:sz w:val="17"/>
          <w:szCs w:val="17"/>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98" w:lineRule="exact"/>
        <w:rPr>
          <w:sz w:val="20"/>
          <w:szCs w:val="20"/>
          <w:color w:val="auto"/>
        </w:rPr>
      </w:pPr>
    </w:p>
    <w:p>
      <w:pPr>
        <w:ind w:right="20" w:firstLine="428"/>
        <w:spacing w:after="0" w:line="261" w:lineRule="auto"/>
        <w:rPr>
          <w:sz w:val="20"/>
          <w:szCs w:val="20"/>
          <w:color w:val="auto"/>
        </w:rPr>
      </w:pPr>
      <w:r>
        <w:rPr>
          <w:rFonts w:ascii="Times New Roman" w:cs="Times New Roman" w:eastAsia="Times New Roman" w:hAnsi="Times New Roman"/>
          <w:sz w:val="18"/>
          <w:szCs w:val="18"/>
          <w:color w:val="auto"/>
        </w:rPr>
        <w:t>While our cash flows from operations for the six months ended July 31, 2017 is negative, primarily driven by the seasonal nature of our business, we expect cash flows from operations for the full year fiscal 2017 to be positive from normal operating performance and seasonal reductions in working capital during the fourth quarter of our fiscal year, which is consistent with previous full fiscal years.</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six months ended July 30, 2017, net cash used in operating activities was $12.2 million, which consisted of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$4.8 million, non-cash depreciation and amortization of $3.3 million and stock based compensation of $0.6 million, offset by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in operating assets and liabilities of $20.4 million. The cash used in operating assets and liabilities of $20.4 million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$12.9 million increase in inventory, primarily due to sales increase and building up of inventory for the opening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stores during fiscal 2017 and our peak season, , $7.5 million decrease in accrued expenses and deferred rent obligations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 million decrease in income taxes payable primarily due to timing of payments, which was partially offset by an increase in trade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of $6.6 million.</w:t>
      </w:r>
    </w:p>
    <w:p>
      <w:pPr>
        <w:spacing w:after="0" w:line="166" w:lineRule="exact"/>
        <w:rPr>
          <w:sz w:val="20"/>
          <w:szCs w:val="20"/>
          <w:color w:val="auto"/>
        </w:rPr>
      </w:pPr>
    </w:p>
    <w:p>
      <w:pPr>
        <w:ind w:right="100" w:firstLine="428"/>
        <w:spacing w:after="0" w:line="256" w:lineRule="auto"/>
        <w:rPr>
          <w:sz w:val="20"/>
          <w:szCs w:val="20"/>
          <w:color w:val="auto"/>
        </w:rPr>
      </w:pPr>
      <w:r>
        <w:rPr>
          <w:rFonts w:ascii="Times New Roman" w:cs="Times New Roman" w:eastAsia="Times New Roman" w:hAnsi="Times New Roman"/>
          <w:sz w:val="18"/>
          <w:szCs w:val="18"/>
          <w:color w:val="auto"/>
        </w:rPr>
        <w:t>For the six months ended July 31, 2016, net cash provided operating activities was $1.1 million, which primarily consisted of net income of $7.0 million, non-cash depreciation and amortization of $2.0 million and stock based compensation of $0.6 million, offset by cash used in operating assets and liabilities of $8.3 million. The cash used in operating assets and liabilities of $8.3 million primarily consisted of $10.9 million increase in inventory, due to building up of inventory for our peak season, coupled with plans for opening of new retail stores in fiscal 2016, and a $2.8 million decrease in accrued expenses, which was partially offset by an increase of $5.6 in trade accounts payable primarily attributable to the timing.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2" w:lineRule="exact"/>
        <w:rPr>
          <w:sz w:val="20"/>
          <w:szCs w:val="20"/>
          <w:color w:val="auto"/>
        </w:rPr>
      </w:pPr>
    </w:p>
    <w:p>
      <w:pPr>
        <w:jc w:val="both"/>
        <w:ind w:right="120" w:firstLine="428"/>
        <w:spacing w:after="0" w:line="266" w:lineRule="auto"/>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new store openings, information technology and enhancements for our distribution and corporate facilities, coupled with changes in restricted cash, which is related to our retail store leasing agreements.</w:t>
      </w:r>
    </w:p>
    <w:p>
      <w:pPr>
        <w:spacing w:after="0" w:line="136" w:lineRule="exact"/>
        <w:rPr>
          <w:sz w:val="20"/>
          <w:szCs w:val="20"/>
          <w:color w:val="auto"/>
        </w:rPr>
      </w:pPr>
    </w:p>
    <w:p>
      <w:pPr>
        <w:ind w:right="20" w:firstLine="428"/>
        <w:spacing w:after="0" w:line="258" w:lineRule="auto"/>
        <w:rPr>
          <w:sz w:val="20"/>
          <w:szCs w:val="20"/>
          <w:color w:val="auto"/>
        </w:rPr>
      </w:pPr>
      <w:r>
        <w:rPr>
          <w:rFonts w:ascii="Times New Roman" w:cs="Times New Roman" w:eastAsia="Times New Roman" w:hAnsi="Times New Roman"/>
          <w:sz w:val="18"/>
          <w:szCs w:val="18"/>
          <w:color w:val="auto"/>
        </w:rPr>
        <w:t>For the six months ended July 30, 2017, net cash used in investing activities was $27.7 million and was primarily driven by capital expenditures of $20.1 million for the opening of seven new retail stores and investments in information technology, $6.5 million increase in other assets primarily related to funds advanced to the Company’s developer in connection with building our headquarters, see Note 11 “Subsequent Events,” of Notes to Condensed Consolidated Financial Statements included in this Quarterly Report on Form 10-Q and a change in restricted cash of $1.0 million.</w:t>
      </w:r>
    </w:p>
    <w:p>
      <w:pPr>
        <w:spacing w:after="0" w:line="143" w:lineRule="exact"/>
        <w:rPr>
          <w:sz w:val="20"/>
          <w:szCs w:val="20"/>
          <w:color w:val="auto"/>
        </w:rPr>
      </w:pPr>
    </w:p>
    <w:p>
      <w:pPr>
        <w:ind w:right="30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July 31, 2016, net cash used in investing activities was $15.3 million and was primarily driven by capital expenditures of $14.5 million for the expansion of our Belleville distribution center and additional new retail stores.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89"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entity, proceeds from finance lease obligations and capital contributions to Schlecht Retail Ventures LLC.</w:t>
      </w:r>
    </w:p>
    <w:p>
      <w:pPr>
        <w:spacing w:after="0" w:line="136" w:lineRule="exact"/>
        <w:rPr>
          <w:sz w:val="20"/>
          <w:szCs w:val="20"/>
          <w:color w:val="auto"/>
        </w:rPr>
      </w:pPr>
    </w:p>
    <w:p>
      <w:pPr>
        <w:ind w:right="220" w:firstLine="428"/>
        <w:spacing w:after="0" w:line="282" w:lineRule="auto"/>
        <w:rPr>
          <w:sz w:val="20"/>
          <w:szCs w:val="20"/>
          <w:color w:val="auto"/>
        </w:rPr>
      </w:pPr>
      <w:r>
        <w:rPr>
          <w:rFonts w:ascii="Times New Roman" w:cs="Times New Roman" w:eastAsia="Times New Roman" w:hAnsi="Times New Roman"/>
          <w:sz w:val="18"/>
          <w:szCs w:val="18"/>
          <w:color w:val="auto"/>
        </w:rPr>
        <w:t>For the six months ended July 30, 2017, net cash provided by financing activities was $17.2 million, primarily consisting of proceeds of $11.9 million, net from our revolving line of credit, $0.8 million from long-term debt, $2.3 million in change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bank overdraft, $1.3 million from our finance lease obligations in connection with our build-to-suit lease transactions and $0.8 million for capital contributions to SRV.</w:t>
      </w:r>
    </w:p>
    <w:p>
      <w:pPr>
        <w:spacing w:after="0" w:line="121" w:lineRule="exact"/>
        <w:rPr>
          <w:sz w:val="20"/>
          <w:szCs w:val="20"/>
          <w:color w:val="auto"/>
        </w:rPr>
      </w:pPr>
    </w:p>
    <w:p>
      <w:pPr>
        <w:jc w:val="both"/>
        <w:ind w:right="20" w:firstLine="428"/>
        <w:spacing w:after="0" w:line="266" w:lineRule="auto"/>
        <w:rPr>
          <w:sz w:val="20"/>
          <w:szCs w:val="20"/>
          <w:color w:val="auto"/>
        </w:rPr>
      </w:pPr>
      <w:r>
        <w:rPr>
          <w:rFonts w:ascii="Times New Roman" w:cs="Times New Roman" w:eastAsia="Times New Roman" w:hAnsi="Times New Roman"/>
          <w:sz w:val="18"/>
          <w:szCs w:val="18"/>
          <w:color w:val="auto"/>
        </w:rPr>
        <w:t>For the six months ended July 31, 2016, net cash used in financing activities was $0.3 million, primarily consisting of the final $0.2 million distributions to our pre-IPO shareholders due to the termination of our “S” corporation status and $0.1 million payments on long-term debt.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189" w:lineRule="exact"/>
        <w:rPr>
          <w:sz w:val="20"/>
          <w:szCs w:val="20"/>
          <w:color w:val="auto"/>
        </w:rPr>
      </w:pPr>
    </w:p>
    <w:p>
      <w:pPr>
        <w:ind w:firstLine="428"/>
        <w:spacing w:after="0" w:line="254" w:lineRule="auto"/>
        <w:rPr>
          <w:sz w:val="20"/>
          <w:szCs w:val="20"/>
          <w:color w:val="auto"/>
        </w:rPr>
      </w:pPr>
      <w:r>
        <w:rPr>
          <w:rFonts w:ascii="Times New Roman" w:cs="Times New Roman" w:eastAsia="Times New Roman" w:hAnsi="Times New Roman"/>
          <w:sz w:val="18"/>
          <w:szCs w:val="18"/>
          <w:color w:val="auto"/>
        </w:rPr>
        <w:t>The Amended and Restated Loan Agreement dated as of October 7, 2016 (the “Amended and Restated Agreement”) provides for borrowing availability of up to $40.0 million from October 7, 2016 through July 31, 2017, up to $50.0 million from August 1, 2017 through July 31, 2018 and up to $60.0 million from August 1, 2018 through July 31, 2019. The Amended and Restated Agreement matures on July 31, 2019, and bears interest, payable monthly, at a rate equal to the adjusted LIBOR rate, as defined in the Amended and Restated Agreement (effective rate of 2.3% at July 30, 2017). The Amended and Restated Agreement is secured by essentially all Company assets and requires that we maintain compliance with certain financial and non-financial covenants, including minimum tangible net worth and a minimum trailing twelve month EBITDA. In addition, the Amended and Restated Agreement does not contain borrowing base limits. As of July 30, 2017 and for the six months then ended, we were in compliance with all financial and non-financial covenants, and we expect to be in compliance with all financial and non-financial covenants for the remainder of fiscal 2017.</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260" w:firstLine="428"/>
        <w:spacing w:after="0" w:line="266" w:lineRule="auto"/>
        <w:rPr>
          <w:sz w:val="20"/>
          <w:szCs w:val="20"/>
          <w:color w:val="auto"/>
        </w:rPr>
      </w:pPr>
      <w:r>
        <w:rPr>
          <w:rFonts w:ascii="Times New Roman" w:cs="Times New Roman" w:eastAsia="Times New Roman" w:hAnsi="Times New Roman"/>
          <w:sz w:val="18"/>
          <w:szCs w:val="18"/>
          <w:color w:val="auto"/>
        </w:rPr>
        <w:t>Except as discussed in Note 11 “Subsequent Events,” of Notes to Condensed Consolidated Financial Statements included in this Quarterly Report on Form 10-Q, there have been no significant changes to our contractual obligations as described in our Annual Report on Form 10-K for the fiscal year ended January 29, 2017.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61" w:lineRule="exact"/>
        <w:rPr>
          <w:sz w:val="20"/>
          <w:szCs w:val="20"/>
          <w:color w:val="auto"/>
        </w:rPr>
      </w:pPr>
    </w:p>
    <w:p>
      <w:pPr>
        <w:ind w:right="60" w:firstLine="42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Annual Report on Form 10-K for the fiscal year ended January 29,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No. 2014-09, </w:t>
      </w:r>
      <w:r>
        <w:rPr>
          <w:rFonts w:ascii="Times New Roman" w:cs="Times New Roman" w:eastAsia="Times New Roman" w:hAnsi="Times New Roman"/>
          <w:sz w:val="18"/>
          <w:szCs w:val="18"/>
          <w:i w:val="1"/>
          <w:iCs w:val="1"/>
          <w:color w:val="auto"/>
        </w:rPr>
        <w:t>Revenue from Contracts with Customers (Topic</w:t>
      </w:r>
    </w:p>
    <w:p>
      <w:pPr>
        <w:spacing w:after="0" w:line="29"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(“ASU 2014-09”), which supersedes the revenue recognition requirements in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ASU</w:t>
      </w:r>
    </w:p>
    <w:p>
      <w:pPr>
        <w:spacing w:after="0" w:line="9" w:lineRule="exact"/>
        <w:rPr>
          <w:rFonts w:ascii="Times New Roman" w:cs="Times New Roman" w:eastAsia="Times New Roman" w:hAnsi="Times New Roman"/>
          <w:sz w:val="18"/>
          <w:szCs w:val="18"/>
          <w:i w:val="1"/>
          <w:iCs w:val="1"/>
          <w:color w:val="auto"/>
        </w:rPr>
      </w:pPr>
    </w:p>
    <w:p>
      <w:pPr>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reporting periods beginning after December 15, 2017. Accordingly, we will adopt ASU 2014-09 on January 29, 2018, the first day of our first quarter for the fiscal year ending February 3, 2019, our fiscal year 2018. We expect to adopt ASU 2014-09 retrospectively with the cumulative effect of initially applying the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update recognized at the date of the adoption along with additional disclosures. Our review is ongoing and we have not yet identified any material changes in the timing of revenue recognition. We continue to evaluate the new disclosure requirements of ASU 2014-09 on our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Simplifying the Measurement of Inventory</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July 2015, the FASB issued Accounting Standards Update No. 2015-11, </w:t>
      </w:r>
      <w:r>
        <w:rPr>
          <w:rFonts w:ascii="Times New Roman" w:cs="Times New Roman" w:eastAsia="Times New Roman" w:hAnsi="Times New Roman"/>
          <w:sz w:val="18"/>
          <w:szCs w:val="18"/>
          <w:i w:val="1"/>
          <w:iCs w:val="1"/>
          <w:color w:val="auto"/>
        </w:rPr>
        <w:t>Simplifying the Measurement of Inventory (Topic</w:t>
      </w:r>
    </w:p>
    <w:p>
      <w:pPr>
        <w:spacing w:after="0" w:line="29" w:lineRule="exact"/>
        <w:rPr>
          <w:sz w:val="20"/>
          <w:szCs w:val="20"/>
          <w:color w:val="auto"/>
        </w:rPr>
      </w:pPr>
    </w:p>
    <w:p>
      <w:pPr>
        <w:ind w:firstLine="8"/>
        <w:spacing w:after="0" w:line="252" w:lineRule="auto"/>
        <w:tabs>
          <w:tab w:leader="none" w:pos="37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We adopted ASU 2015-11 as of January 30, 2017, the first day of our fiscal year 2017 and there was no significant impact to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Deferred Taxes</w:t>
      </w:r>
    </w:p>
    <w:p>
      <w:pPr>
        <w:spacing w:after="0" w:line="187"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2015, the FASB issued Accounting Standards Update No. 2015-17, </w:t>
      </w:r>
      <w:r>
        <w:rPr>
          <w:rFonts w:ascii="Times New Roman" w:cs="Times New Roman" w:eastAsia="Times New Roman" w:hAnsi="Times New Roman"/>
          <w:sz w:val="18"/>
          <w:szCs w:val="18"/>
          <w:i w:val="1"/>
          <w:iCs w:val="1"/>
          <w:color w:val="auto"/>
        </w:rPr>
        <w:t>Balance Sheet Classification of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w:t>
      </w:r>
      <w:r>
        <w:rPr>
          <w:rFonts w:ascii="Times New Roman" w:cs="Times New Roman" w:eastAsia="Times New Roman" w:hAnsi="Times New Roman"/>
          <w:sz w:val="18"/>
          <w:szCs w:val="18"/>
          <w:color w:val="auto"/>
        </w:rPr>
        <w:t>(“ASU 2015-17”), which requires the classification of all deferred tax assets and liabilities as noncurrent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adopted ASU 2015-17 as of January 31, 2016 and have reported deferred tax assets and liabilities as noncurrent on the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We expect to early adopt ASU 2016-02 on January 29, 2018, the first day of our first quarter for the fiscal year ending February 3, 2019, our fiscal year 2018. We conduct our retail operations through leased stores and therefore, we expect the adoption of ASU 2016-02 to have a significant impact on our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Improvements to Employee Share-Based Payment Accounting</w:t>
      </w:r>
    </w:p>
    <w:p>
      <w:pPr>
        <w:spacing w:after="0" w:line="200" w:lineRule="exact"/>
        <w:rPr>
          <w:sz w:val="20"/>
          <w:szCs w:val="20"/>
          <w:color w:val="auto"/>
        </w:rPr>
      </w:pPr>
    </w:p>
    <w:p>
      <w:pPr>
        <w:ind w:right="40" w:firstLine="428"/>
        <w:spacing w:after="0" w:line="272" w:lineRule="auto"/>
        <w:rPr>
          <w:sz w:val="20"/>
          <w:szCs w:val="20"/>
          <w:color w:val="auto"/>
        </w:rPr>
      </w:pPr>
      <w:r>
        <w:rPr>
          <w:rFonts w:ascii="Times New Roman" w:cs="Times New Roman" w:eastAsia="Times New Roman" w:hAnsi="Times New Roman"/>
          <w:sz w:val="17"/>
          <w:szCs w:val="17"/>
          <w:color w:val="auto"/>
        </w:rPr>
        <w:t xml:space="preserve">In March 2016, the FASB issued Accounting Standards Update No. 2016-09,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(Topic 718): </w:t>
      </w:r>
      <w:r>
        <w:rPr>
          <w:rFonts w:ascii="Times New Roman" w:cs="Times New Roman" w:eastAsia="Times New Roman" w:hAnsi="Times New Roman"/>
          <w:sz w:val="17"/>
          <w:szCs w:val="17"/>
          <w:i w:val="1"/>
          <w:iCs w:val="1"/>
          <w:color w:val="auto"/>
        </w:rPr>
        <w:t>Improvements to Employee Share-Based Payment Accounting</w:t>
      </w:r>
      <w:r>
        <w:rPr>
          <w:rFonts w:ascii="Times New Roman" w:cs="Times New Roman" w:eastAsia="Times New Roman" w:hAnsi="Times New Roman"/>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adopted ASU 2016-09 as of May 1, 2016 and there was no significant impact to our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Cash Flows</w:t>
      </w:r>
    </w:p>
    <w:p>
      <w:pPr>
        <w:spacing w:after="0" w:line="187"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color w:val="auto"/>
        </w:rPr>
        <w:t xml:space="preserve">In November 2016, the FASB issued Accounting Standards Update No.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(Topic 230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(“ASU 2016-18”), which requires companies to include cash and cash equivalents that have restrictions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withdrawal or use in total cash and cash equivalents on the statement of cash flows. ASU 2016-18 is effective for public entities with fiscal years beginning after December 15, 2017, and interim periods within those years, with early adoption permitted. We expect to adopt ASU 2016-18 on January 29, 2018, the first day of our first quarter for the fiscal year ending February 3, 2019, our fiscal year 2018. We are evaluating the level of impact of adopting ASU 2016-18 will have on our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2016 Form 10-K. See Note 2 “Debt and Line of Credit,” of Notes to Condensed Consolidated Financial Statements included in Part 1, Item 1, of this Form 10-Q, for disclosure on our interest rate related to our line of credit.</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40" w:firstLine="428"/>
        <w:spacing w:after="0" w:line="25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right="200" w:firstLine="42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180" w:firstLine="428"/>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Annual Report on Form 10-K for the fiscal year ended January 29, 2017. There have been no material changes to our risk factors as previously disclosed in our Annual Report on Form 10-K.</w:t>
      </w:r>
    </w:p>
    <w:p>
      <w:pPr>
        <w:spacing w:after="0" w:line="200" w:lineRule="exact"/>
        <w:rPr>
          <w:sz w:val="20"/>
          <w:szCs w:val="20"/>
          <w:color w:val="auto"/>
        </w:rPr>
      </w:pPr>
    </w:p>
    <w:p>
      <w:pPr>
        <w:spacing w:after="0" w:line="3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July 30, 2017, which were not registered under the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refer to the Exhibit Index.</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80"/>
          </w:cols>
          <w:pgMar w:left="1140" w:top="297" w:right="12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2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September 6, 2017</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(Registrant)</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297" w:right="1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40" w:type="dxa"/>
            <w:vAlign w:val="bottom"/>
            <w:gridSpan w:val="9"/>
          </w:tcPr>
          <w:p>
            <w:pPr>
              <w:ind w:left="7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810"/>
        </w:trPr>
        <w:tc>
          <w:tcPr>
            <w:tcW w:w="1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120" w:type="dxa"/>
            <w:vAlign w:val="bottom"/>
            <w:gridSpan w:val="11"/>
            <w:vMerge w:val="restart"/>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Letter Agreement Dated May 30, 2017 by and between Mark M. DeOrio and Duluth Holdings Inc., incorporated</w:t>
              </w:r>
            </w:hyperlink>
          </w:p>
        </w:tc>
        <w:tc>
          <w:tcPr>
            <w:tcW w:w="28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10.1+</w:t>
            </w:r>
          </w:p>
        </w:tc>
        <w:tc>
          <w:tcPr>
            <w:tcW w:w="340" w:type="dxa"/>
            <w:vAlign w:val="bottom"/>
          </w:tcPr>
          <w:p>
            <w:pPr>
              <w:spacing w:after="0"/>
              <w:rPr>
                <w:sz w:val="24"/>
                <w:szCs w:val="24"/>
                <w:color w:val="auto"/>
              </w:rPr>
            </w:pPr>
          </w:p>
        </w:tc>
        <w:tc>
          <w:tcPr>
            <w:tcW w:w="8120" w:type="dxa"/>
            <w:vAlign w:val="bottom"/>
            <w:tcBorders>
              <w:bottom w:val="single" w:sz="8" w:color="0000EE"/>
            </w:tcBorders>
            <w:gridSpan w:val="11"/>
            <w:vMerge w:val="continue"/>
          </w:tcPr>
          <w:p>
            <w:pPr>
              <w:spacing w:after="0"/>
              <w:rPr>
                <w:sz w:val="24"/>
                <w:szCs w:val="24"/>
                <w:color w:val="auto"/>
              </w:rPr>
            </w:pPr>
          </w:p>
        </w:tc>
        <w:tc>
          <w:tcPr>
            <w:tcW w:w="2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0" w:type="dxa"/>
            <w:vAlign w:val="bottom"/>
            <w:gridSpan w:val="1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by reference to Exhibit 10.1 of the Company’s Current Report on Form 8-K dated May 30, 2017</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10.2+</w:t>
            </w:r>
          </w:p>
        </w:tc>
        <w:tc>
          <w:tcPr>
            <w:tcW w:w="340" w:type="dxa"/>
            <w:vAlign w:val="bottom"/>
          </w:tcPr>
          <w:p>
            <w:pPr>
              <w:spacing w:after="0"/>
              <w:rPr>
                <w:sz w:val="21"/>
                <w:szCs w:val="21"/>
                <w:color w:val="auto"/>
              </w:rPr>
            </w:pPr>
          </w:p>
        </w:tc>
        <w:tc>
          <w:tcPr>
            <w:tcW w:w="8400" w:type="dxa"/>
            <w:vAlign w:val="bottom"/>
            <w:gridSpan w:val="14"/>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Offer Letter Dated July 14, 2017, incorporated by reference to Exhibit 10.1 of the Company’s Current Report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8-K dated July 24, 2017</w:t>
              </w:r>
              <w:r>
                <w:rPr>
                  <w:rFonts w:ascii="Times New Roman" w:cs="Times New Roman" w:eastAsia="Times New Roman" w:hAnsi="Times New Roman"/>
                  <w:sz w:val="18"/>
                  <w:szCs w:val="18"/>
                  <w:color w:val="000000"/>
                </w:rPr>
                <w:t>.</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10.3+</w:t>
            </w:r>
          </w:p>
        </w:tc>
        <w:tc>
          <w:tcPr>
            <w:tcW w:w="340" w:type="dxa"/>
            <w:vAlign w:val="bottom"/>
          </w:tcPr>
          <w:p>
            <w:pPr>
              <w:spacing w:after="0"/>
              <w:rPr>
                <w:sz w:val="21"/>
                <w:szCs w:val="21"/>
                <w:color w:val="auto"/>
              </w:rPr>
            </w:pPr>
          </w:p>
        </w:tc>
        <w:tc>
          <w:tcPr>
            <w:tcW w:w="81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of Restrictive Covenant Agreement, incorporated by reference to Exhibit 10.2 of the Company’s Form 8-K</w:t>
              </w:r>
            </w:hyperlink>
          </w:p>
        </w:tc>
        <w:tc>
          <w:tcPr>
            <w:tcW w:w="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0" w:type="dxa"/>
            <w:vAlign w:val="bottom"/>
            <w:gridSpan w:val="1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dated July 24, 2017</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10.4+</w:t>
            </w:r>
          </w:p>
        </w:tc>
        <w:tc>
          <w:tcPr>
            <w:tcW w:w="340" w:type="dxa"/>
            <w:vAlign w:val="bottom"/>
          </w:tcPr>
          <w:p>
            <w:pPr>
              <w:spacing w:after="0"/>
              <w:rPr>
                <w:sz w:val="21"/>
                <w:szCs w:val="21"/>
                <w:color w:val="auto"/>
              </w:rPr>
            </w:pPr>
          </w:p>
        </w:tc>
        <w:tc>
          <w:tcPr>
            <w:tcW w:w="8400" w:type="dxa"/>
            <w:vAlign w:val="bottom"/>
            <w:gridSpan w:val="1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Summary of Outside Director Compensation Program</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31.1</w:t>
            </w:r>
          </w:p>
        </w:tc>
        <w:tc>
          <w:tcPr>
            <w:tcW w:w="340" w:type="dxa"/>
            <w:vAlign w:val="bottom"/>
          </w:tcPr>
          <w:p>
            <w:pPr>
              <w:spacing w:after="0"/>
              <w:rPr>
                <w:sz w:val="24"/>
                <w:szCs w:val="24"/>
                <w:color w:val="auto"/>
              </w:rPr>
            </w:pPr>
          </w:p>
        </w:tc>
        <w:tc>
          <w:tcPr>
            <w:tcW w:w="8400" w:type="dxa"/>
            <w:vAlign w:val="bottom"/>
            <w:gridSpan w:val="14"/>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0" w:type="dxa"/>
            <w:vAlign w:val="bottom"/>
            <w:tcBorders>
              <w:top w:val="single" w:sz="8" w:color="0000EE"/>
            </w:tcBorders>
            <w:gridSpan w:val="13"/>
          </w:tcPr>
          <w:p>
            <w:pPr>
              <w:spacing w:after="0" w:line="183" w:lineRule="exact"/>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amended.</w:t>
              </w:r>
              <w:r>
                <w:rPr>
                  <w:rFonts w:ascii="Times New Roman" w:cs="Times New Roman" w:eastAsia="Times New Roman" w:hAnsi="Times New Roman"/>
                  <w:sz w:val="16"/>
                  <w:szCs w:val="16"/>
                  <w:color w:val="000000"/>
                </w:rPr>
                <w: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31.2</w:t>
            </w:r>
          </w:p>
        </w:tc>
        <w:tc>
          <w:tcPr>
            <w:tcW w:w="340" w:type="dxa"/>
            <w:vAlign w:val="bottom"/>
          </w:tcPr>
          <w:p>
            <w:pPr>
              <w:spacing w:after="0"/>
              <w:rPr>
                <w:sz w:val="22"/>
                <w:szCs w:val="22"/>
                <w:color w:val="auto"/>
              </w:rPr>
            </w:pPr>
          </w:p>
        </w:tc>
        <w:tc>
          <w:tcPr>
            <w:tcW w:w="812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Certification of Chief Financial Officer pursuant to Rule 13a-14(a) and Rule 15d-14(a) of the Securities and Exchange Act of</w:t>
              </w:r>
            </w:hyperlink>
          </w:p>
        </w:tc>
        <w:tc>
          <w:tcPr>
            <w:tcW w:w="2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4"/>
          </w:tcPr>
          <w:p>
            <w:pPr>
              <w:spacing w:after="0" w:line="183" w:lineRule="exact"/>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1934, as amended.</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32.1</w:t>
            </w:r>
          </w:p>
        </w:tc>
        <w:tc>
          <w:tcPr>
            <w:tcW w:w="340" w:type="dxa"/>
            <w:vAlign w:val="bottom"/>
          </w:tcPr>
          <w:p>
            <w:pPr>
              <w:spacing w:after="0"/>
              <w:rPr>
                <w:sz w:val="21"/>
                <w:szCs w:val="21"/>
                <w:color w:val="auto"/>
              </w:rPr>
            </w:pPr>
          </w:p>
        </w:tc>
        <w:tc>
          <w:tcPr>
            <w:tcW w:w="7680" w:type="dxa"/>
            <w:vAlign w:val="bottom"/>
            <w:tcBorders>
              <w:bottom w:val="single" w:sz="8" w:color="0000EE"/>
            </w:tcBorders>
            <w:gridSpan w:val="9"/>
          </w:tcPr>
          <w:p>
            <w:pPr>
              <w:spacing w:after="0"/>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Certification of Chief Executive Officer pursuant to 18 U.S.C. Section 1350, as adopted pursuant to Section 906 of the</w:t>
              </w:r>
            </w:hyperlink>
          </w:p>
        </w:tc>
        <w:tc>
          <w:tcPr>
            <w:tcW w:w="7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4"/>
          </w:tcPr>
          <w:p>
            <w:pPr>
              <w:spacing w:after="0" w:line="183" w:lineRule="exact"/>
              <w:rPr>
                <w:rFonts w:ascii="Times New Roman" w:cs="Times New Roman" w:eastAsia="Times New Roman" w:hAnsi="Times New Roman"/>
                <w:sz w:val="16"/>
                <w:szCs w:val="16"/>
                <w:color w:val="0000EE"/>
              </w:rPr>
            </w:pPr>
            <w:hyperlink w:anchor="page32">
              <w:r>
                <w:rPr>
                  <w:rFonts w:ascii="Times New Roman" w:cs="Times New Roman" w:eastAsia="Times New Roman" w:hAnsi="Times New Roman"/>
                  <w:sz w:val="16"/>
                  <w:szCs w:val="16"/>
                  <w:color w:val="0000EE"/>
                </w:rPr>
                <w:t>Sarbanes-Oxley Act of 2002.</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32.2</w:t>
            </w:r>
          </w:p>
        </w:tc>
        <w:tc>
          <w:tcPr>
            <w:tcW w:w="340" w:type="dxa"/>
            <w:vAlign w:val="bottom"/>
          </w:tcPr>
          <w:p>
            <w:pPr>
              <w:spacing w:after="0"/>
              <w:rPr>
                <w:sz w:val="17"/>
                <w:szCs w:val="17"/>
                <w:color w:val="auto"/>
              </w:rPr>
            </w:pPr>
          </w:p>
        </w:tc>
        <w:tc>
          <w:tcPr>
            <w:tcW w:w="764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Certification of Chief Financial Officer pursuant to 18 U.S.C. Section 1350, as adopted pursuant to Section 906 of the</w:t>
              </w:r>
            </w:hyperlink>
          </w:p>
        </w:tc>
        <w:tc>
          <w:tcPr>
            <w:tcW w:w="7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0" w:type="dxa"/>
            <w:vAlign w:val="bottom"/>
            <w:gridSpan w:val="14"/>
          </w:tcPr>
          <w:p>
            <w:pPr>
              <w:spacing w:after="0" w:line="183" w:lineRule="exact"/>
              <w:rPr>
                <w:rFonts w:ascii="Times New Roman" w:cs="Times New Roman" w:eastAsia="Times New Roman" w:hAnsi="Times New Roman"/>
                <w:sz w:val="16"/>
                <w:szCs w:val="16"/>
                <w:color w:val="0000EE"/>
              </w:rPr>
            </w:pPr>
            <w:hyperlink w:anchor="page33">
              <w:r>
                <w:rPr>
                  <w:rFonts w:ascii="Times New Roman" w:cs="Times New Roman" w:eastAsia="Times New Roman" w:hAnsi="Times New Roman"/>
                  <w:sz w:val="16"/>
                  <w:szCs w:val="16"/>
                  <w:color w:val="0000EE"/>
                </w:rPr>
                <w:t>Sarbanes-Oxley Act of 2002.</w:t>
              </w:r>
              <w:r>
                <w:rPr>
                  <w:rFonts w:ascii="Times New Roman" w:cs="Times New Roman" w:eastAsia="Times New Roman" w:hAnsi="Times New Roman"/>
                  <w:sz w:val="16"/>
                  <w:szCs w:val="16"/>
                  <w:color w:val="000000"/>
                </w:rPr>
                <w:t>*</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84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84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84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84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84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84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480" w:hanging="1355"/>
        <w:spacing w:after="0"/>
        <w:tabs>
          <w:tab w:leader="none" w:pos="14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compensation plan or arrangement.</w:t>
      </w:r>
    </w:p>
    <w:p>
      <w:pPr>
        <w:spacing w:after="0" w:line="235" w:lineRule="exact"/>
        <w:rPr>
          <w:sz w:val="20"/>
          <w:szCs w:val="20"/>
          <w:color w:val="auto"/>
        </w:rPr>
      </w:pPr>
    </w:p>
    <w:p>
      <w:pPr>
        <w:ind w:left="1480" w:hanging="1355"/>
        <w:spacing w:after="0"/>
        <w:tabs>
          <w:tab w:leader="none" w:pos="1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35" w:lineRule="exact"/>
        <w:rPr>
          <w:sz w:val="20"/>
          <w:szCs w:val="20"/>
          <w:color w:val="auto"/>
        </w:rPr>
      </w:pPr>
    </w:p>
    <w:p>
      <w:pPr>
        <w:ind w:left="1480" w:right="320" w:hanging="1355"/>
        <w:spacing w:after="0" w:line="298" w:lineRule="auto"/>
        <w:tabs>
          <w:tab w:leader="none" w:pos="14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210820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97" w:right="1139" w:bottom="1440" w:gutter="0" w:footer="0" w:header="0"/>
        </w:sectPr>
      </w:pPr>
    </w:p>
    <w:bookmarkStart w:id="28" w:name="page29"/>
    <w:bookmarkEnd w:id="28"/>
    <w:p>
      <w:pPr>
        <w:jc w:val="right"/>
        <w:ind w:right="99"/>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Summary of Outside Director Compensation Program</w:t>
      </w:r>
    </w:p>
    <w:p>
      <w:pPr>
        <w:spacing w:after="0" w:line="200" w:lineRule="exact"/>
        <w:rPr>
          <w:sz w:val="20"/>
          <w:szCs w:val="20"/>
          <w:color w:val="auto"/>
        </w:rPr>
      </w:pP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Annual Retainers</w:t>
            </w:r>
          </w:p>
        </w:tc>
        <w:tc>
          <w:tcPr>
            <w:tcW w:w="2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389"/>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$40,000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7"/>
              </w:rPr>
              <w:t>Paid quarterly at beginning of</w:t>
            </w:r>
          </w:p>
        </w:tc>
      </w:tr>
      <w:tr>
        <w:trPr>
          <w:trHeight w:val="258"/>
        </w:trPr>
        <w:tc>
          <w:tcPr>
            <w:tcW w:w="15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quarter</w:t>
            </w:r>
          </w:p>
        </w:tc>
      </w:tr>
      <w:tr>
        <w:trPr>
          <w:trHeight w:val="432"/>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Chair of Audit Committee</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+$15,000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432"/>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Chair of Compensation Committee</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390"/>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Chair of Nominating and Governance</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+$7,500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258"/>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Committee</w:t>
            </w:r>
          </w:p>
        </w:tc>
        <w:tc>
          <w:tcPr>
            <w:tcW w:w="142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432"/>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Non-chair Audit Committee member</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432"/>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Non-chair Compensation Committee member</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390"/>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Non-chair Nominating and Governance</w:t>
            </w:r>
          </w:p>
        </w:tc>
        <w:tc>
          <w:tcPr>
            <w:tcW w:w="1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+$4,000</w:t>
            </w:r>
          </w:p>
        </w:tc>
        <w:tc>
          <w:tcPr>
            <w:tcW w:w="2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Paid quarterly</w:t>
            </w:r>
          </w:p>
        </w:tc>
      </w:tr>
      <w:tr>
        <w:trPr>
          <w:trHeight w:val="258"/>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Committee member</w:t>
            </w:r>
          </w:p>
        </w:tc>
        <w:tc>
          <w:tcPr>
            <w:tcW w:w="1420" w:type="dxa"/>
            <w:vAlign w:val="bottom"/>
          </w:tcPr>
          <w:p>
            <w:pPr>
              <w:spacing w:after="0"/>
              <w:rPr>
                <w:sz w:val="22"/>
                <w:szCs w:val="22"/>
                <w:color w:val="auto"/>
              </w:rPr>
            </w:pPr>
          </w:p>
        </w:tc>
        <w:tc>
          <w:tcPr>
            <w:tcW w:w="2900" w:type="dxa"/>
            <w:vAlign w:val="bottom"/>
          </w:tcPr>
          <w:p>
            <w:pPr>
              <w:spacing w:after="0"/>
              <w:rPr>
                <w:sz w:val="22"/>
                <w:szCs w:val="22"/>
                <w:color w:val="auto"/>
              </w:rPr>
            </w:pPr>
          </w:p>
        </w:tc>
      </w:tr>
    </w:tbl>
    <w:p>
      <w:pPr>
        <w:spacing w:after="0" w:line="3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Note: All travel expenses paid based on voucher.</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STOCK</w:t>
            </w:r>
          </w:p>
        </w:tc>
        <w:tc>
          <w:tcPr>
            <w:tcW w:w="1000" w:type="dxa"/>
            <w:vAlign w:val="bottom"/>
          </w:tcPr>
          <w:p>
            <w:pPr>
              <w:spacing w:after="0"/>
              <w:rPr>
                <w:sz w:val="19"/>
                <w:szCs w:val="19"/>
                <w:color w:val="auto"/>
              </w:rPr>
            </w:pPr>
          </w:p>
        </w:tc>
        <w:tc>
          <w:tcPr>
            <w:tcW w:w="6680" w:type="dxa"/>
            <w:vAlign w:val="bottom"/>
          </w:tcPr>
          <w:p>
            <w:pPr>
              <w:ind w:left="880"/>
              <w:spacing w:after="0"/>
              <w:rPr>
                <w:sz w:val="20"/>
                <w:szCs w:val="20"/>
                <w:color w:val="auto"/>
              </w:rPr>
            </w:pPr>
            <w:r>
              <w:rPr>
                <w:rFonts w:ascii="Times New Roman" w:cs="Times New Roman" w:eastAsia="Times New Roman" w:hAnsi="Times New Roman"/>
                <w:sz w:val="20"/>
                <w:szCs w:val="20"/>
                <w:color w:val="auto"/>
                <w:w w:val="98"/>
              </w:rPr>
              <w:t>$40,000/year; each grant subject to one year vesting; stock compensation</w:t>
            </w:r>
          </w:p>
        </w:tc>
      </w:tr>
      <w:tr>
        <w:trPr>
          <w:trHeight w:val="196"/>
        </w:trPr>
        <w:tc>
          <w:tcPr>
            <w:tcW w:w="17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20"/>
                <w:szCs w:val="20"/>
                <w:b w:val="1"/>
                <w:bCs w:val="1"/>
                <w:color w:val="auto"/>
                <w:w w:val="97"/>
              </w:rPr>
              <w:t>COMPENSATION:</w:t>
            </w:r>
          </w:p>
        </w:tc>
        <w:tc>
          <w:tcPr>
            <w:tcW w:w="6680" w:type="dxa"/>
            <w:vAlign w:val="bottom"/>
          </w:tcPr>
          <w:p>
            <w:pPr>
              <w:ind w:left="880"/>
              <w:spacing w:after="0" w:line="196" w:lineRule="exact"/>
              <w:rPr>
                <w:sz w:val="20"/>
                <w:szCs w:val="20"/>
                <w:color w:val="auto"/>
              </w:rPr>
            </w:pPr>
            <w:r>
              <w:rPr>
                <w:rFonts w:ascii="Times New Roman" w:cs="Times New Roman" w:eastAsia="Times New Roman" w:hAnsi="Times New Roman"/>
                <w:sz w:val="20"/>
                <w:szCs w:val="20"/>
                <w:color w:val="auto"/>
              </w:rPr>
              <w:t>granted in May of each year.</w:t>
            </w:r>
          </w:p>
        </w:tc>
      </w:tr>
    </w:tbl>
    <w:p>
      <w:pPr>
        <w:spacing w:after="0" w:line="382" w:lineRule="exact"/>
        <w:rPr>
          <w:sz w:val="20"/>
          <w:szCs w:val="20"/>
          <w:color w:val="auto"/>
        </w:rPr>
      </w:pPr>
    </w:p>
    <w:p>
      <w:pPr>
        <w:ind w:left="100" w:right="479"/>
        <w:spacing w:after="0" w:line="255" w:lineRule="auto"/>
        <w:rPr>
          <w:sz w:val="20"/>
          <w:szCs w:val="20"/>
          <w:color w:val="auto"/>
        </w:rPr>
      </w:pPr>
      <w:r>
        <w:rPr>
          <w:rFonts w:ascii="Times New Roman" w:cs="Times New Roman" w:eastAsia="Times New Roman" w:hAnsi="Times New Roman"/>
          <w:sz w:val="20"/>
          <w:szCs w:val="20"/>
          <w:color w:val="auto"/>
        </w:rPr>
        <w:t>Note: For subsequent new Board members who join Board mid-year, cash and stock compensation is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102870</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120" w:hanging="323"/>
        <w:spacing w:after="0" w:line="289" w:lineRule="auto"/>
        <w:tabs>
          <w:tab w:leader="none" w:pos="102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980" w:right="300" w:hanging="323"/>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1"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2017</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Stephanie L. Pugliese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660" w:right="32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0" w:hanging="323"/>
        <w:spacing w:after="0" w:line="261"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120" w:hanging="323"/>
        <w:spacing w:after="0" w:line="289" w:lineRule="auto"/>
        <w:tabs>
          <w:tab w:leader="none" w:pos="102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6" w:lineRule="exact"/>
        <w:rPr>
          <w:rFonts w:ascii="Times New Roman" w:cs="Times New Roman" w:eastAsia="Times New Roman" w:hAnsi="Times New Roman"/>
          <w:sz w:val="17"/>
          <w:szCs w:val="17"/>
          <w:color w:val="auto"/>
        </w:rPr>
      </w:pPr>
    </w:p>
    <w:p>
      <w:pPr>
        <w:ind w:left="980" w:right="300" w:hanging="323"/>
        <w:spacing w:after="0" w:line="266"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00" w:hanging="323"/>
        <w:spacing w:after="0" w:line="266" w:lineRule="auto"/>
        <w:tabs>
          <w:tab w:leader="none" w:pos="10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8"/>
          <w:szCs w:val="18"/>
          <w:color w:val="auto"/>
        </w:rPr>
      </w:pPr>
    </w:p>
    <w:p>
      <w:pPr>
        <w:ind w:left="980" w:right="460" w:hanging="323"/>
        <w:spacing w:after="0" w:line="266" w:lineRule="auto"/>
        <w:tabs>
          <w:tab w:leader="none" w:pos="101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240" w:hanging="323"/>
        <w:spacing w:after="0" w:line="282" w:lineRule="auto"/>
        <w:tabs>
          <w:tab w:leader="none" w:pos="102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6, 2017</w:t>
      </w:r>
    </w:p>
    <w:p>
      <w:pPr>
        <w:spacing w:after="0" w:line="3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30, 2017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5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Stephanie L. Pugliese</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6, 2017</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17" w:right="11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July 30, 2017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180" w:hanging="323"/>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220" w:hanging="323"/>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31"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color w:val="auto"/>
        </w:rPr>
        <w:t>September 6, 2017</w:t>
      </w:r>
    </w:p>
    <w:p>
      <w:pPr>
        <w:spacing w:after="0" w:line="382" w:lineRule="exact"/>
        <w:rPr>
          <w:sz w:val="20"/>
          <w:szCs w:val="20"/>
          <w:color w:val="auto"/>
        </w:rPr>
      </w:pPr>
    </w:p>
    <w:p>
      <w:pPr>
        <w:ind w:right="80" w:firstLine="432"/>
        <w:spacing w:after="0" w:line="23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613981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1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decimal"/>
      <w:start w:val="330"/>
    </w:lvl>
  </w:abstractNum>
  <w:abstractNum w:abstractNumId="6">
    <w:nsid w:val="140E0F76"/>
    <w:multiLevelType w:val="hybridMultilevel"/>
    <w:lvl w:ilvl="0">
      <w:lvlJc w:val="left"/>
      <w:lvlText w:val="%1)"/>
      <w:numFmt w:val="decimal"/>
      <w:start w:val="606"/>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606"/>
    </w:lvl>
  </w:abstractNum>
  <w:abstractNum w:abstractNumId="10">
    <w:nsid w:val="7FDCC233"/>
    <w:multiLevelType w:val="hybridMultilevel"/>
    <w:lvl w:ilvl="0">
      <w:lvlJc w:val="left"/>
      <w:lvlText w:val="%1)"/>
      <w:numFmt w:val="decimal"/>
      <w:start w:val="330"/>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38" Type="http://schemas.openxmlformats.org/officeDocument/2006/relationships/hyperlink" Target="http://www.sec.gov/Archives/edgar/data/1649744/000119312517190276/d514270dex101.htm" TargetMode="External"/><Relationship Id="rId39" Type="http://schemas.openxmlformats.org/officeDocument/2006/relationships/hyperlink" Target="http://www.sec.gov/Archives/edgar/data/1649744/000089271217000564/exhibit101.htm" TargetMode="External"/><Relationship Id="rId40" Type="http://schemas.openxmlformats.org/officeDocument/2006/relationships/hyperlink" Target="http://www.sec.gov/Archives/edgar/data/1649744/000089271217000564/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2019-12-29T04:57:13Z</dcterms:created>
  <dcterms:modified xsi:type="dcterms:W3CDTF">2019-12-29T04:57:13Z</dcterms:modified>
</cp:coreProperties>
</file>