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28" w:lineRule="auto"/>
        <w:rPr>
          <w:sz w:val="20"/>
          <w:szCs w:val="20"/>
          <w:color w:val="auto"/>
        </w:rPr>
      </w:pPr>
      <w:r>
        <w:rPr>
          <w:rFonts w:ascii="Arial" w:cs="Arial" w:eastAsia="Arial" w:hAnsi="Arial"/>
          <w:sz w:val="22"/>
          <w:szCs w:val="22"/>
          <w:b w:val="1"/>
          <w:bCs w:val="1"/>
          <w:color w:val="auto"/>
        </w:rPr>
        <w:t>Washington, D.C. 20549</w:t>
      </w:r>
    </w:p>
    <w:p>
      <w:pPr>
        <w:ind w:left="334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1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820" w:right="460" w:hanging="695"/>
        <w:spacing w:after="0" w:line="256" w:lineRule="auto"/>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920" w:right="360" w:hanging="795"/>
        <w:spacing w:after="0" w:line="256"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5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jc w:val="center"/>
        <w:ind w:right="-1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6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6"/>
              </w:rPr>
              <w:t>Wisconsin</w:t>
            </w:r>
          </w:p>
        </w:tc>
        <w:tc>
          <w:tcPr>
            <w:tcW w:w="288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3820" w:type="dxa"/>
            <w:vAlign w:val="bottom"/>
          </w:tcPr>
          <w:p>
            <w:pPr>
              <w:jc w:val="center"/>
              <w:ind w:right="137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jc w:val="center"/>
              <w:ind w:left="13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1378"/>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91"/>
              </w:rPr>
              <w:t>170 Countryside Drive</w:t>
            </w:r>
          </w:p>
        </w:tc>
        <w:tc>
          <w:tcPr>
            <w:tcW w:w="2880" w:type="dxa"/>
            <w:vAlign w:val="bottom"/>
          </w:tcPr>
          <w:p>
            <w:pPr>
              <w:spacing w:after="0"/>
              <w:rPr>
                <w:sz w:val="24"/>
                <w:szCs w:val="24"/>
                <w:color w:val="auto"/>
              </w:rPr>
            </w:pPr>
          </w:p>
        </w:tc>
      </w:tr>
      <w:tr>
        <w:trPr>
          <w:trHeight w:val="216"/>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9"/>
              </w:rPr>
              <w:t>P.O. Box 409</w:t>
            </w:r>
          </w:p>
        </w:tc>
        <w:tc>
          <w:tcPr>
            <w:tcW w:w="2880" w:type="dxa"/>
            <w:vAlign w:val="bottom"/>
          </w:tcPr>
          <w:p>
            <w:pPr>
              <w:jc w:val="right"/>
              <w:ind w:right="401"/>
              <w:spacing w:after="0"/>
              <w:rPr>
                <w:sz w:val="20"/>
                <w:szCs w:val="20"/>
                <w:color w:val="auto"/>
              </w:rPr>
            </w:pPr>
            <w:r>
              <w:rPr>
                <w:rFonts w:ascii="Arial" w:cs="Arial" w:eastAsia="Arial" w:hAnsi="Arial"/>
                <w:sz w:val="18"/>
                <w:szCs w:val="18"/>
                <w:b w:val="1"/>
                <w:bCs w:val="1"/>
                <w:color w:val="auto"/>
              </w:rPr>
              <w:t>53508</w:t>
            </w:r>
          </w:p>
        </w:tc>
      </w:tr>
      <w:tr>
        <w:trPr>
          <w:trHeight w:val="212"/>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8"/>
              </w:rPr>
              <w:t>Belleville, Wisconsin</w:t>
            </w:r>
          </w:p>
        </w:tc>
        <w:tc>
          <w:tcPr>
            <w:tcW w:w="2880" w:type="dxa"/>
            <w:vAlign w:val="bottom"/>
          </w:tcPr>
          <w:p>
            <w:pPr>
              <w:spacing w:after="0"/>
              <w:rPr>
                <w:sz w:val="18"/>
                <w:szCs w:val="18"/>
                <w:color w:val="auto"/>
              </w:rPr>
            </w:pPr>
          </w:p>
        </w:tc>
      </w:tr>
      <w:tr>
        <w:trPr>
          <w:trHeight w:val="186"/>
        </w:trPr>
        <w:tc>
          <w:tcPr>
            <w:tcW w:w="3820" w:type="dxa"/>
            <w:vAlign w:val="bottom"/>
          </w:tcPr>
          <w:p>
            <w:pPr>
              <w:jc w:val="center"/>
              <w:ind w:right="1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r>
    </w:tbl>
    <w:p>
      <w:pPr>
        <w:spacing w:after="0" w:line="219"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(608) 424-1544</w:t>
      </w:r>
    </w:p>
    <w:p>
      <w:pPr>
        <w:spacing w:after="0" w:line="4"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54"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_________________________________________</w:t>
      </w:r>
    </w:p>
    <w:p>
      <w:pPr>
        <w:spacing w:after="0" w:line="10" w:lineRule="exact"/>
        <w:rPr>
          <w:sz w:val="24"/>
          <w:szCs w:val="24"/>
          <w:color w:val="auto"/>
        </w:rPr>
      </w:pPr>
    </w:p>
    <w:p>
      <w:pPr>
        <w:ind w:right="100"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18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9620"/>
          </w:cols>
          <w:pgMar w:left="1140" w:top="215" w:right="1139" w:bottom="1440" w:gutter="0" w:footer="0" w:header="0"/>
        </w:sectPr>
      </w:pPr>
    </w:p>
    <w:p>
      <w:pPr>
        <w:spacing w:after="0" w:line="184" w:lineRule="exact"/>
        <w:rPr>
          <w:sz w:val="24"/>
          <w:szCs w:val="24"/>
          <w:color w:val="auto"/>
        </w:rPr>
      </w:pPr>
    </w:p>
    <w:p>
      <w:pPr>
        <w:ind w:left="120" w:right="2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1"/>
          <w:szCs w:val="11"/>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0" w:lineRule="exact"/>
        <w:rPr>
          <w:sz w:val="24"/>
          <w:szCs w:val="24"/>
          <w:color w:val="auto"/>
        </w:rPr>
      </w:pPr>
    </w:p>
    <w:p>
      <w:pPr>
        <w:sectPr>
          <w:pgSz w:w="11900" w:h="16838" w:orient="portrait"/>
          <w:cols w:equalWidth="0" w:num="4">
            <w:col w:w="1600" w:space="720"/>
            <w:col w:w="2440" w:space="360"/>
            <w:col w:w="1800" w:space="720"/>
            <w:col w:w="1980"/>
          </w:cols>
          <w:pgMar w:left="1140" w:top="215" w:right="1139" w:bottom="1440" w:gutter="0" w:footer="0" w:header="0"/>
          <w:type w:val="continuous"/>
        </w:sect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4"/>
          <w:szCs w:val="14"/>
          <w:color w:val="auto"/>
        </w:rPr>
        <w:t>The number of shares outstanding of the Registrant’s Class A common stock, no par value, as of December 6, 2016 was 3,364,200.</w:t>
      </w:r>
    </w:p>
    <w:p>
      <w:pPr>
        <w:spacing w:after="0" w:line="4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The number of shares outstanding of the Registrant’s Class B common stock, no par value, as of December 6, 2016, was 29,011,556.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763905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15" w:right="113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QUARTER ENDED October 30, 2016</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00" w:type="dxa"/>
            <w:vAlign w:val="bottom"/>
            <w:gridSpan w:val="8"/>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72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October 30, 2016 and January 31, 2016</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5320" w:type="dxa"/>
            <w:vAlign w:val="bottom"/>
            <w:tcBorders>
              <w:top w:val="single" w:sz="8" w:color="0000EE"/>
            </w:tcBorders>
            <w:gridSpan w:val="15"/>
          </w:tcPr>
          <w:p>
            <w:pPr>
              <w:spacing w:after="0"/>
              <w:rPr>
                <w:sz w:val="17"/>
                <w:szCs w:val="17"/>
                <w:color w:val="auto"/>
              </w:rPr>
            </w:pPr>
          </w:p>
        </w:tc>
        <w:tc>
          <w:tcPr>
            <w:tcW w:w="10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w:t>
              </w:r>
            </w:hyperlink>
          </w:p>
        </w:tc>
        <w:tc>
          <w:tcPr>
            <w:tcW w:w="9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8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October 30, 2016 and November 1, 2015 (Unaudited)</w:t>
              </w:r>
            </w:hyperlink>
          </w:p>
        </w:tc>
        <w:tc>
          <w:tcPr>
            <w:tcW w:w="9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3"/>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 for the three and nine months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October 30, 2016 and November 1, 2015 (Unaudited)</w:t>
              </w:r>
            </w:hyperlink>
          </w:p>
        </w:tc>
        <w:tc>
          <w:tcPr>
            <w:tcW w:w="2400" w:type="dxa"/>
            <w:vAlign w:val="bottom"/>
            <w:tcBorders>
              <w:top w:val="single" w:sz="8" w:color="0000EE"/>
            </w:tcBorders>
            <w:gridSpan w:val="10"/>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for the nine months ended</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October 30, 2016 (Unaudited)</w:t>
              </w:r>
            </w:hyperlink>
          </w:p>
        </w:tc>
        <w:tc>
          <w:tcPr>
            <w:tcW w:w="4060" w:type="dxa"/>
            <w:vAlign w:val="bottom"/>
            <w:tcBorders>
              <w:top w:val="single" w:sz="8" w:color="0000EE"/>
            </w:tcBorders>
            <w:gridSpan w:val="11"/>
          </w:tcPr>
          <w:p>
            <w:pPr>
              <w:spacing w:after="0"/>
              <w:rPr>
                <w:sz w:val="17"/>
                <w:szCs w:val="17"/>
                <w:color w:val="auto"/>
              </w:rPr>
            </w:pPr>
          </w:p>
        </w:tc>
        <w:tc>
          <w:tcPr>
            <w:tcW w:w="10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October 30,</w:t>
              </w:r>
            </w:hyperlink>
          </w:p>
        </w:tc>
        <w:tc>
          <w:tcPr>
            <w:tcW w:w="74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20" w:type="dxa"/>
            <w:vAlign w:val="bottom"/>
            <w:tcBorders>
              <w:bottom w:val="single" w:sz="8" w:color="0000EE"/>
            </w:tcBorders>
            <w:gridSpan w:val="10"/>
          </w:tcPr>
          <w:p>
            <w:pPr>
              <w:ind w:left="40"/>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2016 and November 1, 2015 (Unaudited)</w:t>
              </w:r>
            </w:hyperlink>
          </w:p>
        </w:tc>
        <w:tc>
          <w:tcPr>
            <w:tcW w:w="426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3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740" w:type="dxa"/>
            <w:vAlign w:val="bottom"/>
            <w:gridSpan w:val="3"/>
          </w:tcPr>
          <w:p>
            <w:pPr>
              <w:spacing w:after="0"/>
              <w:rPr>
                <w:sz w:val="24"/>
                <w:szCs w:val="24"/>
                <w:color w:val="auto"/>
              </w:rPr>
            </w:pPr>
          </w:p>
        </w:tc>
        <w:tc>
          <w:tcPr>
            <w:tcW w:w="728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82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9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II—Other Information</w:t>
              </w:r>
            </w:hyperlink>
          </w:p>
        </w:tc>
        <w:tc>
          <w:tcPr>
            <w:tcW w:w="290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9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126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728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8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94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44"/>
        </w:trPr>
        <w:tc>
          <w:tcPr>
            <w:tcW w:w="126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613981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60"/>
          </w:cols>
          <w:pgMar w:left="1260" w:top="121" w:right="11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4"/>
              </w:rPr>
              <w:t>October 30, 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January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Cash</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$1,717 and $1,404,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240"/>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Trade 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19,277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 overdrafts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line of credit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under built-to-suit leases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obligations, less current maturities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Preferred stock, no par value; 10,000 shares authorized; no shares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issued or outstanding as of October 30, 2016 and January 31, 2016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3,364 shares issued and outstanding as of October 30, 2016 and January 31, 2016</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w w:val="98"/>
              </w:rPr>
              <w:t>29,012 and 28,952 shares issued and outstanding as of October 30, 2016 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January 31, 2016, respectively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October 30, 2016</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November 1, 2015</w:t>
            </w:r>
          </w:p>
        </w:tc>
        <w:tc>
          <w:tcPr>
            <w:tcW w:w="16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October 30, 2016</w:t>
            </w:r>
          </w:p>
        </w:tc>
        <w:tc>
          <w:tcPr>
            <w:tcW w:w="80" w:type="dxa"/>
            <w:vAlign w:val="bottom"/>
          </w:tcPr>
          <w:p>
            <w:pPr>
              <w:spacing w:after="0"/>
              <w:rPr>
                <w:sz w:val="15"/>
                <w:szCs w:val="15"/>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November 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67,008</w:t>
            </w: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55,296</w:t>
            </w: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201,463</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28,260</w:t>
            </w: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23,692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84,102</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38,748</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31,604</w:t>
            </w:r>
          </w:p>
        </w:tc>
        <w:tc>
          <w:tcPr>
            <w:tcW w:w="16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117,361</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37,929</w:t>
            </w: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29,958</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105,215</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819</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income attributable to noncontrolling interest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7,322</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Weighted average shares of</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31,520</w:t>
            </w: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23,815</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attributable</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660" w:type="dxa"/>
            <w:vAlign w:val="bottom"/>
            <w:vMerge w:val="restart"/>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gridSpan w:val="2"/>
            <w:vMerge w:val="continue"/>
            <w:shd w:val="clear" w:color="auto" w:fill="CCEEFF"/>
          </w:tcPr>
          <w:p>
            <w:pPr>
              <w:spacing w:after="0"/>
              <w:rPr>
                <w:sz w:val="20"/>
                <w:szCs w:val="20"/>
                <w:color w:val="auto"/>
              </w:rPr>
            </w:pPr>
          </w:p>
        </w:tc>
        <w:tc>
          <w:tcPr>
            <w:tcW w:w="1220" w:type="dxa"/>
            <w:vAlign w:val="bottom"/>
            <w:tcBorders>
              <w:right w:val="single" w:sz="8" w:color="CCEEFF"/>
            </w:tcBorders>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60" w:type="dxa"/>
            <w:vAlign w:val="bottom"/>
            <w:tcBorders>
              <w:left w:val="single" w:sz="8" w:color="CCEEFF"/>
            </w:tcBorders>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8"/>
              </w:rPr>
              <w:t>Diluted earnings per share (Class A and Class B):</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32,294</w:t>
            </w:r>
          </w:p>
        </w:tc>
        <w:tc>
          <w:tcPr>
            <w:tcW w:w="6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24,026</w:t>
            </w:r>
          </w:p>
        </w:tc>
        <w:tc>
          <w:tcPr>
            <w:tcW w:w="160" w:type="dxa"/>
            <w:vAlign w:val="bottom"/>
            <w:tcBorders>
              <w:left w:val="single" w:sz="8" w:color="CCEEFF"/>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32,286</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 per share attributable</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0.01</w:t>
            </w:r>
          </w:p>
        </w:tc>
        <w:tc>
          <w:tcPr>
            <w:tcW w:w="660" w:type="dxa"/>
            <w:vAlign w:val="bottom"/>
            <w:vMerge w:val="restart"/>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net income information (Note 1):</w:t>
            </w: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right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left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Income attributable to controlling interest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before provision for income taxes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 forma provision for income taxes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Borders>
              <w:left w:val="single" w:sz="8" w:color="CCEEFF"/>
            </w:tcBorders>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Pro forma net income attributable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vMerge w:val="restart"/>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 forma basic net income per share attributable</w:t>
            </w: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spacing w:after="0"/>
              <w:rPr>
                <w:sz w:val="19"/>
                <w:szCs w:val="19"/>
                <w:color w:val="auto"/>
              </w:rPr>
            </w:pPr>
          </w:p>
        </w:tc>
        <w:tc>
          <w:tcPr>
            <w:tcW w:w="660" w:type="dxa"/>
            <w:vAlign w:val="bottom"/>
            <w:vMerge w:val="restart"/>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left w:val="single" w:sz="8" w:color="CCEEFF"/>
            </w:tcBorders>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 (Class A and Class B)</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120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 forma diluted net income per share attributable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vMerge w:val="restart"/>
          </w:tcPr>
          <w:p>
            <w:pPr>
              <w:jc w:val="right"/>
              <w:ind w:right="505"/>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 controlling interest (Class A and Class 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October 30, 2016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November 1, 2015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 2016</w:t>
            </w:r>
          </w:p>
        </w:tc>
        <w:tc>
          <w:tcPr>
            <w:tcW w:w="80" w:type="dxa"/>
            <w:vAlign w:val="bottom"/>
          </w:tcPr>
          <w:p>
            <w:pPr>
              <w:spacing w:after="0"/>
              <w:rPr>
                <w:sz w:val="15"/>
                <w:szCs w:val="15"/>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November 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 in value of interest rate swap agreement</w:t>
            </w: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 interest</w:t>
            </w:r>
          </w:p>
        </w:tc>
        <w:tc>
          <w:tcPr>
            <w:tcW w:w="3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Pr>
          <w:p>
            <w:pPr>
              <w:spacing w:after="0" w:line="182" w:lineRule="exact"/>
              <w:rPr>
                <w:sz w:val="20"/>
                <w:szCs w:val="20"/>
                <w:color w:val="auto"/>
              </w:rPr>
            </w:pPr>
            <w:r>
              <w:rPr>
                <w:rFonts w:ascii="Arial" w:cs="Arial" w:eastAsia="Arial" w:hAnsi="Arial"/>
                <w:sz w:val="18"/>
                <w:szCs w:val="18"/>
                <w:color w:val="auto"/>
              </w:rPr>
              <w:t>Comprehensive income attributable</w:t>
            </w:r>
          </w:p>
        </w:tc>
        <w:tc>
          <w:tcPr>
            <w:tcW w:w="36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1,510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7,349</w:t>
            </w:r>
          </w:p>
        </w:tc>
        <w:tc>
          <w:tcPr>
            <w:tcW w:w="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Capital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shareholders'</w:t>
            </w:r>
          </w:p>
        </w:tc>
      </w:tr>
      <w:tr>
        <w:trPr>
          <w:trHeight w:val="18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earnings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90,486</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Amortization of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Capital contributions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7,510</w:t>
            </w: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Other comprehensive income from change</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 value of interest rate swap agreement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Balance at October 30,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32,376</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86,191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99,514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58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October 30, 2016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November 1, 2015</w:t>
            </w: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10,048</w:t>
            </w: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operating activities:</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(31,187)</w:t>
            </w: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Prepaid expense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Trade accounts payable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4,915</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r>
      <w:tr>
        <w:trPr>
          <w:trHeight w:val="196"/>
        </w:trPr>
        <w:tc>
          <w:tcPr>
            <w:tcW w:w="20" w:type="dxa"/>
            <w:vAlign w:val="bottom"/>
          </w:tcPr>
          <w:p>
            <w:pPr>
              <w:spacing w:after="0"/>
              <w:rPr>
                <w:sz w:val="17"/>
                <w:szCs w:val="17"/>
                <w:color w:val="auto"/>
              </w:rPr>
            </w:pPr>
          </w:p>
        </w:tc>
        <w:tc>
          <w:tcPr>
            <w:tcW w:w="58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other assets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64,058</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from long term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 term debt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 in bank overdrafts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Distributions to shareholders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(13,671)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holders of noncontrolling interest in variable interest entity</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Capital contributions to variable interest entity</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beginning of period</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190"/>
        </w:trPr>
        <w:tc>
          <w:tcPr>
            <w:tcW w:w="20" w:type="dxa"/>
            <w:vAlign w:val="bottom"/>
          </w:tcPr>
          <w:p>
            <w:pPr>
              <w:spacing w:after="0"/>
              <w:rPr>
                <w:sz w:val="16"/>
                <w:szCs w:val="16"/>
                <w:color w:val="auto"/>
              </w:rPr>
            </w:pPr>
          </w:p>
        </w:tc>
        <w:tc>
          <w:tcPr>
            <w:tcW w:w="588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taxes paid</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30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October 30, 2016, the Company operated 12 retail stores and two outlet stores across the Midwestern and Eastern United States. The Company’s products are marketed under the Duluth Trading brand, with the majority of products being exclusively developed and sold as Duluth Trading branded merchandise.</w:t>
      </w:r>
    </w:p>
    <w:p>
      <w:pPr>
        <w:spacing w:after="0" w:line="162"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ind w:right="60" w:firstLine="428"/>
        <w:spacing w:after="0" w:line="293" w:lineRule="auto"/>
        <w:rPr>
          <w:sz w:val="20"/>
          <w:szCs w:val="20"/>
          <w:color w:val="auto"/>
        </w:rPr>
      </w:pPr>
      <w:r>
        <w:rPr>
          <w:rFonts w:ascii="Arial" w:cs="Arial" w:eastAsia="Arial" w:hAnsi="Arial"/>
          <w:sz w:val="16"/>
          <w:szCs w:val="16"/>
          <w:color w:val="auto"/>
        </w:rPr>
        <w:t>On November 25, 2015, the Company converted from an “S” corporation to a “C” corporation for federal income tax purposes under Section 1362 of the Internal Revenue Code of 1986, as amended (the “Code”), and the Company completed its initial public offering (“IPO”). Refer to the Company’s consolidated financial statements and notes included in the Company’s annual report on Form 10-K for the fiscal year ended January 31, 2016, for additional information related to the Company’s IPO. During the first quarter of fiscal 2016, the Company paid the remaining $0.2 million balance of its final “S” corporation distribution, which resulted in a total final distribution of $46.6 million from the termination of the Company’s “S” corporation status.</w:t>
      </w:r>
    </w:p>
    <w:p>
      <w:pPr>
        <w:spacing w:after="0" w:line="12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98" w:lineRule="exact"/>
        <w:rPr>
          <w:sz w:val="20"/>
          <w:szCs w:val="20"/>
          <w:color w:val="auto"/>
        </w:rPr>
      </w:pPr>
    </w:p>
    <w:p>
      <w:pPr>
        <w:ind w:right="140" w:firstLine="428"/>
        <w:spacing w:after="0" w:line="273" w:lineRule="auto"/>
        <w:rPr>
          <w:sz w:val="20"/>
          <w:szCs w:val="20"/>
          <w:color w:val="auto"/>
        </w:rPr>
      </w:pPr>
      <w:r>
        <w:rPr>
          <w:rFonts w:ascii="Arial" w:cs="Arial" w:eastAsia="Arial" w:hAnsi="Arial"/>
          <w:sz w:val="17"/>
          <w:szCs w:val="17"/>
          <w:color w:val="auto"/>
        </w:rPr>
        <w:t>The condensed consolidated financial statements are prepared in accordance with U.S. Generally Accepted Accounting Principles (“U.S. GAAP”). The accompanying condensed consolidated financial statements include the accounts of the parent, Duluth Holdings Inc., and its wholly-owned subsidiary, Duluth Trading Company, LLC. Effective October 3, 2016, Duluth Trading Company, LLC was dissolved and no longer consolidated, which did not impact the Company’s consolidated financial statements. The Company also consolidates Schlecht Retail Ventures LLC (“SRV”) as a variable interest entity (see Note 4 “Variable Interest Entity”). All intercompany balances and transactions have been eliminated.</w:t>
      </w:r>
    </w:p>
    <w:p>
      <w:pPr>
        <w:spacing w:after="0" w:line="138" w:lineRule="exact"/>
        <w:rPr>
          <w:sz w:val="20"/>
          <w:szCs w:val="20"/>
          <w:color w:val="auto"/>
        </w:rPr>
      </w:pPr>
    </w:p>
    <w:p>
      <w:pPr>
        <w:ind w:right="300" w:firstLine="428"/>
        <w:spacing w:after="0" w:line="259" w:lineRule="auto"/>
        <w:rPr>
          <w:sz w:val="20"/>
          <w:szCs w:val="20"/>
          <w:color w:val="auto"/>
        </w:rPr>
      </w:pPr>
      <w:r>
        <w:rPr>
          <w:rFonts w:ascii="Arial" w:cs="Arial" w:eastAsia="Arial" w:hAnsi="Arial"/>
          <w:sz w:val="18"/>
          <w:szCs w:val="18"/>
          <w:color w:val="auto"/>
        </w:rPr>
        <w:t>The Company’s fiscal year ends on the Sunday nearest to January 31 of the following year. Fiscal 2016 is a 52-week period and ends on January 29, 2017. Fiscal 2015 was a 52-week period and ended on January 31, 2016. The three and nine months of fiscal 2016 and fiscal 2015 represent the Company’s 13 and 39-week periods ended October 30, 2016 and November 1, 2015, respectively.</w:t>
      </w:r>
    </w:p>
    <w:p>
      <w:pPr>
        <w:spacing w:after="0" w:line="146" w:lineRule="exact"/>
        <w:rPr>
          <w:sz w:val="20"/>
          <w:szCs w:val="20"/>
          <w:color w:val="auto"/>
        </w:rPr>
      </w:pPr>
    </w:p>
    <w:p>
      <w:pPr>
        <w:ind w:right="100" w:firstLine="428"/>
        <w:spacing w:after="0" w:line="270" w:lineRule="auto"/>
        <w:rPr>
          <w:sz w:val="20"/>
          <w:szCs w:val="20"/>
          <w:color w:val="auto"/>
        </w:rPr>
      </w:pPr>
      <w:r>
        <w:rPr>
          <w:rFonts w:ascii="Arial" w:cs="Arial" w:eastAsia="Arial" w:hAnsi="Arial"/>
          <w:sz w:val="17"/>
          <w:szCs w:val="17"/>
          <w:color w:val="auto"/>
        </w:rPr>
        <w:t>The accompanying condensed consolidated financial statements as of and for the three and nine months ended October 30, 2016 and November 1, 2015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note disclosures normally included in consolidated financial statements prepared in accordance with U.S. GAAP have been condensed or omitted pursuant to such SEC rules and regulations as of and for the three and nine months ended October 30, 2016 and November 1, 2015. These interim condensed consolidated financial statements should be read in conjunction with the consolidated financial statements and notes included in the Company’s annual report on Form 10-K for the fiscal year ended January 31, 2016.</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85" w:lineRule="exact"/>
        <w:rPr>
          <w:sz w:val="20"/>
          <w:szCs w:val="20"/>
          <w:color w:val="auto"/>
        </w:rPr>
      </w:pPr>
    </w:p>
    <w:p>
      <w:pPr>
        <w:jc w:val="both"/>
        <w:ind w:right="18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6"/>
          <w:szCs w:val="16"/>
          <w:b w:val="1"/>
          <w:bCs w:val="1"/>
          <w:i w:val="1"/>
          <w:iCs w:val="1"/>
          <w:color w:val="auto"/>
        </w:rPr>
        <w:t>Pro Forma Net Income Information</w:t>
      </w:r>
    </w:p>
    <w:p>
      <w:pPr>
        <w:spacing w:after="0" w:line="198"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For the three and nine months ended November 1, 2015, the pro forma net income information gives effect to the conversion of the Company to a “C” corporation on November 25, 2015. Prior to such conversion, the Company was an “S”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corporation and generally not subject to income taxes. The pro forma net income, therefore, includes an adjustment for income tax expense on the income attributable to controlling interest as if the Company had been a “C” corporation as of February 4, 2013 at an assumed combined federal, state and local effective tax rate of 40%, which approximates the calculated statutory rate for each period. No pro forma income tax expense was calculated on the income attributable to noncontrolling interest because this entity did not convert to a “C” corporation.</w:t>
      </w:r>
    </w:p>
    <w:p>
      <w:pPr>
        <w:spacing w:after="0" w:line="148" w:lineRule="exact"/>
        <w:rPr>
          <w:sz w:val="20"/>
          <w:szCs w:val="20"/>
          <w:color w:val="auto"/>
        </w:rPr>
      </w:pPr>
    </w:p>
    <w:p>
      <w:pPr>
        <w:ind w:right="180" w:firstLine="428"/>
        <w:spacing w:after="0" w:line="277" w:lineRule="auto"/>
        <w:rPr>
          <w:sz w:val="20"/>
          <w:szCs w:val="20"/>
          <w:color w:val="auto"/>
        </w:rPr>
      </w:pPr>
      <w:r>
        <w:rPr>
          <w:rFonts w:ascii="Arial" w:cs="Arial" w:eastAsia="Arial" w:hAnsi="Arial"/>
          <w:sz w:val="18"/>
          <w:szCs w:val="18"/>
          <w:color w:val="auto"/>
        </w:rPr>
        <w:t>For the three and nine months ended November 1, 2015, the pro forma basic and diluted net income per share of Class A and Class B common stock is computed using the pro forma net income, as discussed above.</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Restricted Cash</w:t>
      </w:r>
    </w:p>
    <w:p>
      <w:pPr>
        <w:spacing w:after="0" w:line="185" w:lineRule="exact"/>
        <w:rPr>
          <w:sz w:val="20"/>
          <w:szCs w:val="20"/>
          <w:color w:val="auto"/>
        </w:rPr>
      </w:pPr>
    </w:p>
    <w:p>
      <w:pPr>
        <w:ind w:right="140" w:firstLine="428"/>
        <w:spacing w:after="0" w:line="286" w:lineRule="auto"/>
        <w:rPr>
          <w:sz w:val="20"/>
          <w:szCs w:val="20"/>
          <w:color w:val="auto"/>
        </w:rPr>
      </w:pPr>
      <w:r>
        <w:rPr>
          <w:rFonts w:ascii="Arial" w:cs="Arial" w:eastAsia="Arial" w:hAnsi="Arial"/>
          <w:sz w:val="17"/>
          <w:szCs w:val="17"/>
          <w:color w:val="auto"/>
        </w:rPr>
        <w:t>The Company’s restricted cash is held in an escrow account and is used to pay a portion of the construction loans entered into by third party landlords (the “Landlords”) in connection with the Company’s retail store leases. The restricted cash is disbursed based on the escrow agreement entered into by and among the Landlords, the Company and the escrow agent.</w:t>
      </w:r>
    </w:p>
    <w:p>
      <w:pPr>
        <w:spacing w:after="0" w:line="1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Build-to-Suit Lease</w:t>
      </w:r>
    </w:p>
    <w:p>
      <w:pPr>
        <w:spacing w:after="0" w:line="198" w:lineRule="exact"/>
        <w:rPr>
          <w:sz w:val="20"/>
          <w:szCs w:val="20"/>
          <w:color w:val="auto"/>
        </w:rPr>
      </w:pPr>
    </w:p>
    <w:p>
      <w:pPr>
        <w:ind w:right="140" w:firstLine="428"/>
        <w:spacing w:after="0" w:line="288" w:lineRule="auto"/>
        <w:rPr>
          <w:sz w:val="20"/>
          <w:szCs w:val="20"/>
          <w:color w:val="auto"/>
        </w:rPr>
      </w:pPr>
      <w:r>
        <w:rPr>
          <w:rFonts w:ascii="Arial" w:cs="Arial" w:eastAsia="Arial" w:hAnsi="Arial"/>
          <w:sz w:val="16"/>
          <w:szCs w:val="16"/>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For leases that the Company is deemed the owner of the property during the construction period, upon commencement of the construction project, the Company is required to capitalize the cash and non-cash assets contributed by the landlord for construction as property and equipment on the Company’s Condensed Consolidated Balance Sheets. Upon the completion of the construction project, the Company performs an analysis on the lease to determine if the Company qualifies for sale-leaseback treatment. For those qualifying leases, the deemed landlord financing liability and the associated property and equipment are removed and the difference is reclassified to either prepaid or deferred rent and amortized over the lease term as an increase or decrease to rent expense. If the lease does not qualify for sale-leaseback treatment, the deemed landlord financing liability is amortized over the lease term based on the rent payments in the lease agreement.</w:t>
      </w:r>
    </w:p>
    <w:p>
      <w:pPr>
        <w:spacing w:after="0" w:line="129" w:lineRule="exact"/>
        <w:rPr>
          <w:sz w:val="20"/>
          <w:szCs w:val="20"/>
          <w:color w:val="auto"/>
        </w:rPr>
      </w:pPr>
    </w:p>
    <w:p>
      <w:pPr>
        <w:ind w:right="180" w:firstLine="428"/>
        <w:spacing w:after="0" w:line="342" w:lineRule="auto"/>
        <w:rPr>
          <w:sz w:val="20"/>
          <w:szCs w:val="20"/>
          <w:color w:val="auto"/>
        </w:rPr>
      </w:pPr>
      <w:r>
        <w:rPr>
          <w:rFonts w:ascii="Arial" w:cs="Arial" w:eastAsia="Arial" w:hAnsi="Arial"/>
          <w:sz w:val="16"/>
          <w:szCs w:val="16"/>
          <w:color w:val="auto"/>
        </w:rPr>
        <w:t>As of October 30, 2016, the Company capitalized $2.0 million in property and equipment and recorded a corresponding non-current liability related to build-to-suit lease transactions in which the Company is considered the owner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DEBT AND LINE OF CREDIT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consists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October 30, 2016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31, 2016</w:t>
            </w:r>
          </w:p>
        </w:tc>
      </w:tr>
      <w:tr>
        <w:trPr>
          <w:trHeight w:val="196"/>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Mortgage Note due March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Mortgage Note due May 2019</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SRV Mortgage Note due September 2017</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SRV Mortgage Note due August 2016</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lease obligations</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17"/>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r>
    </w:tbl>
    <w:p>
      <w:pPr>
        <w:spacing w:after="0" w:line="391" w:lineRule="exact"/>
        <w:rPr>
          <w:sz w:val="20"/>
          <w:szCs w:val="20"/>
          <w:color w:val="auto"/>
        </w:rPr>
      </w:pPr>
    </w:p>
    <w:p>
      <w:pPr>
        <w:ind w:right="20" w:firstLine="428"/>
        <w:spacing w:after="0" w:line="276" w:lineRule="auto"/>
        <w:rPr>
          <w:sz w:val="20"/>
          <w:szCs w:val="20"/>
          <w:color w:val="auto"/>
        </w:rPr>
      </w:pPr>
      <w:r>
        <w:rPr>
          <w:rFonts w:ascii="Arial" w:cs="Arial" w:eastAsia="Arial" w:hAnsi="Arial"/>
          <w:sz w:val="17"/>
          <w:szCs w:val="17"/>
          <w:color w:val="auto"/>
        </w:rPr>
        <w:t>In May 2014, the Company assumed a mortgage note (“Mortgage 2017 Note”) from Schlecht Enterprises LLC (“SE”) in conjunction with the Company’s acquisition of certain related real property from SE, an entity that was previously consolidated through May 21, 2014. The Mortgage 2017 Note had an original balance of $3.8 million. The Mortgage 2017 Note was scheduled to expire in March 2017 and required monthly payments of $11,900, plus interest at a rate equal to the one-month LIBOR rate plus 1.25 percentage points, with a final balloon payment due in March 2017. On August 23, 2016,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paid off the remaining balance of the Mortgage 2017 Note in the amount of $3.1 million. In connection with the payoff of the Mortgage 2017 Note, the Company’s interest rate swap agreement was terminated.</w:t>
      </w:r>
    </w:p>
    <w:p>
      <w:pPr>
        <w:spacing w:after="0" w:line="130" w:lineRule="exact"/>
        <w:rPr>
          <w:sz w:val="20"/>
          <w:szCs w:val="20"/>
          <w:color w:val="auto"/>
        </w:rPr>
      </w:pPr>
    </w:p>
    <w:p>
      <w:pPr>
        <w:ind w:right="280" w:firstLine="428"/>
        <w:spacing w:after="0" w:line="259" w:lineRule="auto"/>
        <w:rPr>
          <w:sz w:val="20"/>
          <w:szCs w:val="20"/>
          <w:color w:val="auto"/>
        </w:rPr>
      </w:pPr>
      <w:r>
        <w:rPr>
          <w:rFonts w:ascii="Arial" w:cs="Arial" w:eastAsia="Arial" w:hAnsi="Arial"/>
          <w:sz w:val="18"/>
          <w:szCs w:val="18"/>
          <w:color w:val="auto"/>
        </w:rPr>
        <w:t>During fiscal 2014, the Company entered into a mortgage note (“Mortgage 2019 Note”) with an original balance of $0.6 million. The Mortgage 2019 Note was scheduled to expire in May 2019 and required monthly payments of $5,300 plus interest at 4%, with a final balloon payment due in May 2019. On August 15, 2016, the Company paid off the remaining balance of the Mortgage 2019 Note in the amount of $0.5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41"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SRV 2017 Note is guaranteed by the Company’s majority shareholder and collateralized by certain real property owned by SRV in Mt. Horeb, Wisconsin.</w:t>
      </w:r>
    </w:p>
    <w:p>
      <w:pPr>
        <w:spacing w:after="0" w:line="143" w:lineRule="exact"/>
        <w:rPr>
          <w:sz w:val="20"/>
          <w:szCs w:val="20"/>
          <w:color w:val="auto"/>
        </w:rPr>
      </w:pPr>
    </w:p>
    <w:p>
      <w:pPr>
        <w:jc w:val="both"/>
        <w:ind w:right="20" w:firstLine="428"/>
        <w:spacing w:after="0" w:line="286" w:lineRule="auto"/>
        <w:rPr>
          <w:sz w:val="20"/>
          <w:szCs w:val="20"/>
          <w:color w:val="auto"/>
        </w:rPr>
      </w:pPr>
      <w:r>
        <w:rPr>
          <w:rFonts w:ascii="Arial" w:cs="Arial" w:eastAsia="Arial" w:hAnsi="Arial"/>
          <w:sz w:val="17"/>
          <w:szCs w:val="17"/>
          <w:color w:val="auto"/>
        </w:rPr>
        <w:t>SRV entered into a mortgage note (“SRV 2016 Note”) with an original balance of $0.5 million. The SRV 2016 Note expired in August 2016 and required monthly payments of $3,400, including interest at 4.5%, with a final balloon payment due in August 2016. On August 5, 2016, SRV paid off the remaining SRV 2016 Note in the amount of $0.4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100" w:firstLine="428"/>
        <w:spacing w:after="0" w:line="270" w:lineRule="auto"/>
        <w:rPr>
          <w:sz w:val="20"/>
          <w:szCs w:val="20"/>
          <w:color w:val="auto"/>
        </w:rPr>
      </w:pPr>
      <w:r>
        <w:rPr>
          <w:rFonts w:ascii="Arial" w:cs="Arial" w:eastAsia="Arial" w:hAnsi="Arial"/>
          <w:sz w:val="17"/>
          <w:szCs w:val="17"/>
          <w:color w:val="auto"/>
        </w:rPr>
        <w:t>On October 7, 2016, the Company amended and restated its existing Amended and Restated Loan Agreement dated as of June 13, 2011, as amended (the “Amended and Restated Agreement”).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Rested Agreement (effective rate of 1.8% at October 30, 2016). The Amended and Restated Agreement is secured by essentially all Company assets and requires the Company to maintain compliance with certain financial and non-financial covenants, including minimum tangible net worth and a minimum trailing twelve month EBITDA. In addition, the Amended and Restated Agreement does not contain borrowing base limits.</w:t>
      </w:r>
    </w:p>
    <w:p>
      <w:pPr>
        <w:spacing w:after="0" w:line="155" w:lineRule="exact"/>
        <w:rPr>
          <w:sz w:val="20"/>
          <w:szCs w:val="20"/>
          <w:color w:val="auto"/>
        </w:rPr>
      </w:pPr>
    </w:p>
    <w:p>
      <w:pPr>
        <w:ind w:right="520" w:firstLine="428"/>
        <w:spacing w:after="0" w:line="277" w:lineRule="auto"/>
        <w:rPr>
          <w:sz w:val="20"/>
          <w:szCs w:val="20"/>
          <w:color w:val="auto"/>
        </w:rPr>
      </w:pPr>
      <w:r>
        <w:rPr>
          <w:rFonts w:ascii="Arial" w:cs="Arial" w:eastAsia="Arial" w:hAnsi="Arial"/>
          <w:sz w:val="18"/>
          <w:szCs w:val="18"/>
          <w:color w:val="auto"/>
        </w:rPr>
        <w:t>As of October 30, 2016 and for the nine months then ended, the Company was in compliance with all financial and non-financial covenants for all debts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right="4020" w:hanging="432"/>
        <w:spacing w:after="0" w:line="490" w:lineRule="auto"/>
        <w:tabs>
          <w:tab w:leader="none" w:pos="31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30, 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January 31, 2016</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VARIABLE INTEREST ENTITY</w:t>
      </w:r>
    </w:p>
    <w:p>
      <w:pPr>
        <w:spacing w:after="0" w:line="189" w:lineRule="exact"/>
        <w:rPr>
          <w:sz w:val="20"/>
          <w:szCs w:val="20"/>
          <w:color w:val="auto"/>
        </w:rPr>
      </w:pPr>
    </w:p>
    <w:p>
      <w:pPr>
        <w:jc w:val="both"/>
        <w:ind w:right="1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October 30, 2016 and January 31, 2016, as the Company absorbs significant economics of the entity and has the power to direct the activities that are considered most significant to the entity.</w:t>
      </w:r>
    </w:p>
    <w:p>
      <w:pPr>
        <w:spacing w:after="0" w:line="139"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SRV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30, 2016 and January 31,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30,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January 31, 2016</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jc w:val="both"/>
        <w:ind w:right="40" w:firstLine="428"/>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30, 2016</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November 1, 2015</w:t>
            </w: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October 30, 2016</w:t>
            </w:r>
          </w:p>
        </w:tc>
        <w:tc>
          <w:tcPr>
            <w:tcW w:w="13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November 1, 2015</w:t>
            </w: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attributable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shares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32,294</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24,026</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32,286</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24,289</w:t>
            </w:r>
          </w:p>
        </w:tc>
      </w:tr>
      <w:tr>
        <w:trPr>
          <w:trHeight w:val="244"/>
        </w:trPr>
        <w:tc>
          <w:tcPr>
            <w:tcW w:w="4300" w:type="dxa"/>
            <w:vAlign w:val="bottom"/>
            <w:gridSpan w:val="2"/>
          </w:tcPr>
          <w:p>
            <w:pPr>
              <w:spacing w:after="0"/>
              <w:rPr>
                <w:sz w:val="20"/>
                <w:szCs w:val="20"/>
                <w:color w:val="auto"/>
              </w:rPr>
            </w:pPr>
            <w:r>
              <w:rPr>
                <w:rFonts w:ascii="Arial" w:cs="Arial" w:eastAsia="Arial" w:hAnsi="Arial"/>
                <w:sz w:val="18"/>
                <w:szCs w:val="18"/>
                <w:color w:val="auto"/>
              </w:rPr>
              <w:t>Earnings per share (Class A and Class B)</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45"/>
        </w:trPr>
        <w:tc>
          <w:tcPr>
            <w:tcW w:w="20" w:type="dxa"/>
            <w:vAlign w:val="bottom"/>
          </w:tcPr>
          <w:p>
            <w:pPr>
              <w:spacing w:after="0"/>
              <w:rPr>
                <w:sz w:val="21"/>
                <w:szCs w:val="21"/>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1"/>
                <w:szCs w:val="21"/>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21"/>
                <w:szCs w:val="21"/>
                <w:color w:val="auto"/>
              </w:rPr>
            </w:pPr>
          </w:p>
        </w:tc>
        <w:tc>
          <w:tcPr>
            <w:tcW w:w="68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STOCK-BASED COMPENSATION</w:t>
      </w:r>
    </w:p>
    <w:p>
      <w:pPr>
        <w:spacing w:after="0" w:line="202"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41" w:lineRule="exact"/>
        <w:rPr>
          <w:sz w:val="20"/>
          <w:szCs w:val="20"/>
          <w:color w:val="auto"/>
        </w:rPr>
      </w:pPr>
    </w:p>
    <w:p>
      <w:pPr>
        <w:ind w:right="160" w:firstLine="428"/>
        <w:spacing w:after="0" w:line="257" w:lineRule="auto"/>
        <w:rPr>
          <w:sz w:val="20"/>
          <w:szCs w:val="20"/>
          <w:color w:val="auto"/>
        </w:rPr>
      </w:pPr>
      <w:r>
        <w:rPr>
          <w:rFonts w:ascii="Arial" w:cs="Arial" w:eastAsia="Arial" w:hAnsi="Arial"/>
          <w:sz w:val="18"/>
          <w:szCs w:val="18"/>
          <w:color w:val="auto"/>
        </w:rPr>
        <w:t>Total stock compensation expense associated with restricted stock recognized by the Company during the three and nine months ended October 30, 2016 was $0.4 million and $1.0 million, respectively. Total stock compensation expense associated with restricted stock recognized by the Company during the three and nine months ended November 1, 2015 was $0.2 million and $0.5 million, respectively. The Company’s total stock compensation expense is included in selling, general and administrative expenses on the Condensed Consolidated Statements of Operations.</w:t>
      </w:r>
    </w:p>
    <w:p>
      <w:pPr>
        <w:spacing w:after="0" w:line="148"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A summary of the activity in the Company’s unvested restricted stock during the nine months ended October 30, 2016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30, 2016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bl>
    <w:p>
      <w:pPr>
        <w:spacing w:after="0" w:line="175" w:lineRule="exact"/>
        <w:rPr>
          <w:sz w:val="20"/>
          <w:szCs w:val="20"/>
          <w:color w:val="auto"/>
        </w:rPr>
      </w:pPr>
    </w:p>
    <w:p>
      <w:pPr>
        <w:ind w:right="420" w:firstLine="428"/>
        <w:spacing w:after="0" w:line="277" w:lineRule="auto"/>
        <w:rPr>
          <w:sz w:val="20"/>
          <w:szCs w:val="20"/>
          <w:color w:val="auto"/>
        </w:rPr>
      </w:pPr>
      <w:r>
        <w:rPr>
          <w:rFonts w:ascii="Arial" w:cs="Arial" w:eastAsia="Arial" w:hAnsi="Arial"/>
          <w:sz w:val="18"/>
          <w:szCs w:val="18"/>
          <w:color w:val="auto"/>
        </w:rPr>
        <w:t>At October 30, 2016, the Company had unrecognized compensation expense of $2.2 million related to the restricted stock awards, which is expected to be recognized over a weighted average period of 2.0 years.</w:t>
      </w:r>
    </w:p>
    <w:p>
      <w:pPr>
        <w:spacing w:after="0" w:line="200" w:lineRule="exact"/>
        <w:rPr>
          <w:sz w:val="20"/>
          <w:szCs w:val="20"/>
          <w:color w:val="auto"/>
        </w:rPr>
      </w:pPr>
    </w:p>
    <w:p>
      <w:pPr>
        <w:spacing w:after="0" w:line="3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PROPERTY AND EQUIPMENT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October 30, 2016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31, 2016</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31,937</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(10,907)</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SEGMENT REPORTING</w:t>
      </w:r>
    </w:p>
    <w:p>
      <w:pPr>
        <w:spacing w:after="0" w:line="202" w:lineRule="exact"/>
        <w:rPr>
          <w:sz w:val="20"/>
          <w:szCs w:val="20"/>
          <w:color w:val="auto"/>
        </w:rPr>
      </w:pPr>
    </w:p>
    <w:p>
      <w:pPr>
        <w:ind w:right="320" w:firstLine="428"/>
        <w:spacing w:after="0" w:line="312" w:lineRule="auto"/>
        <w:rPr>
          <w:sz w:val="20"/>
          <w:szCs w:val="20"/>
          <w:color w:val="auto"/>
        </w:rPr>
      </w:pPr>
      <w:r>
        <w:rPr>
          <w:rFonts w:ascii="Arial" w:cs="Arial" w:eastAsia="Arial" w:hAnsi="Arial"/>
          <w:sz w:val="16"/>
          <w:szCs w:val="16"/>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available and for which operating results are evaluated on a regular basis by the chief operating decision maker in deciding how to allocate resources and in assessing performance of the segments.</w:t>
      </w:r>
    </w:p>
    <w:p>
      <w:pPr>
        <w:spacing w:after="0" w:line="130"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Interest expense, income tax expense, and corporate expenses, which include but are not limited to: human resources, legal, finance, information technology, design and other corporate-related expenses are included in the Company’s direct segment.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61"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Variable allocations of assets are not made for segment reporting. The Company does not have any assets outside of the United States. Sales outside of the United States were insignificant.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30, 2016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2"/>
              </w:rPr>
              <w:t>November 1, 2015</w:t>
            </w:r>
          </w:p>
        </w:tc>
        <w:tc>
          <w:tcPr>
            <w:tcW w:w="16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October 30, 2016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November 1, 2015</w:t>
            </w:r>
          </w:p>
        </w:tc>
      </w:tr>
      <w:tr>
        <w:trPr>
          <w:trHeight w:val="210"/>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52,271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46,543</w:t>
            </w:r>
          </w:p>
        </w:tc>
        <w:tc>
          <w:tcPr>
            <w:tcW w:w="84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166,437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141,241</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217"/>
        </w:trPr>
        <w:tc>
          <w:tcPr>
            <w:tcW w:w="20" w:type="dxa"/>
            <w:vAlign w:val="bottom"/>
          </w:tcPr>
          <w:p>
            <w:pPr>
              <w:spacing w:after="0"/>
              <w:rPr>
                <w:sz w:val="18"/>
                <w:szCs w:val="18"/>
                <w:color w:val="auto"/>
              </w:rPr>
            </w:pPr>
          </w:p>
        </w:tc>
        <w:tc>
          <w:tcPr>
            <w:tcW w:w="2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55,296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201,463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163,780</w:t>
            </w: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4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8,694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6,270</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10"/>
        </w:trPr>
        <w:tc>
          <w:tcPr>
            <w:tcW w:w="2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Total operating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10,155</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784"/>
        </w:trPr>
        <w:tc>
          <w:tcPr>
            <w:tcW w:w="20" w:type="dxa"/>
            <w:vAlign w:val="bottom"/>
          </w:tcPr>
          <w:p>
            <w:pPr>
              <w:spacing w:after="0"/>
              <w:rPr>
                <w:sz w:val="24"/>
                <w:szCs w:val="24"/>
                <w:color w:val="auto"/>
              </w:rPr>
            </w:pPr>
          </w:p>
        </w:tc>
        <w:tc>
          <w:tcPr>
            <w:tcW w:w="28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Segment total assets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rPr>
              <w:t>October 30, 2016</w:t>
            </w: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w w:val="94"/>
              </w:rPr>
              <w:t>January 31, 2016</w:t>
            </w:r>
          </w:p>
        </w:tc>
      </w:tr>
      <w:tr>
        <w:trPr>
          <w:trHeight w:val="183"/>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122,035</w:t>
            </w:r>
          </w:p>
        </w:tc>
        <w:tc>
          <w:tcPr>
            <w:tcW w:w="6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33,585</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r>
      <w:tr>
        <w:trPr>
          <w:trHeight w:val="217"/>
        </w:trPr>
        <w:tc>
          <w:tcPr>
            <w:tcW w:w="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155,620</w:t>
            </w: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Prior to November 25, 2015, the Company was taxed as an “S” corporation for federal income tax purposes under Section</w:t>
      </w:r>
    </w:p>
    <w:p>
      <w:pPr>
        <w:spacing w:after="0" w:line="35"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1362 of the Code, and therefore was not subject to federal and state income taxes. On November 25, 2015, the Company’s “S” corporation status terminated, and the Company became subject to corporate-level federal and state income taxes at prevailing corporate tax rates.</w:t>
      </w:r>
    </w:p>
    <w:p>
      <w:pPr>
        <w:spacing w:after="0" w:line="150" w:lineRule="exact"/>
        <w:rPr>
          <w:sz w:val="20"/>
          <w:szCs w:val="20"/>
          <w:color w:val="auto"/>
        </w:rPr>
      </w:pPr>
    </w:p>
    <w:p>
      <w:pPr>
        <w:ind w:right="80" w:firstLine="428"/>
        <w:spacing w:after="0" w:line="288" w:lineRule="auto"/>
        <w:rPr>
          <w:sz w:val="20"/>
          <w:szCs w:val="20"/>
          <w:color w:val="auto"/>
        </w:rPr>
      </w:pPr>
      <w:r>
        <w:rPr>
          <w:rFonts w:ascii="Arial" w:cs="Arial" w:eastAsia="Arial" w:hAnsi="Arial"/>
          <w:sz w:val="16"/>
          <w:szCs w:val="16"/>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for the three and nine months ended October 30, 2016,</w:t>
      </w:r>
    </w:p>
    <w:p>
      <w:pPr>
        <w:ind w:right="180"/>
        <w:spacing w:after="0" w:line="261" w:lineRule="auto"/>
        <w:rPr>
          <w:sz w:val="20"/>
          <w:szCs w:val="20"/>
          <w:color w:val="auto"/>
        </w:rPr>
      </w:pPr>
      <w:r>
        <w:rPr>
          <w:rFonts w:ascii="Arial" w:cs="Arial" w:eastAsia="Arial" w:hAnsi="Arial"/>
          <w:sz w:val="18"/>
          <w:szCs w:val="18"/>
          <w:color w:val="auto"/>
        </w:rPr>
        <w:t>was 39.8% and 39.0%, respectively. The income from SRV was excluded from the calculation of the Company’s effective tax rate, as SRV is an “S” corporation and not subject to income taxes.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ind w:left="440" w:right="5280" w:hanging="432"/>
        <w:spacing w:after="0" w:line="464" w:lineRule="auto"/>
        <w:tabs>
          <w:tab w:leader="none" w:pos="41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Revenue from Contracts with Customers</w:t>
      </w:r>
    </w:p>
    <w:p>
      <w:pPr>
        <w:ind w:right="20" w:firstLine="428"/>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 xml:space="preserve">Revenue from Contracts with Customers (Topic 606) </w:t>
      </w:r>
      <w:r>
        <w:rPr>
          <w:rFonts w:ascii="Arial" w:cs="Arial" w:eastAsia="Arial" w:hAnsi="Arial"/>
          <w:sz w:val="16"/>
          <w:szCs w:val="16"/>
          <w:color w:val="auto"/>
        </w:rPr>
        <w:t>(“ASU 2014-09”), which supersedes the revenue recognition requirements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and interim reporting periods beginning after December 15, 2017. Accordingly, the Company will adopt ASU 2014-09 on January 29, 2018, the first day of the Company’s first quarter for the fiscal year ending February 3, 2019, the Company’s fiscal year 2018. The Company has not selected a method for adoption nor determined the potential effects on the Company’s consolidated financial statements.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2015, the FASB issued Accounting Standards Update No. 2015-11, Simplifying the Measurement of Inventory (Topic</w:t>
      </w:r>
    </w:p>
    <w:p>
      <w:pPr>
        <w:spacing w:after="0" w:line="46" w:lineRule="exact"/>
        <w:rPr>
          <w:sz w:val="20"/>
          <w:szCs w:val="20"/>
          <w:color w:val="auto"/>
        </w:rPr>
      </w:pPr>
    </w:p>
    <w:p>
      <w:pPr>
        <w:ind w:firstLine="8"/>
        <w:spacing w:after="0" w:line="26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the Company will adopt ASU 2015-11 on January 30, 2017, the first day of the Company’s first quarter for the fiscal year ending January 28, 2018, the Company’s fiscal year 2017. The Company does not expect the adoption of ASU 2015-11 to have a significant impact on the Company’s consolidated financial statements.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185"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740) (“ASU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has adopted ASU 2015-17 as of January 31, 2016 and has reported deferred tax assets and liabilities as noncurrent on the consolidated balance sheets.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the Company will adopt ASU 2016-02 on February 4, 2019, the first day of the Company’s first quarter for the fiscal year ending February 2, 2020, the Company’s fiscal year 2019. The Company has not determined the impact of this new accounting guidance on the Company’s consolidated financial statements.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Improvements to Employee Share-Based Payment Accounting</w:t>
      </w:r>
    </w:p>
    <w:p>
      <w:pPr>
        <w:spacing w:after="0" w:line="185" w:lineRule="exact"/>
        <w:rPr>
          <w:sz w:val="20"/>
          <w:szCs w:val="20"/>
          <w:color w:val="auto"/>
        </w:rPr>
      </w:pPr>
    </w:p>
    <w:p>
      <w:pPr>
        <w:ind w:right="80" w:firstLine="428"/>
        <w:spacing w:after="0" w:line="286"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The Company has adopted ASU 2016-09 as of May 1, 2016 and there was no significant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301" w:right="11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8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31, 2016 (“2015 Form 10-K”).</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The three and nine months of fiscal 2016 and fiscal 2015 represent our 13 and 39-week periods ended October 30, 2016 and November 1, 2015, respectively.</w:t>
      </w:r>
    </w:p>
    <w:p>
      <w:pPr>
        <w:spacing w:after="0" w:line="175" w:lineRule="exact"/>
        <w:rPr>
          <w:sz w:val="20"/>
          <w:szCs w:val="20"/>
          <w:color w:val="auto"/>
        </w:rPr>
      </w:pPr>
    </w:p>
    <w:p>
      <w:pPr>
        <w:ind w:right="160" w:firstLine="428"/>
        <w:spacing w:after="0" w:line="253" w:lineRule="auto"/>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 and its subsidiary and affiliates on a consolidated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firstLine="428"/>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Annual Report on Form 10-K for the fiscal year ended January 31, 2016,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5"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60" w:firstLine="428"/>
        <w:spacing w:after="0" w:line="284"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87.6% of our fiscal 2015 net sales. In 2010, we added retail to our omni-channel platform with the opening of our first store. Since then, we have expanded our retail presence, and as of October 30, 2016, we operated 12 retail stores and two outlet stores. Net sales for the retail segment represented 22.0% and 17.4% of consolidated net sales for the three and nine months ended October 30, 2016 respectively, and 15.8% and 13.8% of consolidated net sales for the three and nine months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ended November 1, 2015, respectively.</w:t>
      </w:r>
    </w:p>
    <w:p>
      <w:pPr>
        <w:spacing w:after="0" w:line="170" w:lineRule="exact"/>
        <w:rPr>
          <w:sz w:val="20"/>
          <w:szCs w:val="20"/>
          <w:color w:val="auto"/>
        </w:rPr>
      </w:pPr>
    </w:p>
    <w:p>
      <w:pPr>
        <w:ind w:right="120" w:firstLine="428"/>
        <w:spacing w:after="0" w:line="312" w:lineRule="auto"/>
        <w:rPr>
          <w:sz w:val="20"/>
          <w:szCs w:val="20"/>
          <w:color w:val="auto"/>
        </w:rPr>
      </w:pPr>
      <w:r>
        <w:rPr>
          <w:rFonts w:ascii="Arial" w:cs="Arial" w:eastAsia="Arial" w:hAnsi="Arial"/>
          <w:sz w:val="16"/>
          <w:szCs w:val="16"/>
          <w:color w:val="auto"/>
        </w:rPr>
        <w:t>We offer a comprehensive line of innovative, durable and functional product, such as our Longtail T</w:t>
      </w:r>
      <w:r>
        <w:rPr>
          <w:rFonts w:ascii="Arial" w:cs="Arial" w:eastAsia="Arial" w:hAnsi="Arial"/>
          <w:sz w:val="7"/>
          <w:szCs w:val="7"/>
          <w:color w:val="auto"/>
        </w:rPr>
        <w:t>®</w:t>
      </w:r>
      <w:r>
        <w:rPr>
          <w:rFonts w:ascii="Arial" w:cs="Arial" w:eastAsia="Arial" w:hAnsi="Arial"/>
          <w:sz w:val="16"/>
          <w:szCs w:val="16"/>
          <w:color w:val="auto"/>
        </w:rPr>
        <w:t xml:space="preserve">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and Fire Hose</w:t>
      </w:r>
      <w:r>
        <w:rPr>
          <w:rFonts w:ascii="Arial" w:cs="Arial" w:eastAsia="Arial" w:hAnsi="Arial"/>
          <w:sz w:val="7"/>
          <w:szCs w:val="7"/>
          <w:color w:val="auto"/>
        </w:rPr>
        <w:t>®</w:t>
      </w:r>
      <w:r>
        <w:rPr>
          <w:rFonts w:ascii="Arial" w:cs="Arial" w:eastAsia="Arial" w:hAnsi="Arial"/>
          <w:sz w:val="16"/>
          <w:szCs w:val="16"/>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06" w:lineRule="exact"/>
        <w:rPr>
          <w:sz w:val="20"/>
          <w:szCs w:val="20"/>
          <w:color w:val="auto"/>
        </w:rPr>
      </w:pPr>
    </w:p>
    <w:p>
      <w:pPr>
        <w:ind w:right="2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560" w:hanging="120"/>
        <w:spacing w:after="0" w:line="230" w:lineRule="auto"/>
        <w:tabs>
          <w:tab w:leader="none" w:pos="5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27 consecutive quarters through October 30, 2016;</w:t>
      </w:r>
    </w:p>
    <w:p>
      <w:pPr>
        <w:spacing w:after="0" w:line="97" w:lineRule="exact"/>
        <w:rPr>
          <w:rFonts w:ascii="Arial" w:cs="Arial" w:eastAsia="Arial" w:hAnsi="Arial"/>
          <w:sz w:val="29"/>
          <w:szCs w:val="29"/>
          <w:color w:val="auto"/>
          <w:vertAlign w:val="superscript"/>
        </w:rPr>
      </w:pPr>
    </w:p>
    <w:p>
      <w:pPr>
        <w:ind w:left="560" w:hanging="120"/>
        <w:spacing w:after="0" w:line="191" w:lineRule="auto"/>
        <w:tabs>
          <w:tab w:leader="none" w:pos="5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sales in fiscal 2016 third quarter increased by 21.2% over the prior year third quarter to $67.0 million and net sales in the fiscal 2016 nine months increased by 23.0% over the prior year nine months to $201.5 million;</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560" w:right="40" w:hanging="120"/>
        <w:spacing w:after="0" w:line="212" w:lineRule="auto"/>
        <w:tabs>
          <w:tab w:leader="none" w:pos="5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While we have achieved 27 consecutive quarters of increased net sales year-over-year, third-quarter net sales fell short of our expectations due to unseasonably warm weather and a highly promotional retail environment, which we experienced in the latter half of the third quarter and into the beginning of the fourth quarter;</w:t>
      </w:r>
    </w:p>
    <w:p>
      <w:pPr>
        <w:spacing w:after="0" w:line="82" w:lineRule="exact"/>
        <w:rPr>
          <w:rFonts w:ascii="Arial" w:cs="Arial" w:eastAsia="Arial" w:hAnsi="Arial"/>
          <w:sz w:val="29"/>
          <w:szCs w:val="29"/>
          <w:color w:val="auto"/>
          <w:vertAlign w:val="superscript"/>
        </w:rPr>
      </w:pPr>
    </w:p>
    <w:p>
      <w:pPr>
        <w:ind w:left="560" w:hanging="120"/>
        <w:spacing w:after="0" w:line="256" w:lineRule="auto"/>
        <w:tabs>
          <w:tab w:leader="none" w:pos="5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Net income in fiscal 2016 third quarter decreased by 69.4% over the prior year third quarter to $0.5 million and net income in the fiscal 2016 nine months decreased by 26.0% over the prior year nine months to $7.3 million; Adjusted for income taxes, as if we had been a “C” corporation at a combined federal, state and local effective income tax rate of 40.0%, net income in fiscal 2016 third quarter decreased by 49.0% over the prior year third quarter pro forma net income and net income in the fiscal 2016 nine months increased 23.3% over the prior year nine months pro forma net income;</w:t>
      </w:r>
    </w:p>
    <w:p>
      <w:pPr>
        <w:spacing w:after="0" w:line="71" w:lineRule="exact"/>
        <w:rPr>
          <w:rFonts w:ascii="Arial" w:cs="Arial" w:eastAsia="Arial" w:hAnsi="Arial"/>
          <w:sz w:val="26"/>
          <w:szCs w:val="26"/>
          <w:color w:val="auto"/>
          <w:vertAlign w:val="superscript"/>
        </w:rPr>
      </w:pPr>
    </w:p>
    <w:p>
      <w:pPr>
        <w:ind w:left="560" w:right="200" w:hanging="120"/>
        <w:spacing w:after="0" w:line="221" w:lineRule="auto"/>
        <w:tabs>
          <w:tab w:leader="none" w:pos="5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Adjusted EBITDA in fiscal 2016 third quarter decreased by 7.9% over the prior year third quarter to $2.5 million and adjusted EBITDA in the fiscal 2016 nine months increased by 18.8% over the prior year nine months to $16.5 million; and</w:t>
      </w:r>
    </w:p>
    <w:p>
      <w:pPr>
        <w:spacing w:after="0" w:line="1" w:lineRule="exact"/>
        <w:rPr>
          <w:rFonts w:ascii="Arial" w:cs="Arial" w:eastAsia="Arial" w:hAnsi="Arial"/>
          <w:sz w:val="26"/>
          <w:szCs w:val="26"/>
          <w:color w:val="auto"/>
          <w:vertAlign w:val="superscript"/>
        </w:rPr>
      </w:pPr>
    </w:p>
    <w:p>
      <w:pPr>
        <w:ind w:left="580" w:hanging="140"/>
        <w:spacing w:after="0" w:line="223" w:lineRule="auto"/>
        <w:tabs>
          <w:tab w:leader="none" w:pos="5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Our retail stores have achieved an average payback of less than two years.</w:t>
      </w:r>
    </w:p>
    <w:p>
      <w:pPr>
        <w:spacing w:after="0" w:line="176"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54"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280" w:firstLine="428"/>
        <w:spacing w:after="0" w:line="34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customer receipt of the product, while retail sales are recognized at the point of sale.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98" w:lineRule="exact"/>
        <w:rPr>
          <w:sz w:val="20"/>
          <w:szCs w:val="20"/>
          <w:color w:val="auto"/>
        </w:rPr>
      </w:pPr>
    </w:p>
    <w:p>
      <w:pPr>
        <w:ind w:right="120" w:firstLine="428"/>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06" w:lineRule="exact"/>
        <w:rPr>
          <w:sz w:val="20"/>
          <w:szCs w:val="20"/>
          <w:color w:val="auto"/>
        </w:rPr>
      </w:pPr>
    </w:p>
    <w:p>
      <w:pPr>
        <w:ind w:right="40" w:firstLine="428"/>
        <w:spacing w:after="0" w:line="293" w:lineRule="auto"/>
        <w:rPr>
          <w:sz w:val="20"/>
          <w:szCs w:val="20"/>
          <w:color w:val="auto"/>
        </w:rPr>
      </w:pPr>
      <w:r>
        <w:rPr>
          <w:rFonts w:ascii="Arial" w:cs="Arial" w:eastAsia="Arial" w:hAnsi="Arial"/>
          <w:sz w:val="16"/>
          <w:szCs w:val="16"/>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We have excluded comparable store sales data from this Form 10-Q due to the limited number of comparable retail stores as of October 30, 2016. Although retail store expansion is part of our growth strategy, we expect a majority percentage of our net sales to come from our direct segment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90"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6"/>
              </w:rPr>
              <w:t>October 30, 2016</w:t>
            </w:r>
          </w:p>
        </w:tc>
        <w:tc>
          <w:tcPr>
            <w:tcW w:w="13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5"/>
              </w:rPr>
              <w:t>November 1, 2015</w:t>
            </w:r>
          </w:p>
        </w:tc>
        <w:tc>
          <w:tcPr>
            <w:tcW w:w="20" w:type="dxa"/>
            <w:vAlign w:val="bottom"/>
          </w:tcPr>
          <w:p>
            <w:pPr>
              <w:spacing w:after="0"/>
              <w:rPr>
                <w:sz w:val="15"/>
                <w:szCs w:val="15"/>
                <w:color w:val="auto"/>
              </w:rPr>
            </w:pPr>
          </w:p>
        </w:tc>
        <w:tc>
          <w:tcPr>
            <w:tcW w:w="13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8"/>
              </w:rPr>
              <w:t>October 30, 2016</w:t>
            </w:r>
          </w:p>
        </w:tc>
        <w:tc>
          <w:tcPr>
            <w:tcW w:w="14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5"/>
              </w:rPr>
              <w:t>November 1, 2015</w:t>
            </w: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7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46,543</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166,437</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141,241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14,737</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35,026</w:t>
            </w: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22,539</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67,008</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201,463</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163,780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28,260</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23,692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84,102</w:t>
            </w: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69,051</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38,748</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117,361</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37,929</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29,958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105,215</w:t>
            </w: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84,574</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12,201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3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7,322</w:t>
            </w:r>
          </w:p>
        </w:tc>
        <w:tc>
          <w:tcPr>
            <w:tcW w:w="180" w:type="dxa"/>
            <w:vAlign w:val="bottom"/>
          </w:tcPr>
          <w:p>
            <w:pPr>
              <w:spacing w:after="0"/>
              <w:rPr>
                <w:sz w:val="18"/>
                <w:szCs w:val="18"/>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3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 net sales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78.0 %</w:t>
            </w:r>
          </w:p>
        </w:tc>
        <w:tc>
          <w:tcPr>
            <w:tcW w:w="6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84.2 %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82.6 %</w:t>
            </w:r>
          </w:p>
        </w:tc>
        <w:tc>
          <w:tcPr>
            <w:tcW w:w="5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6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sales</w:t>
            </w: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6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6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6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6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5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6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5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9"/>
        </w:trPr>
        <w:tc>
          <w:tcPr>
            <w:tcW w:w="3680" w:type="dxa"/>
            <w:vAlign w:val="bottom"/>
            <w:gridSpan w:val="2"/>
          </w:tcPr>
          <w:p>
            <w:pPr>
              <w:spacing w:after="0"/>
              <w:rPr>
                <w:sz w:val="20"/>
                <w:szCs w:val="20"/>
                <w:color w:val="auto"/>
              </w:rPr>
            </w:pPr>
            <w:r>
              <w:rPr>
                <w:rFonts w:ascii="Arial" w:cs="Arial" w:eastAsia="Arial" w:hAnsi="Arial"/>
                <w:sz w:val="18"/>
                <w:szCs w:val="18"/>
                <w:color w:val="auto"/>
              </w:rPr>
              <w:t>Less: Net income attributable to</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6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5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Arial" w:cs="Arial" w:eastAsia="Arial" w:hAnsi="Arial"/>
                <w:sz w:val="18"/>
                <w:szCs w:val="18"/>
                <w:b w:val="1"/>
                <w:bCs w:val="1"/>
                <w:color w:val="auto"/>
              </w:rPr>
              <w:t>Pro Forma Net Income Information</w:t>
            </w:r>
            <w:r>
              <w:rPr>
                <w:rFonts w:ascii="Arial" w:cs="Arial" w:eastAsia="Arial" w:hAnsi="Arial"/>
                <w:sz w:val="7"/>
                <w:szCs w:val="7"/>
                <w:b w:val="1"/>
                <w:bCs w:val="1"/>
                <w:color w:val="auto"/>
              </w:rPr>
              <w:t>(1)</w:t>
            </w: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controlling interest</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before provision for income taxes</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provision for income taxes</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attributable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vMerge w:val="restart"/>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vMerge w:val="restart"/>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80" w:hanging="172"/>
        <w:spacing w:after="0" w:line="234" w:lineRule="auto"/>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unaudited pro forma net income information for the three and nine months ended November 1, 2015, gives effect to an adjustment for income tax expense on the income attributable to controlling interest as if we had been a “C” corporation at an assumed combined federal, state and local effective income tax rate, which approximates our statutory income tax rate, of 40.0%. No pro forma income tax expense was calculated on the income attributable to noncontrolling interest because this entity did not convert to a “C” corporation.</w:t>
      </w:r>
    </w:p>
    <w:p>
      <w:pPr>
        <w:spacing w:after="0" w:line="156" w:lineRule="exact"/>
        <w:rPr>
          <w:sz w:val="20"/>
          <w:szCs w:val="20"/>
          <w:color w:val="auto"/>
        </w:rPr>
      </w:pPr>
    </w:p>
    <w:p>
      <w:pPr>
        <w:ind w:right="2460"/>
        <w:spacing w:after="0" w:line="456" w:lineRule="auto"/>
        <w:rPr>
          <w:sz w:val="20"/>
          <w:szCs w:val="20"/>
          <w:color w:val="auto"/>
        </w:rPr>
      </w:pPr>
      <w:r>
        <w:rPr>
          <w:rFonts w:ascii="Arial" w:cs="Arial" w:eastAsia="Arial" w:hAnsi="Arial"/>
          <w:sz w:val="18"/>
          <w:szCs w:val="18"/>
          <w:b w:val="1"/>
          <w:bCs w:val="1"/>
          <w:color w:val="auto"/>
        </w:rPr>
        <w:t xml:space="preserve">Three Months Ended October 30, 2016 Compared to Three Months Ended November 1, 2015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jc w:val="both"/>
        <w:ind w:right="200" w:firstLine="428"/>
        <w:spacing w:after="0" w:line="312" w:lineRule="auto"/>
        <w:rPr>
          <w:sz w:val="20"/>
          <w:szCs w:val="20"/>
          <w:color w:val="auto"/>
        </w:rPr>
      </w:pPr>
      <w:r>
        <w:rPr>
          <w:rFonts w:ascii="Arial" w:cs="Arial" w:eastAsia="Arial" w:hAnsi="Arial"/>
          <w:sz w:val="16"/>
          <w:szCs w:val="16"/>
          <w:color w:val="auto"/>
        </w:rPr>
        <w:t>Net sales increased $11.7 million, or 21.2%, to $67.0 million in the three months ended October 30, 2016 compared to $55.3 million in the three months ended November 1, 2015, driven by gains in both direct and retail segments of $5.7 million, or 12.3%, and $6.0 million, or 68.4%, respectively, with gains achieved across the majority of product categories. Our website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visits increased 16.7% in the three months ended October 30, 2016 compared to the three months ended November 1, 2015. The increase in retail net sales was primarily attributable to the opening of five new retail stores during the second and third quarters of fiscal 2016, along with the opening of a retail store and outlet store in the prior year third and fourth quarters.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right="60" w:firstLine="428"/>
        <w:spacing w:after="0" w:line="273" w:lineRule="auto"/>
        <w:rPr>
          <w:sz w:val="20"/>
          <w:szCs w:val="20"/>
          <w:color w:val="auto"/>
        </w:rPr>
      </w:pPr>
      <w:r>
        <w:rPr>
          <w:rFonts w:ascii="Arial" w:cs="Arial" w:eastAsia="Arial" w:hAnsi="Arial"/>
          <w:sz w:val="17"/>
          <w:szCs w:val="17"/>
          <w:color w:val="auto"/>
        </w:rPr>
        <w:t>Gross profit increased $7.1 million, or 22.6%, to $38.7 million in the three months ended October 30, 2016 compared to $31.6 million in the three months ended November 1, 2015. As a percentage of net sales, gross margin increased 60 basis points to 57.8% of net sales in the three months ended October 30, 2016, compared to 57.2% of net sales in the three months ended November 1, 2015. The increase in gross profit was primarily driven by an increase in net sales as discussed above. The increase in gross margin rate occurred in our direct and retail segments, and was primarily attributable to improved initial product costs due to increased volume, coupled with a product mix shift to higher margin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Selling, general and administrative expenses increased $8.0 million, or 26.6%, to $37.9 million in the three months ended October 30, 2016, compared to $30.0 million in the three months ended November 1, 2015. Selling, general and administrative expenses as a percentage of net sales increased 240 basis points to 56.6% in the three months ended October 30, 2016, compared to 54.2% in the three months ended November 1, 2015. The increase in selling, general and administrative expenses was attributable to an increase of $1.7 million in advertising and marketing costs, $4.6 million in general and administrative expenses and $1.7 million in selling expenses.</w:t>
      </w:r>
    </w:p>
    <w:p>
      <w:pPr>
        <w:spacing w:after="0" w:line="166" w:lineRule="exact"/>
        <w:rPr>
          <w:sz w:val="20"/>
          <w:szCs w:val="20"/>
          <w:color w:val="auto"/>
        </w:rPr>
      </w:pPr>
    </w:p>
    <w:p>
      <w:pPr>
        <w:ind w:firstLine="428"/>
        <w:spacing w:after="0" w:line="297" w:lineRule="auto"/>
        <w:rPr>
          <w:sz w:val="20"/>
          <w:szCs w:val="20"/>
          <w:color w:val="auto"/>
        </w:rPr>
      </w:pPr>
      <w:r>
        <w:rPr>
          <w:rFonts w:ascii="Arial" w:cs="Arial" w:eastAsia="Arial" w:hAnsi="Arial"/>
          <w:sz w:val="16"/>
          <w:szCs w:val="16"/>
          <w:color w:val="auto"/>
        </w:rPr>
        <w:t>As a percentage of net sales, advertising and marketing costs decreased 150 basis points to 21.8% in the three months ended October 30, 2016, compared to 23.3% in the three months ended November 1, 2015. The 150 basis point decrease in advertising and marketing costs as a percentage of net sales, was primarily driven by a decrease in television advertising primarily attributable to the timing of our women’s advertising campaign, coupled with a decrease in catalog costs primarily due to our planned decrease in catalog spend as a percentage of net sales, which was partially offset by an increase in on-line advertising.</w:t>
      </w:r>
    </w:p>
    <w:p>
      <w:pPr>
        <w:spacing w:after="0" w:line="118" w:lineRule="exact"/>
        <w:rPr>
          <w:sz w:val="20"/>
          <w:szCs w:val="20"/>
          <w:color w:val="auto"/>
        </w:rPr>
      </w:pPr>
    </w:p>
    <w:p>
      <w:pPr>
        <w:ind w:right="40" w:firstLine="428"/>
        <w:spacing w:after="0" w:line="270" w:lineRule="auto"/>
        <w:rPr>
          <w:sz w:val="20"/>
          <w:szCs w:val="20"/>
          <w:color w:val="auto"/>
        </w:rPr>
      </w:pPr>
      <w:r>
        <w:rPr>
          <w:rFonts w:ascii="Arial" w:cs="Arial" w:eastAsia="Arial" w:hAnsi="Arial"/>
          <w:sz w:val="17"/>
          <w:szCs w:val="17"/>
          <w:color w:val="auto"/>
        </w:rPr>
        <w:t>The $4.6 million increase in general and administrative expenses was primarily due to $1.2 million increase in personnel expenses, $1.7 million increase in rent expense and related store opening costs, and $0.8 million increase in consulting expenses. The $1.2 million increase in personnel expenses was primarily due to new headcount required to support the growth of our business. The $1.7 million increase in rent expense and related store opening costs was primarily attributable to an increase of six retail stores during the three months ended October 30, 2016, compared to November 1, 2015. As a percentage of net sales, general and administrative expenses increased 410 basis points to 19.7% in the three months ended October 30, 2016, compared to 15.6% in the three months ended November 1, 2015. The 480 basis point increase was primarily attributable to an increase of 220 basis points in rent expense and related store opening costs, an increase of 70 basis points in personnel expenses and an increase of 70 basis points in consulting expenses due to the factors discussed above.</w:t>
      </w:r>
    </w:p>
    <w:p>
      <w:pPr>
        <w:spacing w:after="0" w:line="141" w:lineRule="exact"/>
        <w:rPr>
          <w:sz w:val="20"/>
          <w:szCs w:val="20"/>
          <w:color w:val="auto"/>
        </w:rPr>
      </w:pPr>
    </w:p>
    <w:p>
      <w:pPr>
        <w:ind w:right="220" w:firstLine="428"/>
        <w:spacing w:after="0" w:line="291" w:lineRule="auto"/>
        <w:rPr>
          <w:sz w:val="20"/>
          <w:szCs w:val="20"/>
          <w:color w:val="auto"/>
        </w:rPr>
      </w:pPr>
      <w:r>
        <w:rPr>
          <w:rFonts w:ascii="Arial" w:cs="Arial" w:eastAsia="Arial" w:hAnsi="Arial"/>
          <w:sz w:val="16"/>
          <w:szCs w:val="16"/>
          <w:color w:val="auto"/>
        </w:rPr>
        <w:t>The $1.7 million increase in selling expenses was primarily due to $0.9 million increase in personnel, primarily due to the growth in retail, coupled with $0.3 million increase in distribution costs as a result of increased net sales. As a percentage of net sales, selling expenses decreased 10 basis points to 15.2% in the three months ended October 30, 2016, compared to 15.3% in the three months ended November 1, 2015, primarily due to an increase of 80 basis points in customer service due to growth in retail, offset by a decrease of 60 basis points in shipping expenses due to favorable shipping rates and a decrease of 40 basis points in distribution costs due to the efficient utilization of our expanded Belleville distribution center versus the two third party logistics providers (“3PLs”) in the three months ended October 30, 2016, compared to the three months ended November 1,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Interest expense was $0.03 million in the three months ended October 30, 2016, compared to $0.1 million in the three months ended November 1,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ind w:right="100" w:firstLine="428"/>
        <w:spacing w:after="0" w:line="255" w:lineRule="auto"/>
        <w:rPr>
          <w:sz w:val="20"/>
          <w:szCs w:val="20"/>
          <w:color w:val="auto"/>
        </w:rPr>
      </w:pPr>
      <w:r>
        <w:rPr>
          <w:rFonts w:ascii="Arial" w:cs="Arial" w:eastAsia="Arial" w:hAnsi="Arial"/>
          <w:sz w:val="18"/>
          <w:szCs w:val="18"/>
          <w:color w:val="auto"/>
        </w:rPr>
        <w:t>Income tax expense was $0.3 million in the three months ended October 30, 2016 and our effective tax rate related to controlling interest was 39.8%. Prior to November 25, 2015, we had been classified as an “S” corporation for federal and state income tax purposes and therefore, we had not been subject to income taxes. Prior to that date, our shareholders had been subject to income tax on their distributable share of our earnings. In connection with our IPO, we converted to a “C” corporation. On a pro forma basis, if we had been taxed as a “C” corporation at an estimated 40% effective tax rate, income taxes would have decreased $0.3 million, or 49.5%, to $0.3 million in the three months ended October 30, 2016 from $0.6 million in the three months ended November 1, 2015.</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140" w:firstLine="428"/>
        <w:spacing w:after="0" w:line="276" w:lineRule="auto"/>
        <w:rPr>
          <w:sz w:val="20"/>
          <w:szCs w:val="20"/>
          <w:color w:val="auto"/>
        </w:rPr>
      </w:pPr>
      <w:r>
        <w:rPr>
          <w:rFonts w:ascii="Arial" w:cs="Arial" w:eastAsia="Arial" w:hAnsi="Arial"/>
          <w:sz w:val="17"/>
          <w:szCs w:val="17"/>
          <w:color w:val="auto"/>
        </w:rPr>
        <w:t>Net income decreased $1.0 million, or 69.4%, to $0.5 million in the three months ended October 30, 2016, compared to $1.5 million in the three months ended November 1, 2015, primarily due to the factors discussed above. Applying a pro forma 40% “C” corporation effective tax rate to the three months ended November 1, 2015, rather than the “S” corporation tax rate that actually applied to us at that time, net income decreased $0.4 million, or 49.0%, to $0.5 million in the three months ended October 30, 2016 from $0.9 million in the three months ended November 1, 2015.</w:t>
      </w:r>
    </w:p>
    <w:p>
      <w:pPr>
        <w:spacing w:after="0" w:line="200" w:lineRule="exact"/>
        <w:rPr>
          <w:sz w:val="20"/>
          <w:szCs w:val="20"/>
          <w:color w:val="auto"/>
        </w:rPr>
      </w:pPr>
    </w:p>
    <w:p>
      <w:pPr>
        <w:spacing w:after="0" w:line="333" w:lineRule="exact"/>
        <w:rPr>
          <w:sz w:val="20"/>
          <w:szCs w:val="20"/>
          <w:color w:val="auto"/>
        </w:rPr>
      </w:pPr>
    </w:p>
    <w:p>
      <w:pPr>
        <w:ind w:right="2640"/>
        <w:spacing w:after="0" w:line="464" w:lineRule="auto"/>
        <w:rPr>
          <w:sz w:val="20"/>
          <w:szCs w:val="20"/>
          <w:color w:val="auto"/>
        </w:rPr>
      </w:pPr>
      <w:r>
        <w:rPr>
          <w:rFonts w:ascii="Arial" w:cs="Arial" w:eastAsia="Arial" w:hAnsi="Arial"/>
          <w:sz w:val="18"/>
          <w:szCs w:val="18"/>
          <w:b w:val="1"/>
          <w:bCs w:val="1"/>
          <w:color w:val="auto"/>
        </w:rPr>
        <w:t xml:space="preserve">Nine Months Ended October 30, 2016 Compared to Nine Months Ended November 1, 2015 </w:t>
      </w:r>
      <w:r>
        <w:rPr>
          <w:rFonts w:ascii="Arial" w:cs="Arial" w:eastAsia="Arial" w:hAnsi="Arial"/>
          <w:sz w:val="18"/>
          <w:szCs w:val="18"/>
          <w:b w:val="1"/>
          <w:bCs w:val="1"/>
          <w:i w:val="1"/>
          <w:iCs w:val="1"/>
          <w:color w:val="auto"/>
        </w:rPr>
        <w:t>Net Sales</w:t>
      </w:r>
    </w:p>
    <w:p>
      <w:pPr>
        <w:ind w:right="60" w:firstLine="428"/>
        <w:spacing w:after="0" w:line="291" w:lineRule="auto"/>
        <w:rPr>
          <w:sz w:val="20"/>
          <w:szCs w:val="20"/>
          <w:color w:val="auto"/>
        </w:rPr>
      </w:pPr>
      <w:r>
        <w:rPr>
          <w:rFonts w:ascii="Arial" w:cs="Arial" w:eastAsia="Arial" w:hAnsi="Arial"/>
          <w:sz w:val="16"/>
          <w:szCs w:val="16"/>
          <w:color w:val="auto"/>
        </w:rPr>
        <w:t>Net sales increased $37.7 million, or 23.0%, to $201.5 million in the nine months ended October 30, 2016 compared to $163.8 million in the nine months ended November 1, 2015, driven by gains in both direct and retail segments of $25.2 million, or 17.8%, and $12.5 million, or 55.4%, respectively, with gains achieved across virtually all product categories. The direct net sales gains were due to customers continuing to respond positively to our marketing efforts, which resulted in greater e-commerce traffic to our website and sales through our call center. Our website visits increased 16.9% in the nine months ended October 30, 2016 compared to the nine months ended November 1, 2015. The increase in retail net sales was primarily attributable to the same factors discussed above for the three months ended October 30, 2016 compared to the three months ended November 1,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$22.6 million, or 23.9%, to $117.4 million in the nine months ended October 30, 2016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$94.7 million in the nine months ended November 1, 2015. As a percentage of net sales, gross margin increased 50 basis points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58.3% of net sales in the nine months ended October 30, 2016, compared to 57.8% of net sales in the nine months ended November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2015. The increase in gross profit was primarily driven by an increase in net sales as discussed above. The increase in gross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margin rate was primarily due to the factors discussed above for the three months ended October 30, 2016 compared to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November 1,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20" w:firstLine="428"/>
        <w:spacing w:after="0" w:line="273" w:lineRule="auto"/>
        <w:rPr>
          <w:sz w:val="20"/>
          <w:szCs w:val="20"/>
          <w:color w:val="auto"/>
        </w:rPr>
      </w:pPr>
      <w:r>
        <w:rPr>
          <w:rFonts w:ascii="Arial" w:cs="Arial" w:eastAsia="Arial" w:hAnsi="Arial"/>
          <w:sz w:val="17"/>
          <w:szCs w:val="17"/>
          <w:color w:val="auto"/>
        </w:rPr>
        <w:t>Selling, general and administrative expenses increased $20.6 million, or 24.4%, to $105.2 million in the nine months ended October 30, 2016, compared to $84.6 million in the nine months ended November 1, 2015. Selling, general and administrative expenses as a percentage of net sales increased 60 basis points to 52.2% in the nine months ended October 30, 2016, compared to 51.6% in the nine months ended November 1, 2015. The increase in selling, general and administrative expenses of $20.6 million was attributable to an increase of $6.5 million in advertising and marketing costs, $8.6 million in general and administrative expenses and $5.5 million in selling expenses.</w:t>
      </w:r>
    </w:p>
    <w:p>
      <w:pPr>
        <w:spacing w:after="0" w:line="138" w:lineRule="exact"/>
        <w:rPr>
          <w:sz w:val="20"/>
          <w:szCs w:val="20"/>
          <w:color w:val="auto"/>
        </w:rPr>
      </w:pPr>
    </w:p>
    <w:p>
      <w:pPr>
        <w:ind w:right="200" w:firstLine="428"/>
        <w:spacing w:after="0" w:line="259" w:lineRule="auto"/>
        <w:rPr>
          <w:sz w:val="20"/>
          <w:szCs w:val="20"/>
          <w:color w:val="auto"/>
        </w:rPr>
      </w:pPr>
      <w:r>
        <w:rPr>
          <w:rFonts w:ascii="Arial" w:cs="Arial" w:eastAsia="Arial" w:hAnsi="Arial"/>
          <w:sz w:val="18"/>
          <w:szCs w:val="18"/>
          <w:color w:val="auto"/>
        </w:rPr>
        <w:t>As a percentage of net sales, advertising and marketing costs decreased 100 basis points to 21.6% in the nine months ended October 30, 2016, compared to 22.6% in the nine months ended November 1, 2015. The 100 basis point decline in advertising and marketing costs were primarily attributable to the same factors discussed above for the three months ended October 30, 2016, compared to the three months ended November 1, 2015.</w:t>
      </w:r>
    </w:p>
    <w:p>
      <w:pPr>
        <w:spacing w:after="0" w:line="160" w:lineRule="exact"/>
        <w:rPr>
          <w:sz w:val="20"/>
          <w:szCs w:val="20"/>
          <w:color w:val="auto"/>
        </w:rPr>
      </w:pPr>
    </w:p>
    <w:p>
      <w:pPr>
        <w:ind w:right="80" w:firstLine="428"/>
        <w:spacing w:after="0" w:line="289" w:lineRule="auto"/>
        <w:rPr>
          <w:sz w:val="20"/>
          <w:szCs w:val="20"/>
          <w:color w:val="auto"/>
        </w:rPr>
      </w:pPr>
      <w:r>
        <w:rPr>
          <w:rFonts w:ascii="Arial" w:cs="Arial" w:eastAsia="Arial" w:hAnsi="Arial"/>
          <w:sz w:val="16"/>
          <w:szCs w:val="16"/>
          <w:color w:val="auto"/>
        </w:rPr>
        <w:t>The $8.6 million increase in general and administrative expenses was primarily due to $2.9 million increase in rent expense and related store opening costs, $1.5 million increase in personnel expenses, $1.8 million increase in consulting expenses, and $1.2 million increase in depreciation expense. The increases in rent expense and related store opening costs, personnel expenses and depreciation expense, were primarily attributable to the factors discussed above for the three months ended October 30, 2016 compared to the three months ended November 1, 2015. As a percentage of net sales, general and administrative expenses increased 150 basis points to 16.6% in the nine months ended October 30, 2016, compared to 15.1% in the nine months ended November 1, 2015. The nine months ended November 1, 2015 included a $1.1 million payment related to a portion of the grantees’ tax liabilities associated with the grant of restricted stock awards. Excluding this $1.1 million payment, as a percentage of net sales, general and administrative expenses increased 220 basis points primarily due to the factors discussed above.</w:t>
      </w:r>
    </w:p>
    <w:p>
      <w:pPr>
        <w:spacing w:after="0" w:line="126"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The $5.5 million increase in selling expenses was primarily due to an increase of $1.4 million in shipping expenses due to sales growth, $1.6 million increase in distribution costs due increased sales and the use of two 3PLs, coupled with a $1.6 million increase in customer service primarily attributable to the growth in retail. As a percentage of net sales, selling expenses increased 10 basis points to 14.0% in the nine months ended October 30, 2016, compared to 13.9% in the nine months ended November 1, 2015, primarily due to an increase in customer service and distribution costs of 30 and 20 basis points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respectively, as discussed above, which was partially offset by a decrease of 40 basis points in shipping expenses due to favorable shipping rates as result of being closer to our customers due to our use of the 3PLs.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Interest expense was $0.1 million in the nine months ended October 30, 2016, compared to $0.2 million in the nine months ended November 1,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Income tax expense was $4.7 million in the nine months ended October 30, 2016 and our effective tax rate related to controlling interest was 39.0%. Prior to November 25, 2015, we had been classified as an “S” corporation for federal and state income tax purposes and therefore, we had not been subject to income taxes. Prior to that date, our shareholders had been subject to income tax on their distributable share of our earnings. In connection with our IPO, we converted to a “C” corporation. On a pro forma basis, if we had been taxed as a “C” corporation at an estimated 40% effective tax rate, income taxes would have increased by $0.7 million, or 23.3%, to $4.7 million in the nine months ended October 30, 2016 from $4.0 million in the nine months ended November 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240" w:firstLine="428"/>
        <w:spacing w:after="0" w:line="257" w:lineRule="auto"/>
        <w:rPr>
          <w:sz w:val="20"/>
          <w:szCs w:val="20"/>
          <w:color w:val="auto"/>
        </w:rPr>
      </w:pPr>
      <w:r>
        <w:rPr>
          <w:rFonts w:ascii="Arial" w:cs="Arial" w:eastAsia="Arial" w:hAnsi="Arial"/>
          <w:sz w:val="18"/>
          <w:szCs w:val="18"/>
          <w:color w:val="auto"/>
        </w:rPr>
        <w:t>Net income decreased $2.6 million, or 26.0%, to $7.3 million in the nine months ended October 30, 2016, compared to $9.9 million in the nine months ended November 1, 2015, primarily due to the factors discussed above. Applying a pro forma 40% “C” corporation effective tax rate to the nine months ended November 1, 2015, rather than the “S” corporation tax rate that actually applied to us, net income increased $1.4 million, or 23.3%, to $7.3 million in the nine months ended October 30, 2016 from $5.9 million in the nine months ended November 1, 2015.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89"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October 30, 2016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November 1, 2015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 2016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November 1, 2015</w:t>
            </w:r>
          </w:p>
        </w:tc>
      </w:tr>
      <w:tr>
        <w:trPr>
          <w:trHeight w:val="250"/>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w:t>
            </w:r>
          </w:p>
        </w:tc>
        <w:tc>
          <w:tcPr>
            <w:tcW w:w="1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Non-cash stock based compensation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grantees' tax liabilities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associated with grant of</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awards</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13,886</w:t>
            </w:r>
          </w:p>
        </w:tc>
      </w:tr>
    </w:tbl>
    <w:p>
      <w:pPr>
        <w:spacing w:after="0" w:line="175"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$0.2 million, or 7.9%, to $2.5 million in the three months ended October 30, 2016 compared to $2.7 million in the three months ended November 1, 2015. As a percentage of net sales, Adjusted EBITDA decreased 110 basis points to 3.7% of net sales in the three months ended October 30, 2016 compared to 4.8% of net sales in the three months ended November 1, 2015.</w:t>
      </w:r>
    </w:p>
    <w:p>
      <w:pPr>
        <w:spacing w:after="0" w:line="131" w:lineRule="exact"/>
        <w:rPr>
          <w:sz w:val="20"/>
          <w:szCs w:val="20"/>
          <w:color w:val="auto"/>
        </w:rPr>
      </w:pPr>
    </w:p>
    <w:p>
      <w:pPr>
        <w:ind w:right="6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increased $2.6 million, or 18.8%, to $16.5 million in the nine months ended October 30, 2016 compared to $13.9 million in the nine months ended November 1, 2015. As a percentage of net sales, Adjusted EBITDA decreased 30 basis points to 8.2% of net sales in the nine months ended October 30, 2016 compared to 8.5% of net sales in the nine months ended November 1, 2015.</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20" w:firstLine="428"/>
        <w:spacing w:after="0" w:line="279" w:lineRule="auto"/>
        <w:rPr>
          <w:sz w:val="20"/>
          <w:szCs w:val="20"/>
          <w:color w:val="auto"/>
        </w:rPr>
      </w:pPr>
      <w:r>
        <w:rPr>
          <w:rFonts w:ascii="Arial" w:cs="Arial" w:eastAsia="Arial" w:hAnsi="Arial"/>
          <w:sz w:val="17"/>
          <w:szCs w:val="17"/>
          <w:color w:val="auto"/>
        </w:rPr>
        <w:t>Our business relies on cash from operating activities as well as cash on hand and a $40 million revolving line of credit as our primary sources of liquidity.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31" w:lineRule="exact"/>
        <w:rPr>
          <w:sz w:val="20"/>
          <w:szCs w:val="20"/>
          <w:color w:val="auto"/>
        </w:rPr>
      </w:pPr>
    </w:p>
    <w:p>
      <w:pPr>
        <w:jc w:val="both"/>
        <w:ind w:right="200" w:firstLine="428"/>
        <w:spacing w:after="0" w:line="254" w:lineRule="auto"/>
        <w:rPr>
          <w:sz w:val="20"/>
          <w:szCs w:val="20"/>
          <w:color w:val="auto"/>
        </w:rPr>
      </w:pPr>
      <w:r>
        <w:rPr>
          <w:rFonts w:ascii="Arial" w:cs="Arial" w:eastAsia="Arial" w:hAnsi="Arial"/>
          <w:sz w:val="18"/>
          <w:szCs w:val="18"/>
          <w:color w:val="auto"/>
        </w:rPr>
        <w:t>We expect to spend approximately $25.0 million to $26.0 million in fiscal 2016 on capital expenditures, including a total of approximately $13.0 million to $14.0 million for new retail store expansion. We expect it will take approximately $2.0 million to $2.6 million in capital expenditures and starting inventory to open a new store. At October 30, 2016, our net working capital was $69.5 million, including $0.2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52" w:lineRule="exact"/>
        <w:rPr>
          <w:sz w:val="20"/>
          <w:szCs w:val="20"/>
          <w:color w:val="auto"/>
        </w:rPr>
      </w:pPr>
    </w:p>
    <w:p>
      <w:pPr>
        <w:ind w:right="100" w:firstLine="428"/>
        <w:spacing w:after="0" w:line="264" w:lineRule="auto"/>
        <w:rPr>
          <w:sz w:val="20"/>
          <w:szCs w:val="20"/>
          <w:color w:val="auto"/>
        </w:rPr>
      </w:pPr>
      <w:r>
        <w:rPr>
          <w:rFonts w:ascii="Arial" w:cs="Arial" w:eastAsia="Arial" w:hAnsi="Arial"/>
          <w:sz w:val="18"/>
          <w:szCs w:val="18"/>
          <w:color w:val="auto"/>
        </w:rPr>
        <w:t>We believe that our cash balance as of October 30, 2016,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5"/>
          </w:tcPr>
          <w:p>
            <w:pPr>
              <w:jc w:val="right"/>
              <w:ind w:right="133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30, 2016</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ind w:right="314"/>
              <w:spacing w:after="0"/>
              <w:rPr>
                <w:sz w:val="20"/>
                <w:szCs w:val="20"/>
                <w:color w:val="auto"/>
              </w:rPr>
            </w:pPr>
            <w:r>
              <w:rPr>
                <w:rFonts w:ascii="Arial" w:cs="Arial" w:eastAsia="Arial" w:hAnsi="Arial"/>
                <w:sz w:val="14"/>
                <w:szCs w:val="14"/>
                <w:b w:val="1"/>
                <w:bCs w:val="1"/>
                <w:color w:val="auto"/>
              </w:rPr>
              <w:t>November 1, 2015</w:t>
            </w:r>
          </w:p>
        </w:tc>
      </w:tr>
      <w:tr>
        <w:trPr>
          <w:trHeight w:val="25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896"/>
              <w:spacing w:after="0"/>
              <w:rPr>
                <w:sz w:val="20"/>
                <w:szCs w:val="20"/>
                <w:color w:val="auto"/>
              </w:rPr>
            </w:pPr>
            <w:r>
              <w:rPr>
                <w:rFonts w:ascii="Arial" w:cs="Arial" w:eastAsia="Arial" w:hAnsi="Arial"/>
                <w:sz w:val="18"/>
                <w:szCs w:val="18"/>
                <w:color w:val="auto"/>
                <w:w w:val="89"/>
              </w:rPr>
              <w:t>(26,783)</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left="896"/>
              <w:spacing w:after="0"/>
              <w:rPr>
                <w:sz w:val="20"/>
                <w:szCs w:val="20"/>
                <w:color w:val="auto"/>
              </w:rPr>
            </w:pPr>
            <w:r>
              <w:rPr>
                <w:rFonts w:ascii="Arial" w:cs="Arial" w:eastAsia="Arial" w:hAnsi="Arial"/>
                <w:sz w:val="18"/>
                <w:szCs w:val="18"/>
                <w:color w:val="auto"/>
                <w:w w:val="89"/>
              </w:rPr>
              <w:t>(22,473)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(6,611)</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936"/>
              <w:spacing w:after="0"/>
              <w:rPr>
                <w:sz w:val="20"/>
                <w:szCs w:val="20"/>
                <w:color w:val="auto"/>
              </w:rPr>
            </w:pPr>
            <w:r>
              <w:rPr>
                <w:rFonts w:ascii="Arial" w:cs="Arial" w:eastAsia="Arial" w:hAnsi="Arial"/>
                <w:sz w:val="18"/>
                <w:szCs w:val="18"/>
                <w:color w:val="auto"/>
                <w:w w:val="87"/>
              </w:rPr>
              <w:t>11,556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13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center"/>
              <w:ind w:left="896"/>
              <w:spacing w:after="0"/>
              <w:rPr>
                <w:sz w:val="20"/>
                <w:szCs w:val="20"/>
                <w:color w:val="auto"/>
              </w:rPr>
            </w:pPr>
            <w:r>
              <w:rPr>
                <w:rFonts w:ascii="Arial" w:cs="Arial" w:eastAsia="Arial" w:hAnsi="Arial"/>
                <w:sz w:val="18"/>
                <w:szCs w:val="18"/>
                <w:color w:val="auto"/>
                <w:w w:val="89"/>
              </w:rPr>
              <w:t>(37,700)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60" w:firstLine="428"/>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While our cash flows from operations for the nine months ended October 30, 2016 is negative, primarily driven by the seasonal nature of our business, we expect cash flows from operations for the full year fiscal 2016 to be positive from normal operating performance and seasonal reductions in working capital during the fourth quarter of our fiscal year, which is consistent with previous full fiscal years.</w:t>
      </w:r>
    </w:p>
    <w:p>
      <w:pPr>
        <w:spacing w:after="0" w:line="160"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For the nine months ended October 30, 2016, net cash used in operating activities was $26.8 million, which primarily consisted of net income of $7.5 million, non-cash depreciation and amortization of $3.2 million and stock based compensation of $1.0 million, offset by cash used in operating assets and liabilities of $38.6 million. The cash used in operating assets and liabilities of $38.6 million primarily consisted of $40.9 million increase in inventory, due to building up of inventory for our peak season, coupled with the increase in retail stores during fiscal 2016, and $3.0 million increase in other receivables primarily due to refunds for excess income tax payments, which was partially offset by a $6.7 million increase in trade accounts payable, primarily due to seasonality and timing of payments.</w:t>
      </w:r>
    </w:p>
    <w:p>
      <w:pPr>
        <w:spacing w:after="0" w:line="149" w:lineRule="exact"/>
        <w:rPr>
          <w:sz w:val="20"/>
          <w:szCs w:val="20"/>
          <w:color w:val="auto"/>
        </w:rPr>
      </w:pPr>
    </w:p>
    <w:p>
      <w:pPr>
        <w:ind w:right="140" w:firstLine="473"/>
        <w:spacing w:after="0" w:line="272" w:lineRule="auto"/>
        <w:rPr>
          <w:sz w:val="20"/>
          <w:szCs w:val="20"/>
          <w:color w:val="auto"/>
        </w:rPr>
      </w:pPr>
      <w:r>
        <w:rPr>
          <w:rFonts w:ascii="Arial" w:cs="Arial" w:eastAsia="Arial" w:hAnsi="Arial"/>
          <w:sz w:val="17"/>
          <w:szCs w:val="17"/>
          <w:color w:val="auto"/>
        </w:rPr>
        <w:t>For the nine months ended November 1, 2015, net cash used in operating activities was $17.3 million, which consisted of net income of $10.0 million, non-cash depreciation and amortization of $2.0 million and stock based compensation of $0.5 million, offset by cash used in operating assets and liabilities of $29.8 million. The cash used in operating assets and liabilities of $29.8 million primarily consisted of $31.2 million and $1.2 million increases in inventory and prepaid expenses, respectively, and a decrease of $1.9 million in accrued expenses and deferred rent obligations, which was partially offset by a $4.9 million increase in trade accounts payable. The increases in inventory and trade accounts payable were primarily due to seasonality and growth of our business coupled with timing of payments.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jc w:val="both"/>
        <w:ind w:right="120" w:firstLine="428"/>
        <w:spacing w:after="0" w:line="264"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 coupled with changes in restricted cash, which is related to our retail store leasing agreements.</w:t>
      </w:r>
    </w:p>
    <w:p>
      <w:pPr>
        <w:spacing w:after="0" w:line="154" w:lineRule="exact"/>
        <w:rPr>
          <w:sz w:val="20"/>
          <w:szCs w:val="20"/>
          <w:color w:val="auto"/>
        </w:rPr>
      </w:pPr>
    </w:p>
    <w:p>
      <w:pPr>
        <w:jc w:val="both"/>
        <w:ind w:right="140" w:firstLine="428"/>
        <w:spacing w:after="0" w:line="264" w:lineRule="auto"/>
        <w:rPr>
          <w:sz w:val="20"/>
          <w:szCs w:val="20"/>
          <w:color w:val="auto"/>
        </w:rPr>
      </w:pPr>
      <w:r>
        <w:rPr>
          <w:rFonts w:ascii="Arial" w:cs="Arial" w:eastAsia="Arial" w:hAnsi="Arial"/>
          <w:sz w:val="18"/>
          <w:szCs w:val="18"/>
          <w:color w:val="auto"/>
        </w:rPr>
        <w:t>For the nine months ended October 30, 2016, net cash used in investing activities was $22.5 million and was primarily driven by capital expenditures of $21.0 million for the expansion of our Belleville distribution center, the opening of five new retail stores, and information technology.</w:t>
      </w:r>
    </w:p>
    <w:p>
      <w:pPr>
        <w:spacing w:after="0" w:line="141" w:lineRule="exact"/>
        <w:rPr>
          <w:sz w:val="20"/>
          <w:szCs w:val="20"/>
          <w:color w:val="auto"/>
        </w:rPr>
      </w:pPr>
    </w:p>
    <w:p>
      <w:pPr>
        <w:jc w:val="both"/>
        <w:ind w:right="140" w:firstLine="428"/>
        <w:spacing w:after="0" w:line="342" w:lineRule="auto"/>
        <w:rPr>
          <w:sz w:val="20"/>
          <w:szCs w:val="20"/>
          <w:color w:val="auto"/>
        </w:rPr>
      </w:pPr>
      <w:r>
        <w:rPr>
          <w:rFonts w:ascii="Arial" w:cs="Arial" w:eastAsia="Arial" w:hAnsi="Arial"/>
          <w:sz w:val="16"/>
          <w:szCs w:val="16"/>
          <w:color w:val="auto"/>
        </w:rPr>
        <w:t>For the nine months ended November 1, 2015, net cash used in investing activities was $6.6 million and was primarily driven by capital expenditures for the opening of two new stores and the implementation of a new warehouse management system.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8"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entity and capital contributions to Schlecht Retail Ventures LLC.</w:t>
      </w:r>
    </w:p>
    <w:p>
      <w:pPr>
        <w:spacing w:after="0" w:line="141"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For the nine months ended October 30, 2016, net cash provided by financing activities was $11.6 million, primarily consisting of proceeds of $13.2 million, net from our revolving line of credit, $2.1 million in change in bank overdraft, and $0.7 million for capital contributions to SRV, offset by uses of $4.2 million for payments on long-term debt.</w:t>
      </w:r>
    </w:p>
    <w:p>
      <w:pPr>
        <w:spacing w:after="0" w:line="141" w:lineRule="exact"/>
        <w:rPr>
          <w:sz w:val="20"/>
          <w:szCs w:val="20"/>
          <w:color w:val="auto"/>
        </w:rPr>
      </w:pPr>
    </w:p>
    <w:p>
      <w:pPr>
        <w:ind w:right="120" w:firstLine="428"/>
        <w:spacing w:after="0" w:line="276" w:lineRule="auto"/>
        <w:rPr>
          <w:sz w:val="20"/>
          <w:szCs w:val="20"/>
          <w:color w:val="auto"/>
        </w:rPr>
      </w:pPr>
      <w:r>
        <w:rPr>
          <w:rFonts w:ascii="Arial" w:cs="Arial" w:eastAsia="Arial" w:hAnsi="Arial"/>
          <w:sz w:val="17"/>
          <w:szCs w:val="17"/>
          <w:color w:val="auto"/>
        </w:rPr>
        <w:t>For the nine months ended November 1, 2015, net cash provided by financing activities was $16.2 million, primarily consisting of proceeds of $29.7 million, net from our revolving line of credit, $0.8 million from long-term debt and $0.3 million for capital contributions to variable interest entity, offset by uses of $13.7 million in tax distributions to our shareholders due to our “S” corporation status, $0.5 million for payments on long-term debt, $0.3 million for payments on capital leases and $0.3 million in distributions to holders of noncontrolling interest in variable interest entity.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60" w:firstLine="428"/>
        <w:spacing w:after="0" w:line="269" w:lineRule="auto"/>
        <w:rPr>
          <w:sz w:val="20"/>
          <w:szCs w:val="20"/>
          <w:color w:val="auto"/>
        </w:rPr>
      </w:pPr>
      <w:r>
        <w:rPr>
          <w:rFonts w:ascii="Arial" w:cs="Arial" w:eastAsia="Arial" w:hAnsi="Arial"/>
          <w:sz w:val="17"/>
          <w:szCs w:val="17"/>
          <w:color w:val="auto"/>
        </w:rPr>
        <w:t>On October 7, 2016, we amended and restated our existing Amended and Restated Loan Agreement dated as of June 13, 2011, as amended (the “Amended and Restated Agreement”).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Rested Agreement (effective rate of 1.8% at October 30, 2016). The Amended and Restated Agreement is secured by essentially all Company assets and requires that we maintain compliance with certain financial and non-financial covenants, including minimum tangible net worth and a minimum trailing twelve month EBITDA. In addition, the Amended and Restated Agreement does not contain borrowing base limits. As of October 30, 2016 and for the nine months then ended, we were in compliance with all financial and non-financial covenants, and we expect to be in compliance with all financial and non-financial covenants for the remainder of fiscal 2016.</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31,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are believed to be reasonable under the circumstances. Actual results may differ from these estimates under different assumptions and conditions and such differences could be material to the consolidated financial statements.</w:t>
      </w:r>
    </w:p>
    <w:p>
      <w:pPr>
        <w:spacing w:after="0" w:line="130"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Annual Report on Form 10-K for the fiscal year ended January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7"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and interim reporting periods beginning after December 15, 2017. Accordingly, we will adopt ASU 2014-09 on January 29, 2018, the first day of our first quarter for the fiscal year ending February 3, 2019, our fiscal year 2018. We have not selected a method for adoption nor determined the potential effects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2015, the FASB issued Accounting Standards Update No. 2015-11, Simplifying the Measurement of Inventory (Topic</w:t>
      </w:r>
    </w:p>
    <w:p>
      <w:pPr>
        <w:spacing w:after="0" w:line="46" w:lineRule="exact"/>
        <w:rPr>
          <w:sz w:val="20"/>
          <w:szCs w:val="20"/>
          <w:color w:val="auto"/>
        </w:rPr>
      </w:pPr>
    </w:p>
    <w:p>
      <w:pPr>
        <w:ind w:right="40" w:firstLine="8"/>
        <w:spacing w:after="0" w:line="251"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we will adopt ASU 2015-11 on January 30, 2017, the first day of our first quarter for the fiscal year ending January 28, 2018, our fiscal year 2017. We do not expect the adoption of ASU 2015-11 to have a significant impact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198"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(Topic 740) </w:t>
      </w:r>
      <w:r>
        <w:rPr>
          <w:rFonts w:ascii="Arial" w:cs="Arial" w:eastAsia="Arial" w:hAnsi="Arial"/>
          <w:sz w:val="16"/>
          <w:szCs w:val="16"/>
          <w:color w:val="auto"/>
        </w:rPr>
        <w:t>(“ASU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have adopted ASU 2015-17 as of January 31, 2016 and have reported deferred tax assets and liabilities as noncurrent on the consolidated balance sheets.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we will adopt ASU 2016-02 on February 4, 2019, the first day of our first quarter for the fiscal year ending February 2, 2020, our fiscal year 2019. We have not determined the impact of this new accounting guidance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Improvements to Employee Share-Based Payment Accounting</w:t>
      </w:r>
    </w:p>
    <w:p>
      <w:pPr>
        <w:spacing w:after="0" w:line="185" w:lineRule="exact"/>
        <w:rPr>
          <w:sz w:val="20"/>
          <w:szCs w:val="20"/>
          <w:color w:val="auto"/>
        </w:rPr>
      </w:pPr>
    </w:p>
    <w:p>
      <w:pPr>
        <w:ind w:right="120" w:firstLine="428"/>
        <w:spacing w:after="0" w:line="270"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We have adopted ASU 2016-09 as of May 1, 2016 and there was no significant impact to our consolidated financial statements.</w:t>
      </w:r>
    </w:p>
    <w:p>
      <w:pPr>
        <w:spacing w:after="0" w:line="200" w:lineRule="exact"/>
        <w:rPr>
          <w:sz w:val="20"/>
          <w:szCs w:val="20"/>
          <w:color w:val="auto"/>
        </w:rPr>
      </w:pPr>
    </w:p>
    <w:p>
      <w:pPr>
        <w:spacing w:after="0" w:line="342" w:lineRule="exact"/>
        <w:rPr>
          <w:sz w:val="20"/>
          <w:szCs w:val="20"/>
          <w:color w:val="auto"/>
        </w:rPr>
      </w:pPr>
    </w:p>
    <w:p>
      <w:pPr>
        <w:ind w:right="4220"/>
        <w:spacing w:after="0" w:line="41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Risk Factors</w:t>
      </w:r>
    </w:p>
    <w:p>
      <w:pPr>
        <w:spacing w:after="0" w:line="1"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We are subject to interest rate risk in connection with borrowings under our revolving line of credit, which bears interest at a rate equal to the adjusted LIBOR rate, as defined in the Amended and Restated Agreement (effective rate of 1.8% at October 30, 2016). As of October 30, 2016, $13.2 million was outstanding under the revolving line of credit. As of October 30, 2016, the undrawn borrowing availability under the revolving line of credit was $26.8 million. Based on the average interest rate on the revolving line of credit during the first nine months of fiscal 2016, and to the extent that borrowings were outstanding, we do not believe that a 10% change in the interest rate would have a material effect on our consolidated results of operations or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18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right="320" w:firstLine="42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right="30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firstLine="441"/>
        <w:spacing w:after="0" w:line="279" w:lineRule="auto"/>
        <w:rPr>
          <w:sz w:val="20"/>
          <w:szCs w:val="20"/>
          <w:color w:val="auto"/>
        </w:rPr>
      </w:pPr>
      <w:r>
        <w:rPr>
          <w:rFonts w:ascii="Arial" w:cs="Arial" w:eastAsia="Arial" w:hAnsi="Arial"/>
          <w:sz w:val="17"/>
          <w:szCs w:val="17"/>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Annual Report on Form 10-K for the fiscal year ended January 31, 2016. There have been no material changes to our risk factors as previously disclosed in our Annual Report on Form 10-K.</w:t>
      </w:r>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On November 25, 2015, we closed our IPO, in which we registered and sold 7,666,667 shares of Class B common stock at a price of $12.00 per share. The aggregate offering price for shares sold in the offering was approximately $92.0 million. The offer and sale of all the shares in the IPO were registered under the Securities Act of 1933, as amended pursuant to a registration statement on Form S-1 (File No. 333-207300), which was declared effective by the SEC on November 19, 2015. We raised approximately $83.9 million in net proceeds after deducting underwriting discounts and commissions of approximately $6.4 million and other offering expenses of approximately $1.7 million.</w:t>
      </w:r>
    </w:p>
    <w:p>
      <w:pPr>
        <w:spacing w:after="0" w:line="153"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Through October 30, 2016, the total net proceeds from our IPO have been applied as follows: $46.3 million to pay in full a short term note previously borrowed from a bank to pay a portion of the distribution of 100% of the cumulative undistributed taxable earnings to our then existing shareholders from the date of our formation through the date of termination of our “S” corporation status, $14.2 million for retail stores, $9.7 million for infrastructure and technology, $3.6 million for early debt payoffs, $0.3 million for our final “S” corporation distribution, and $9.8 million for general corporate expenses.</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the Exhibit Index.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December 9, 2016</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1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85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29"/>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6"/>
              </w:rPr>
              <w:t>Second Amended and Restated Loan Agreement, dated October 7, 2016, among BMO Harris Bank N.A. (f/k/a Harris N.A.)</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8"/>
              </w:rPr>
              <w:t>and Duluth Holdings Inc., incorporated by reference to Exhibit 10.1 of the Company's Current Report on Form 8-K dated</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October 7, 2016.</w:t>
            </w:r>
          </w:p>
        </w:tc>
      </w:tr>
      <w:tr>
        <w:trPr>
          <w:trHeight w:val="239"/>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6"/>
              </w:rPr>
              <w:t>Fifth Amended and Restated Revolving Note, dated October 7, 2016, among BMO Harris Bank N.A. (f/k/a Harris N.A.) and</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Duluth Holdings Inc. incorporated by reference to Exhibit 10.2 of the Company's Current Report on Form 8-K dated October</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7, 2016.</w:t>
            </w:r>
          </w:p>
        </w:tc>
      </w:tr>
      <w:tr>
        <w:trPr>
          <w:trHeight w:val="239"/>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Second Amended and Restated Security Agreement dated October 7, 2016, among BMO Harris Bank N.A. (f/k/a Harris N.A.)</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9"/>
              </w:rPr>
              <w:t>and Duluth Holdings Inc. incorporated by reference to Exhibit 10.3 of the Company's Current Report on Form 8-K dated</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October 7, 2016.</w:t>
            </w:r>
          </w:p>
        </w:tc>
      </w:tr>
      <w:tr>
        <w:trPr>
          <w:trHeight w:val="239"/>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Certification of Chief Executive Officer pursuant to Rule 13a-14(a) and Rule 15d-14(a) of the Securities and Exchange Act, as</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amended.*</w:t>
            </w:r>
          </w:p>
        </w:tc>
      </w:tr>
      <w:tr>
        <w:trPr>
          <w:trHeight w:val="280"/>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Certification of Chief Financial Officer pursuant to Rule 13a-14(a) and Rule 15d-14(a) of the Securities and Exchange Act of</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1934, as amended.*</w:t>
            </w:r>
          </w:p>
        </w:tc>
      </w:tr>
      <w:tr>
        <w:trPr>
          <w:trHeight w:val="266"/>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23"/>
                <w:szCs w:val="23"/>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6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Schema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Definition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Label Linkbase Document**</w:t>
            </w:r>
          </w:p>
        </w:tc>
      </w:tr>
      <w:tr>
        <w:trPr>
          <w:trHeight w:val="209"/>
        </w:trPr>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101.PRE</w:t>
            </w:r>
          </w:p>
        </w:tc>
        <w:tc>
          <w:tcPr>
            <w:tcW w:w="85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20" w:lineRule="exact"/>
        <w:rPr>
          <w:sz w:val="20"/>
          <w:szCs w:val="20"/>
          <w:color w:val="auto"/>
        </w:rPr>
      </w:pPr>
    </w:p>
    <w:p>
      <w:pPr>
        <w:ind w:left="1480" w:hanging="1355"/>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4"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1020" w:hanging="363"/>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3" w:lineRule="exact"/>
        <w:rPr>
          <w:rFonts w:ascii="Arial" w:cs="Arial" w:eastAsia="Arial" w:hAnsi="Arial"/>
          <w:sz w:val="18"/>
          <w:szCs w:val="18"/>
          <w:color w:val="auto"/>
        </w:rPr>
      </w:pPr>
    </w:p>
    <w:p>
      <w:pPr>
        <w:ind w:left="980" w:right="30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2016</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M. DeOrio,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6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4"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1020" w:hanging="363"/>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3" w:lineRule="exact"/>
        <w:rPr>
          <w:rFonts w:ascii="Arial" w:cs="Arial" w:eastAsia="Arial" w:hAnsi="Arial"/>
          <w:sz w:val="18"/>
          <w:szCs w:val="18"/>
          <w:color w:val="auto"/>
        </w:rPr>
      </w:pPr>
    </w:p>
    <w:p>
      <w:pPr>
        <w:ind w:left="980" w:right="300" w:hanging="323"/>
        <w:spacing w:after="0" w:line="264"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2016</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October 30, 2016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460" w:right="7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460" w:right="74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9, 2016</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4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October 30, 2016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800" w:right="38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800" w:right="42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9, 2016</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decimal"/>
      <w:start w:val="330"/>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606"/>
    </w:lvl>
  </w:abstractNum>
  <w:abstractNum w:abstractNumId="9">
    <w:nsid w:val="66EF438D"/>
    <w:multiLevelType w:val="hybridMultilevel"/>
    <w:lvl w:ilvl="0">
      <w:lvlJc w:val="left"/>
      <w:lvlText w:val="%1)"/>
      <w:numFmt w:val="decimal"/>
      <w:start w:val="330"/>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2019-12-29T08:32:50Z</dcterms:created>
  <dcterms:modified xsi:type="dcterms:W3CDTF">2019-12-29T08:32:50Z</dcterms:modified>
</cp:coreProperties>
</file>