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500" w:hanging="439"/>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 the Fiscal Year Ended January 31, 2016</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500" w:hanging="43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transition period from</w:t>
            </w:r>
          </w:p>
        </w:tc>
        <w:tc>
          <w:tcPr>
            <w:tcW w:w="214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1100" w:type="dxa"/>
            <w:vAlign w:val="bottom"/>
          </w:tcPr>
          <w:p>
            <w:pPr>
              <w:spacing w:after="0"/>
              <w:rPr>
                <w:sz w:val="18"/>
                <w:szCs w:val="18"/>
                <w:color w:val="auto"/>
              </w:rPr>
            </w:pPr>
          </w:p>
        </w:tc>
      </w:tr>
      <w:tr>
        <w:trPr>
          <w:trHeight w:val="187"/>
        </w:trPr>
        <w:tc>
          <w:tcPr>
            <w:tcW w:w="3380" w:type="dxa"/>
            <w:vAlign w:val="bottom"/>
          </w:tcPr>
          <w:p>
            <w:pPr>
              <w:spacing w:after="0"/>
              <w:rPr>
                <w:sz w:val="16"/>
                <w:szCs w:val="16"/>
                <w:color w:val="auto"/>
              </w:rPr>
            </w:pPr>
          </w:p>
        </w:tc>
        <w:tc>
          <w:tcPr>
            <w:tcW w:w="2960" w:type="dxa"/>
            <w:vAlign w:val="bottom"/>
            <w:gridSpan w:val="2"/>
          </w:tcPr>
          <w:p>
            <w:pPr>
              <w:jc w:val="center"/>
              <w:ind w:left="297"/>
              <w:spacing w:after="0" w:line="187" w:lineRule="exact"/>
              <w:rPr>
                <w:sz w:val="20"/>
                <w:szCs w:val="20"/>
                <w:color w:val="auto"/>
              </w:rPr>
            </w:pPr>
            <w:r>
              <w:rPr>
                <w:rFonts w:ascii="Arial" w:cs="Arial" w:eastAsia="Arial" w:hAnsi="Arial"/>
                <w:sz w:val="18"/>
                <w:szCs w:val="18"/>
                <w:b w:val="1"/>
                <w:bCs w:val="1"/>
                <w:color w:val="auto"/>
                <w:w w:val="90"/>
              </w:rPr>
              <w:t>Commission file No. 001-37641</w:t>
            </w: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71"/>
        </w:trPr>
        <w:tc>
          <w:tcPr>
            <w:tcW w:w="8480" w:type="dxa"/>
            <w:vAlign w:val="bottom"/>
            <w:gridSpan w:val="4"/>
          </w:tcPr>
          <w:p>
            <w:pPr>
              <w:jc w:val="center"/>
              <w:ind w:left="1533"/>
              <w:spacing w:after="0"/>
              <w:rPr>
                <w:sz w:val="20"/>
                <w:szCs w:val="20"/>
                <w:color w:val="auto"/>
              </w:rPr>
            </w:pPr>
            <w:r>
              <w:rPr>
                <w:rFonts w:ascii="Arial" w:cs="Arial" w:eastAsia="Arial" w:hAnsi="Arial"/>
                <w:sz w:val="40"/>
                <w:szCs w:val="40"/>
                <w:b w:val="1"/>
                <w:bCs w:val="1"/>
                <w:color w:val="auto"/>
              </w:rPr>
              <w:t>DULUTH HOLDINGS INC.</w:t>
            </w:r>
          </w:p>
        </w:tc>
        <w:tc>
          <w:tcPr>
            <w:tcW w:w="1100" w:type="dxa"/>
            <w:vAlign w:val="bottom"/>
          </w:tcPr>
          <w:p>
            <w:pPr>
              <w:spacing w:after="0"/>
              <w:rPr>
                <w:sz w:val="24"/>
                <w:szCs w:val="24"/>
                <w:color w:val="auto"/>
              </w:rPr>
            </w:pPr>
          </w:p>
        </w:tc>
      </w:tr>
      <w:tr>
        <w:trPr>
          <w:trHeight w:val="186"/>
        </w:trPr>
        <w:tc>
          <w:tcPr>
            <w:tcW w:w="3380" w:type="dxa"/>
            <w:vAlign w:val="bottom"/>
          </w:tcPr>
          <w:p>
            <w:pPr>
              <w:spacing w:after="0"/>
              <w:rPr>
                <w:sz w:val="16"/>
                <w:szCs w:val="16"/>
                <w:color w:val="auto"/>
              </w:rPr>
            </w:pPr>
          </w:p>
        </w:tc>
        <w:tc>
          <w:tcPr>
            <w:tcW w:w="5100" w:type="dxa"/>
            <w:vAlign w:val="bottom"/>
            <w:gridSpan w:val="3"/>
          </w:tcPr>
          <w:p>
            <w:pPr>
              <w:jc w:val="center"/>
              <w:ind w:right="168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100" w:type="dxa"/>
            <w:vAlign w:val="bottom"/>
          </w:tcPr>
          <w:p>
            <w:pPr>
              <w:spacing w:after="0"/>
              <w:rPr>
                <w:sz w:val="16"/>
                <w:szCs w:val="16"/>
                <w:color w:val="auto"/>
              </w:rPr>
            </w:pPr>
          </w:p>
        </w:tc>
      </w:tr>
      <w:tr>
        <w:trPr>
          <w:trHeight w:val="452"/>
        </w:trPr>
        <w:tc>
          <w:tcPr>
            <w:tcW w:w="634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89"/>
              </w:rPr>
              <w:t>Wisconsin</w:t>
            </w:r>
          </w:p>
        </w:tc>
        <w:tc>
          <w:tcPr>
            <w:tcW w:w="2140" w:type="dxa"/>
            <w:vAlign w:val="bottom"/>
          </w:tcPr>
          <w:p>
            <w:pPr>
              <w:jc w:val="right"/>
              <w:ind w:right="282"/>
              <w:spacing w:after="0"/>
              <w:rPr>
                <w:sz w:val="20"/>
                <w:szCs w:val="20"/>
                <w:color w:val="auto"/>
              </w:rPr>
            </w:pPr>
            <w:r>
              <w:rPr>
                <w:rFonts w:ascii="Arial" w:cs="Arial" w:eastAsia="Arial" w:hAnsi="Arial"/>
                <w:sz w:val="16"/>
                <w:szCs w:val="16"/>
                <w:b w:val="1"/>
                <w:bCs w:val="1"/>
                <w:color w:val="auto"/>
              </w:rPr>
              <w:t>39-1564801</w:t>
            </w:r>
          </w:p>
        </w:tc>
        <w:tc>
          <w:tcPr>
            <w:tcW w:w="1100" w:type="dxa"/>
            <w:vAlign w:val="bottom"/>
          </w:tcPr>
          <w:p>
            <w:pPr>
              <w:spacing w:after="0"/>
              <w:rPr>
                <w:sz w:val="24"/>
                <w:szCs w:val="24"/>
                <w:color w:val="auto"/>
              </w:rPr>
            </w:pPr>
          </w:p>
        </w:tc>
      </w:tr>
      <w:tr>
        <w:trPr>
          <w:trHeight w:val="213"/>
        </w:trPr>
        <w:tc>
          <w:tcPr>
            <w:tcW w:w="63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3"/>
              </w:rPr>
              <w:t>(State or other jurisdiction of</w:t>
            </w:r>
          </w:p>
        </w:tc>
        <w:tc>
          <w:tcPr>
            <w:tcW w:w="2140" w:type="dxa"/>
            <w:vAlign w:val="bottom"/>
          </w:tcPr>
          <w:p>
            <w:pPr>
              <w:jc w:val="center"/>
              <w:ind w:left="542"/>
              <w:spacing w:after="0"/>
              <w:rPr>
                <w:sz w:val="20"/>
                <w:szCs w:val="20"/>
                <w:color w:val="auto"/>
              </w:rPr>
            </w:pPr>
            <w:r>
              <w:rPr>
                <w:rFonts w:ascii="Arial" w:cs="Arial" w:eastAsia="Arial" w:hAnsi="Arial"/>
                <w:sz w:val="14"/>
                <w:szCs w:val="14"/>
                <w:b w:val="1"/>
                <w:bCs w:val="1"/>
                <w:color w:val="auto"/>
                <w:w w:val="96"/>
              </w:rPr>
              <w:t>(I.R.S. Employer</w:t>
            </w:r>
          </w:p>
        </w:tc>
        <w:tc>
          <w:tcPr>
            <w:tcW w:w="1100" w:type="dxa"/>
            <w:vAlign w:val="bottom"/>
          </w:tcPr>
          <w:p>
            <w:pPr>
              <w:spacing w:after="0"/>
              <w:rPr>
                <w:sz w:val="18"/>
                <w:szCs w:val="18"/>
                <w:color w:val="auto"/>
              </w:rPr>
            </w:pPr>
          </w:p>
        </w:tc>
      </w:tr>
      <w:tr>
        <w:trPr>
          <w:trHeight w:val="186"/>
        </w:trPr>
        <w:tc>
          <w:tcPr>
            <w:tcW w:w="63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4"/>
              </w:rPr>
              <w:t>incorporation or organization)</w:t>
            </w:r>
          </w:p>
        </w:tc>
        <w:tc>
          <w:tcPr>
            <w:tcW w:w="2140" w:type="dxa"/>
            <w:vAlign w:val="bottom"/>
          </w:tcPr>
          <w:p>
            <w:pPr>
              <w:jc w:val="center"/>
              <w:ind w:left="562"/>
              <w:spacing w:after="0"/>
              <w:rPr>
                <w:sz w:val="20"/>
                <w:szCs w:val="20"/>
                <w:color w:val="auto"/>
              </w:rPr>
            </w:pPr>
            <w:r>
              <w:rPr>
                <w:rFonts w:ascii="Arial" w:cs="Arial" w:eastAsia="Arial" w:hAnsi="Arial"/>
                <w:sz w:val="14"/>
                <w:szCs w:val="14"/>
                <w:b w:val="1"/>
                <w:bCs w:val="1"/>
                <w:color w:val="auto"/>
                <w:w w:val="95"/>
              </w:rPr>
              <w:t>Identification Number)</w:t>
            </w:r>
          </w:p>
        </w:tc>
        <w:tc>
          <w:tcPr>
            <w:tcW w:w="1100" w:type="dxa"/>
            <w:vAlign w:val="bottom"/>
          </w:tcPr>
          <w:p>
            <w:pPr>
              <w:spacing w:after="0"/>
              <w:rPr>
                <w:sz w:val="16"/>
                <w:szCs w:val="16"/>
                <w:color w:val="auto"/>
              </w:rPr>
            </w:pPr>
          </w:p>
        </w:tc>
      </w:tr>
      <w:tr>
        <w:trPr>
          <w:trHeight w:val="290"/>
        </w:trPr>
        <w:tc>
          <w:tcPr>
            <w:tcW w:w="634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2"/>
              </w:rPr>
              <w:t>170 Countryside Drive, Belleville, Wisconsin</w:t>
            </w:r>
          </w:p>
        </w:tc>
        <w:tc>
          <w:tcPr>
            <w:tcW w:w="2140" w:type="dxa"/>
            <w:vAlign w:val="bottom"/>
          </w:tcPr>
          <w:p>
            <w:pPr>
              <w:jc w:val="right"/>
              <w:ind w:right="462"/>
              <w:spacing w:after="0"/>
              <w:rPr>
                <w:sz w:val="20"/>
                <w:szCs w:val="20"/>
                <w:color w:val="auto"/>
              </w:rPr>
            </w:pPr>
            <w:r>
              <w:rPr>
                <w:rFonts w:ascii="Arial" w:cs="Arial" w:eastAsia="Arial" w:hAnsi="Arial"/>
                <w:sz w:val="16"/>
                <w:szCs w:val="16"/>
                <w:b w:val="1"/>
                <w:bCs w:val="1"/>
                <w:color w:val="auto"/>
              </w:rPr>
              <w:t>53508</w:t>
            </w:r>
          </w:p>
        </w:tc>
        <w:tc>
          <w:tcPr>
            <w:tcW w:w="1100" w:type="dxa"/>
            <w:vAlign w:val="bottom"/>
          </w:tcPr>
          <w:p>
            <w:pPr>
              <w:spacing w:after="0"/>
              <w:rPr>
                <w:sz w:val="24"/>
                <w:szCs w:val="24"/>
                <w:color w:val="auto"/>
              </w:rPr>
            </w:pPr>
          </w:p>
        </w:tc>
      </w:tr>
      <w:tr>
        <w:trPr>
          <w:trHeight w:val="210"/>
        </w:trPr>
        <w:tc>
          <w:tcPr>
            <w:tcW w:w="634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40" w:type="dxa"/>
            <w:vAlign w:val="bottom"/>
          </w:tcPr>
          <w:p>
            <w:pPr>
              <w:jc w:val="center"/>
              <w:ind w:left="562"/>
              <w:spacing w:after="0"/>
              <w:rPr>
                <w:sz w:val="20"/>
                <w:szCs w:val="20"/>
                <w:color w:val="auto"/>
              </w:rPr>
            </w:pPr>
            <w:r>
              <w:rPr>
                <w:rFonts w:ascii="Arial" w:cs="Arial" w:eastAsia="Arial" w:hAnsi="Arial"/>
                <w:sz w:val="14"/>
                <w:szCs w:val="14"/>
                <w:b w:val="1"/>
                <w:bCs w:val="1"/>
                <w:color w:val="auto"/>
                <w:w w:val="95"/>
              </w:rPr>
              <w:t>(Zip Code)</w:t>
            </w:r>
          </w:p>
        </w:tc>
        <w:tc>
          <w:tcPr>
            <w:tcW w:w="1100" w:type="dxa"/>
            <w:vAlign w:val="bottom"/>
          </w:tcPr>
          <w:p>
            <w:pPr>
              <w:spacing w:after="0"/>
              <w:rPr>
                <w:sz w:val="18"/>
                <w:szCs w:val="18"/>
                <w:color w:val="auto"/>
              </w:rPr>
            </w:pPr>
          </w:p>
        </w:tc>
      </w:tr>
      <w:tr>
        <w:trPr>
          <w:trHeight w:val="363"/>
        </w:trPr>
        <w:tc>
          <w:tcPr>
            <w:tcW w:w="8480" w:type="dxa"/>
            <w:vAlign w:val="bottom"/>
            <w:gridSpan w:val="4"/>
          </w:tcPr>
          <w:p>
            <w:pPr>
              <w:jc w:val="center"/>
              <w:ind w:left="1533"/>
              <w:spacing w:after="0"/>
              <w:rPr>
                <w:sz w:val="20"/>
                <w:szCs w:val="20"/>
                <w:color w:val="auto"/>
              </w:rPr>
            </w:pPr>
            <w:r>
              <w:rPr>
                <w:rFonts w:ascii="Arial" w:cs="Arial" w:eastAsia="Arial" w:hAnsi="Arial"/>
                <w:sz w:val="16"/>
                <w:szCs w:val="16"/>
                <w:b w:val="1"/>
                <w:bCs w:val="1"/>
                <w:color w:val="auto"/>
                <w:w w:val="90"/>
              </w:rPr>
              <w:t>Registrant’s telephone number, including area code: (608) 424-1544</w:t>
            </w:r>
          </w:p>
        </w:tc>
        <w:tc>
          <w:tcPr>
            <w:tcW w:w="1100" w:type="dxa"/>
            <w:vAlign w:val="bottom"/>
          </w:tcPr>
          <w:p>
            <w:pPr>
              <w:spacing w:after="0"/>
              <w:rPr>
                <w:sz w:val="24"/>
                <w:szCs w:val="24"/>
                <w:color w:val="auto"/>
              </w:rPr>
            </w:pPr>
          </w:p>
        </w:tc>
      </w:tr>
      <w:tr>
        <w:trPr>
          <w:trHeight w:val="210"/>
        </w:trPr>
        <w:tc>
          <w:tcPr>
            <w:tcW w:w="8480" w:type="dxa"/>
            <w:vAlign w:val="bottom"/>
            <w:gridSpan w:val="4"/>
          </w:tcPr>
          <w:p>
            <w:pPr>
              <w:jc w:val="center"/>
              <w:ind w:left="155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100" w:type="dxa"/>
            <w:vAlign w:val="bottom"/>
          </w:tcPr>
          <w:p>
            <w:pPr>
              <w:spacing w:after="0"/>
              <w:rPr>
                <w:sz w:val="18"/>
                <w:szCs w:val="18"/>
                <w:color w:val="auto"/>
              </w:rPr>
            </w:pPr>
          </w:p>
        </w:tc>
      </w:tr>
      <w:tr>
        <w:trPr>
          <w:trHeight w:val="23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4"/>
        </w:trPr>
        <w:tc>
          <w:tcPr>
            <w:tcW w:w="6340" w:type="dxa"/>
            <w:vAlign w:val="bottom"/>
            <w:gridSpan w:val="3"/>
          </w:tcPr>
          <w:p>
            <w:pPr>
              <w:jc w:val="center"/>
              <w:ind w:right="2960"/>
              <w:spacing w:after="0"/>
              <w:rPr>
                <w:sz w:val="20"/>
                <w:szCs w:val="20"/>
                <w:color w:val="auto"/>
              </w:rPr>
            </w:pPr>
            <w:r>
              <w:rPr>
                <w:rFonts w:ascii="Arial" w:cs="Arial" w:eastAsia="Arial" w:hAnsi="Arial"/>
                <w:sz w:val="16"/>
                <w:szCs w:val="16"/>
                <w:color w:val="auto"/>
                <w:w w:val="91"/>
              </w:rPr>
              <w:t>Class B Common Stock, No Par Value</w:t>
            </w:r>
          </w:p>
        </w:tc>
        <w:tc>
          <w:tcPr>
            <w:tcW w:w="3240" w:type="dxa"/>
            <w:vAlign w:val="bottom"/>
            <w:gridSpan w:val="2"/>
          </w:tcPr>
          <w:p>
            <w:pPr>
              <w:jc w:val="center"/>
              <w:ind w:right="59"/>
              <w:spacing w:after="0"/>
              <w:rPr>
                <w:sz w:val="20"/>
                <w:szCs w:val="20"/>
                <w:color w:val="auto"/>
              </w:rPr>
            </w:pPr>
            <w:r>
              <w:rPr>
                <w:rFonts w:ascii="Arial" w:cs="Arial" w:eastAsia="Arial" w:hAnsi="Arial"/>
                <w:sz w:val="16"/>
                <w:szCs w:val="16"/>
                <w:color w:val="auto"/>
                <w:w w:val="95"/>
              </w:rPr>
              <w:t>NASDAQ Global Select Market</w:t>
            </w:r>
          </w:p>
        </w:tc>
      </w:tr>
      <w:tr>
        <w:trPr>
          <w:trHeight w:val="303"/>
        </w:trPr>
        <w:tc>
          <w:tcPr>
            <w:tcW w:w="8480" w:type="dxa"/>
            <w:vAlign w:val="bottom"/>
            <w:gridSpan w:val="4"/>
          </w:tcPr>
          <w:p>
            <w:pPr>
              <w:jc w:val="center"/>
              <w:ind w:left="1553"/>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100" w:type="dxa"/>
            <w:vAlign w:val="bottom"/>
          </w:tcPr>
          <w:p>
            <w:pPr>
              <w:spacing w:after="0"/>
              <w:rPr>
                <w:sz w:val="24"/>
                <w:szCs w:val="24"/>
                <w:color w:val="auto"/>
              </w:rPr>
            </w:pPr>
          </w:p>
        </w:tc>
      </w:tr>
      <w:tr>
        <w:trPr>
          <w:trHeight w:val="210"/>
        </w:trPr>
        <w:tc>
          <w:tcPr>
            <w:tcW w:w="3380" w:type="dxa"/>
            <w:vAlign w:val="bottom"/>
          </w:tcPr>
          <w:p>
            <w:pPr>
              <w:spacing w:after="0"/>
              <w:rPr>
                <w:sz w:val="18"/>
                <w:szCs w:val="18"/>
                <w:color w:val="auto"/>
              </w:rPr>
            </w:pPr>
          </w:p>
        </w:tc>
        <w:tc>
          <w:tcPr>
            <w:tcW w:w="2960" w:type="dxa"/>
            <w:vAlign w:val="bottom"/>
            <w:gridSpan w:val="2"/>
          </w:tcPr>
          <w:p>
            <w:pPr>
              <w:jc w:val="center"/>
              <w:ind w:left="317"/>
              <w:spacing w:after="0"/>
              <w:rPr>
                <w:sz w:val="20"/>
                <w:szCs w:val="20"/>
                <w:color w:val="auto"/>
              </w:rPr>
            </w:pPr>
            <w:r>
              <w:rPr>
                <w:rFonts w:ascii="Arial" w:cs="Arial" w:eastAsia="Arial" w:hAnsi="Arial"/>
                <w:sz w:val="16"/>
                <w:szCs w:val="16"/>
                <w:b w:val="1"/>
                <w:bCs w:val="1"/>
                <w:color w:val="auto"/>
                <w:w w:val="89"/>
              </w:rPr>
              <w:t>None</w:t>
            </w: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5"/>
        </w:trPr>
        <w:tc>
          <w:tcPr>
            <w:tcW w:w="8480" w:type="dxa"/>
            <w:vAlign w:val="bottom"/>
            <w:gridSpan w:val="4"/>
          </w:tcPr>
          <w:p>
            <w:pPr>
              <w:ind w:left="32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1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8480" w:type="dxa"/>
            <w:vAlign w:val="bottom"/>
            <w:gridSpan w:val="4"/>
          </w:tcPr>
          <w:p>
            <w:pPr>
              <w:ind w:left="320"/>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10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32"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w:t>
      </w:r>
    </w:p>
    <w:p>
      <w:pPr>
        <w:spacing w:after="0" w:line="34"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324"/>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and “smaller reporting company” in Rule 12b-2 of the Exchange Act. (Check one):</w:t>
      </w:r>
    </w:p>
    <w:p>
      <w:pPr>
        <w:sectPr>
          <w:pgSz w:w="11900" w:h="16838" w:orient="portrait"/>
          <w:cols w:equalWidth="0" w:num="1">
            <w:col w:w="10060"/>
          </w:cols>
          <w:pgMar w:left="900" w:top="648" w:right="939" w:bottom="1440" w:gutter="0" w:footer="0" w:header="0"/>
        </w:sectPr>
      </w:pPr>
    </w:p>
    <w:p>
      <w:pPr>
        <w:spacing w:after="0" w:line="202" w:lineRule="exact"/>
        <w:rPr>
          <w:sz w:val="24"/>
          <w:szCs w:val="24"/>
          <w:color w:val="auto"/>
        </w:rPr>
      </w:pPr>
    </w:p>
    <w:p>
      <w:pPr>
        <w:ind w:left="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660" w:space="720"/>
            <w:col w:w="3920" w:space="720"/>
            <w:col w:w="1840" w:space="720"/>
            <w:col w:w="480"/>
          </w:cols>
          <w:pgMar w:left="900" w:top="648" w:right="939" w:bottom="1440" w:gutter="0" w:footer="0" w:header="0"/>
          <w:type w:val="continuous"/>
        </w:sectPr>
      </w:pPr>
    </w:p>
    <w:p>
      <w:pPr>
        <w:spacing w:after="0" w:line="31" w:lineRule="exact"/>
        <w:rPr>
          <w:sz w:val="24"/>
          <w:szCs w:val="24"/>
          <w:color w:val="auto"/>
        </w:rPr>
      </w:pPr>
    </w:p>
    <w:p>
      <w:pPr>
        <w:ind w:left="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5">
            <w:col w:w="1660" w:space="720"/>
            <w:col w:w="140" w:space="40"/>
            <w:col w:w="3740" w:space="720"/>
            <w:col w:w="1840" w:space="720"/>
            <w:col w:w="480"/>
          </w:cols>
          <w:pgMar w:left="900" w:top="648" w:right="939" w:bottom="1440" w:gutter="0" w:footer="0" w:header="0"/>
          <w:type w:val="continuous"/>
        </w:sectPr>
      </w:pPr>
    </w:p>
    <w:p>
      <w:pPr>
        <w:spacing w:after="0" w:line="9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6" w:lineRule="exact"/>
        <w:rPr>
          <w:sz w:val="24"/>
          <w:szCs w:val="24"/>
          <w:color w:val="auto"/>
        </w:rPr>
      </w:pPr>
    </w:p>
    <w:p>
      <w:pPr>
        <w:sectPr>
          <w:pgSz w:w="11900" w:h="16838" w:orient="portrait"/>
          <w:cols w:equalWidth="0" w:num="5">
            <w:col w:w="7680" w:space="160"/>
            <w:col w:w="240" w:space="80"/>
            <w:col w:w="140" w:space="160"/>
            <w:col w:w="200" w:space="80"/>
            <w:col w:w="1320"/>
          </w:cols>
          <w:pgMar w:left="900" w:top="648" w:right="939" w:bottom="1440" w:gutter="0" w:footer="0" w:header="0"/>
          <w:type w:val="continuous"/>
        </w:sectPr>
      </w:pPr>
    </w:p>
    <w:p>
      <w:pPr>
        <w:ind w:right="40" w:firstLine="324"/>
        <w:spacing w:after="0" w:line="273" w:lineRule="auto"/>
        <w:rPr>
          <w:sz w:val="20"/>
          <w:szCs w:val="20"/>
          <w:color w:val="auto"/>
        </w:rPr>
      </w:pPr>
      <w:r>
        <w:rPr>
          <w:rFonts w:ascii="Arial" w:cs="Arial" w:eastAsia="Arial" w:hAnsi="Arial"/>
          <w:sz w:val="16"/>
          <w:szCs w:val="16"/>
          <w:color w:val="auto"/>
        </w:rPr>
        <w:t>As of the last business day of the Registrant’s most recently completed second fiscal quarter, the Registrant’s Class B common stock was not publicly traded. The Class B common stock began trading on the NASDAQ Global Select Market on November 20, 2015. The number of shares outstanding of the Registrant’s Class A common stock, no par value, as of April 5, 2016, was 3,364,200. The number of shares outstanding of the Registrant’s Class B common stock, no par value, as of April 5, 2016, was 28,951,742.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80" w:firstLine="324"/>
        <w:spacing w:after="0" w:line="293" w:lineRule="auto"/>
        <w:rPr>
          <w:sz w:val="20"/>
          <w:szCs w:val="20"/>
          <w:color w:val="auto"/>
        </w:rPr>
      </w:pPr>
      <w:r>
        <w:rPr>
          <w:rFonts w:ascii="Arial" w:cs="Arial" w:eastAsia="Arial" w:hAnsi="Arial"/>
          <w:sz w:val="16"/>
          <w:szCs w:val="16"/>
          <w:color w:val="auto"/>
        </w:rPr>
        <w:t>Portions of the registrant’s definitive proxy statement to be filed within 120 days of January 31, 2016 are incorporated by reference in this Annual Report on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925830</wp:posOffset>
            </wp:positionV>
            <wp:extent cx="617410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10060"/>
          </w:cols>
          <w:pgMar w:left="900" w:top="648" w:right="9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gridSpan w:val="12"/>
            <w:vMerge w:val="restart"/>
          </w:tcPr>
          <w:p>
            <w:pPr>
              <w:jc w:val="center"/>
              <w:ind w:right="332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12"/>
            <w:vMerge w:val="continue"/>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500" w:type="dxa"/>
            <w:vAlign w:val="bottom"/>
            <w:gridSpan w:val="2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bottom w:val="single" w:sz="8" w:color="0000EE"/>
            </w:tcBorders>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2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6240" w:type="dxa"/>
            <w:vAlign w:val="bottom"/>
            <w:gridSpan w:val="2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1B.</w:t>
              </w:r>
            </w:hyperlink>
          </w:p>
        </w:tc>
        <w:tc>
          <w:tcPr>
            <w:tcW w:w="280" w:type="dxa"/>
            <w:vAlign w:val="bottom"/>
            <w:gridSpan w:val="2"/>
          </w:tcPr>
          <w:p>
            <w:pPr>
              <w:spacing w:after="0"/>
              <w:rPr>
                <w:sz w:val="24"/>
                <w:szCs w:val="24"/>
                <w:color w:val="auto"/>
              </w:rPr>
            </w:pPr>
          </w:p>
        </w:tc>
        <w:tc>
          <w:tcPr>
            <w:tcW w:w="750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280" w:type="dxa"/>
            <w:vAlign w:val="bottom"/>
            <w:gridSpan w:val="2"/>
          </w:tcPr>
          <w:p>
            <w:pPr>
              <w:spacing w:after="0"/>
              <w:rPr>
                <w:sz w:val="24"/>
                <w:szCs w:val="24"/>
                <w:color w:val="auto"/>
              </w:rPr>
            </w:pPr>
          </w:p>
        </w:tc>
        <w:tc>
          <w:tcPr>
            <w:tcW w:w="282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46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50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50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Officers of Duluth Holdings Inc.</w:t>
              </w:r>
            </w:hyperlink>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340" w:type="dxa"/>
            <w:vAlign w:val="bottom"/>
            <w:gridSpan w:val="12"/>
          </w:tcPr>
          <w:p>
            <w:pPr>
              <w:jc w:val="center"/>
              <w:ind w:right="3320"/>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6"/>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7500" w:type="dxa"/>
            <w:vAlign w:val="bottom"/>
            <w:gridSpan w:val="27"/>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MARKET FOR THE REGISTRANT’S COMMON EQUITY, RELATED SHAREHOLDER</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MATTERS AND ISSUER PURCHASES OF EQUITY SECURITIES</w:t>
              </w:r>
            </w:hyperlink>
          </w:p>
        </w:tc>
        <w:tc>
          <w:tcPr>
            <w:tcW w:w="78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5060" w:type="dxa"/>
            <w:vAlign w:val="bottom"/>
            <w:tcBorders>
              <w:top w:val="single" w:sz="8" w:color="0000EE"/>
            </w:tcBorders>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244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750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RESULTS OF OPERATIONS</w:t>
              </w:r>
            </w:hyperlink>
          </w:p>
        </w:tc>
        <w:tc>
          <w:tcPr>
            <w:tcW w:w="4500" w:type="dxa"/>
            <w:vAlign w:val="bottom"/>
            <w:tcBorders>
              <w:top w:val="single" w:sz="8" w:color="0000EE"/>
            </w:tcBorders>
            <w:gridSpan w:val="13"/>
          </w:tcPr>
          <w:p>
            <w:pPr>
              <w:spacing w:after="0"/>
              <w:rPr>
                <w:sz w:val="17"/>
                <w:szCs w:val="17"/>
                <w:color w:val="auto"/>
              </w:rPr>
            </w:pPr>
          </w:p>
        </w:tc>
        <w:tc>
          <w:tcPr>
            <w:tcW w:w="80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7A.</w:t>
              </w:r>
            </w:hyperlink>
          </w:p>
        </w:tc>
        <w:tc>
          <w:tcPr>
            <w:tcW w:w="260" w:type="dxa"/>
            <w:vAlign w:val="bottom"/>
          </w:tcPr>
          <w:p>
            <w:pPr>
              <w:spacing w:after="0"/>
              <w:rPr>
                <w:sz w:val="24"/>
                <w:szCs w:val="24"/>
                <w:color w:val="auto"/>
              </w:rPr>
            </w:pPr>
          </w:p>
        </w:tc>
        <w:tc>
          <w:tcPr>
            <w:tcW w:w="750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260" w:type="dxa"/>
            <w:vAlign w:val="bottom"/>
          </w:tcPr>
          <w:p>
            <w:pPr>
              <w:spacing w:after="0"/>
              <w:rPr>
                <w:sz w:val="24"/>
                <w:szCs w:val="24"/>
                <w:color w:val="auto"/>
              </w:rPr>
            </w:pPr>
          </w:p>
        </w:tc>
        <w:tc>
          <w:tcPr>
            <w:tcW w:w="6140" w:type="dxa"/>
            <w:vAlign w:val="bottom"/>
            <w:tcBorders>
              <w:top w:val="single" w:sz="8" w:color="0000EE"/>
            </w:tcBorders>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36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9.</w:t>
              </w:r>
            </w:hyperlink>
          </w:p>
        </w:tc>
        <w:tc>
          <w:tcPr>
            <w:tcW w:w="750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FINANCIAL DISCLOSURE</w:t>
              </w:r>
            </w:hyperlink>
          </w:p>
        </w:tc>
        <w:tc>
          <w:tcPr>
            <w:tcW w:w="4800" w:type="dxa"/>
            <w:vAlign w:val="bottom"/>
            <w:tcBorders>
              <w:top w:val="single" w:sz="8" w:color="0000EE"/>
            </w:tcBorders>
            <w:gridSpan w:val="16"/>
          </w:tcPr>
          <w:p>
            <w:pPr>
              <w:spacing w:after="0"/>
              <w:rPr>
                <w:sz w:val="17"/>
                <w:szCs w:val="17"/>
                <w:color w:val="auto"/>
              </w:rPr>
            </w:pPr>
          </w:p>
        </w:tc>
        <w:tc>
          <w:tcPr>
            <w:tcW w:w="5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9A.</w:t>
              </w:r>
            </w:hyperlink>
          </w:p>
        </w:tc>
        <w:tc>
          <w:tcPr>
            <w:tcW w:w="260" w:type="dxa"/>
            <w:vAlign w:val="bottom"/>
          </w:tcPr>
          <w:p>
            <w:pPr>
              <w:spacing w:after="0"/>
              <w:rPr>
                <w:sz w:val="24"/>
                <w:szCs w:val="24"/>
                <w:color w:val="auto"/>
              </w:rPr>
            </w:pPr>
          </w:p>
        </w:tc>
        <w:tc>
          <w:tcPr>
            <w:tcW w:w="750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80" w:type="dxa"/>
            <w:vAlign w:val="bottom"/>
            <w:tcBorders>
              <w:top w:val="single" w:sz="8" w:color="0000EE"/>
            </w:tcBorders>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9B.</w:t>
              </w:r>
            </w:hyperlink>
          </w:p>
        </w:tc>
        <w:tc>
          <w:tcPr>
            <w:tcW w:w="260" w:type="dxa"/>
            <w:vAlign w:val="bottom"/>
          </w:tcPr>
          <w:p>
            <w:pPr>
              <w:spacing w:after="0"/>
              <w:rPr>
                <w:sz w:val="24"/>
                <w:szCs w:val="24"/>
                <w:color w:val="auto"/>
              </w:rPr>
            </w:pPr>
          </w:p>
        </w:tc>
        <w:tc>
          <w:tcPr>
            <w:tcW w:w="2600" w:type="dxa"/>
            <w:vAlign w:val="bottom"/>
            <w:tcBorders>
              <w:top w:val="single" w:sz="8" w:color="0000EE"/>
            </w:tcBorders>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49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12"/>
          </w:tcPr>
          <w:p>
            <w:pPr>
              <w:jc w:val="center"/>
              <w:ind w:right="3320"/>
              <w:spacing w:after="0"/>
              <w:rPr>
                <w:sz w:val="20"/>
                <w:szCs w:val="20"/>
                <w:color w:val="auto"/>
              </w:rPr>
            </w:pPr>
            <w:r>
              <w:rPr>
                <w:rFonts w:ascii="Arial" w:cs="Arial" w:eastAsia="Arial" w:hAnsi="Arial"/>
                <w:sz w:val="18"/>
                <w:szCs w:val="18"/>
                <w:b w:val="1"/>
                <w:bCs w:val="1"/>
                <w:color w:val="auto"/>
              </w:rPr>
              <w:t>PART III</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ITEM 10.</w:t>
              </w:r>
            </w:hyperlink>
          </w:p>
        </w:tc>
        <w:tc>
          <w:tcPr>
            <w:tcW w:w="300" w:type="dxa"/>
            <w:vAlign w:val="bottom"/>
            <w:gridSpan w:val="3"/>
          </w:tcPr>
          <w:p>
            <w:pPr>
              <w:spacing w:after="0"/>
              <w:rPr>
                <w:sz w:val="16"/>
                <w:szCs w:val="16"/>
                <w:color w:val="auto"/>
              </w:rPr>
            </w:pPr>
          </w:p>
        </w:tc>
        <w:tc>
          <w:tcPr>
            <w:tcW w:w="7500" w:type="dxa"/>
            <w:vAlign w:val="bottom"/>
            <w:gridSpan w:val="27"/>
          </w:tcPr>
          <w:p>
            <w:pPr>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ITEM 11.</w:t>
              </w:r>
            </w:hyperlink>
          </w:p>
        </w:tc>
        <w:tc>
          <w:tcPr>
            <w:tcW w:w="20" w:type="dxa"/>
            <w:vAlign w:val="bottom"/>
            <w:tcBorders>
              <w:top w:val="single" w:sz="8" w:color="0000EE"/>
            </w:tcBorders>
          </w:tcPr>
          <w:p>
            <w:pPr>
              <w:spacing w:after="0"/>
              <w:rPr>
                <w:sz w:val="24"/>
                <w:szCs w:val="24"/>
                <w:color w:val="auto"/>
              </w:rPr>
            </w:pPr>
          </w:p>
        </w:tc>
        <w:tc>
          <w:tcPr>
            <w:tcW w:w="300" w:type="dxa"/>
            <w:vAlign w:val="bottom"/>
            <w:gridSpan w:val="3"/>
          </w:tcPr>
          <w:p>
            <w:pPr>
              <w:spacing w:after="0"/>
              <w:rPr>
                <w:sz w:val="24"/>
                <w:szCs w:val="24"/>
                <w:color w:val="auto"/>
              </w:rPr>
            </w:pPr>
          </w:p>
        </w:tc>
        <w:tc>
          <w:tcPr>
            <w:tcW w:w="24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EXECUTIVE COMPENSATION</w:t>
              </w:r>
            </w:hyperlink>
          </w:p>
        </w:tc>
        <w:tc>
          <w:tcPr>
            <w:tcW w:w="3360" w:type="dxa"/>
            <w:vAlign w:val="bottom"/>
            <w:tcBorders>
              <w:top w:val="single" w:sz="8" w:color="0000EE"/>
            </w:tcBorders>
            <w:gridSpan w:val="9"/>
          </w:tcPr>
          <w:p>
            <w:pPr>
              <w:spacing w:after="0"/>
              <w:rPr>
                <w:sz w:val="24"/>
                <w:szCs w:val="24"/>
                <w:color w:val="auto"/>
              </w:rPr>
            </w:pPr>
          </w:p>
        </w:tc>
        <w:tc>
          <w:tcPr>
            <w:tcW w:w="170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12.</w:t>
              </w:r>
            </w:hyperlink>
          </w:p>
        </w:tc>
        <w:tc>
          <w:tcPr>
            <w:tcW w:w="300" w:type="dxa"/>
            <w:vAlign w:val="bottom"/>
            <w:gridSpan w:val="3"/>
          </w:tcPr>
          <w:p>
            <w:pPr>
              <w:spacing w:after="0"/>
              <w:rPr>
                <w:sz w:val="24"/>
                <w:szCs w:val="24"/>
                <w:color w:val="auto"/>
              </w:rPr>
            </w:pPr>
          </w:p>
        </w:tc>
        <w:tc>
          <w:tcPr>
            <w:tcW w:w="71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SECURITY OWNERSHIP OF CERTAIN BENEFICIAL OWNERS AND MANAGEMENT AND</w:t>
              </w:r>
            </w:hyperlink>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RELATED SHAREHOLDER MATTERS</w:t>
              </w:r>
            </w:hyperlink>
          </w:p>
        </w:tc>
        <w:tc>
          <w:tcPr>
            <w:tcW w:w="446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13.</w:t>
              </w:r>
            </w:hyperlink>
          </w:p>
        </w:tc>
        <w:tc>
          <w:tcPr>
            <w:tcW w:w="300" w:type="dxa"/>
            <w:vAlign w:val="bottom"/>
            <w:gridSpan w:val="3"/>
          </w:tcPr>
          <w:p>
            <w:pPr>
              <w:spacing w:after="0"/>
              <w:rPr>
                <w:sz w:val="24"/>
                <w:szCs w:val="24"/>
                <w:color w:val="auto"/>
              </w:rPr>
            </w:pPr>
          </w:p>
        </w:tc>
        <w:tc>
          <w:tcPr>
            <w:tcW w:w="7500" w:type="dxa"/>
            <w:vAlign w:val="bottom"/>
            <w:gridSpan w:val="2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INDEPENDENCE</w:t>
              </w:r>
            </w:hyperlink>
          </w:p>
        </w:tc>
        <w:tc>
          <w:tcPr>
            <w:tcW w:w="4860" w:type="dxa"/>
            <w:vAlign w:val="bottom"/>
            <w:tcBorders>
              <w:top w:val="single" w:sz="8" w:color="0000EE"/>
            </w:tcBorders>
            <w:gridSpan w:val="16"/>
          </w:tcPr>
          <w:p>
            <w:pPr>
              <w:spacing w:after="0"/>
              <w:rPr>
                <w:sz w:val="17"/>
                <w:szCs w:val="17"/>
                <w:color w:val="auto"/>
              </w:rPr>
            </w:pPr>
          </w:p>
        </w:tc>
        <w:tc>
          <w:tcPr>
            <w:tcW w:w="126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ITEM 14.</w:t>
              </w:r>
            </w:hyperlink>
          </w:p>
        </w:tc>
        <w:tc>
          <w:tcPr>
            <w:tcW w:w="300" w:type="dxa"/>
            <w:vAlign w:val="bottom"/>
            <w:gridSpan w:val="3"/>
          </w:tcPr>
          <w:p>
            <w:pPr>
              <w:spacing w:after="0"/>
              <w:rPr>
                <w:sz w:val="24"/>
                <w:szCs w:val="24"/>
                <w:color w:val="auto"/>
              </w:rPr>
            </w:pPr>
          </w:p>
        </w:tc>
        <w:tc>
          <w:tcPr>
            <w:tcW w:w="394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PRINCIPAL ACCOUNTING FEES AND SERVICES</w:t>
              </w:r>
            </w:hyperlink>
          </w:p>
        </w:tc>
        <w:tc>
          <w:tcPr>
            <w:tcW w:w="35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12"/>
          </w:tcPr>
          <w:p>
            <w:pPr>
              <w:jc w:val="center"/>
              <w:ind w:right="3320"/>
              <w:spacing w:after="0"/>
              <w:rPr>
                <w:sz w:val="20"/>
                <w:szCs w:val="20"/>
                <w:color w:val="auto"/>
              </w:rPr>
            </w:pPr>
            <w:r>
              <w:rPr>
                <w:rFonts w:ascii="Arial" w:cs="Arial" w:eastAsia="Arial" w:hAnsi="Arial"/>
                <w:sz w:val="18"/>
                <w:szCs w:val="18"/>
                <w:b w:val="1"/>
                <w:bCs w:val="1"/>
                <w:color w:val="auto"/>
                <w:w w:val="98"/>
              </w:rPr>
              <w:t>PART IV</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gridSpan w:val="3"/>
          </w:tcPr>
          <w:p>
            <w:pPr>
              <w:spacing w:after="0" w:line="190"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ITEM 15.</w:t>
              </w:r>
            </w:hyperlink>
          </w:p>
        </w:tc>
        <w:tc>
          <w:tcPr>
            <w:tcW w:w="300" w:type="dxa"/>
            <w:vAlign w:val="bottom"/>
            <w:gridSpan w:val="3"/>
          </w:tcPr>
          <w:p>
            <w:pPr>
              <w:spacing w:after="0"/>
              <w:rPr>
                <w:sz w:val="16"/>
                <w:szCs w:val="16"/>
                <w:color w:val="auto"/>
              </w:rPr>
            </w:pPr>
          </w:p>
        </w:tc>
        <w:tc>
          <w:tcPr>
            <w:tcW w:w="7500" w:type="dxa"/>
            <w:vAlign w:val="bottom"/>
            <w:gridSpan w:val="27"/>
          </w:tcPr>
          <w:p>
            <w:pPr>
              <w:spacing w:after="0" w:line="190" w:lineRule="exact"/>
              <w:rPr>
                <w:rFonts w:ascii="Arial" w:cs="Arial" w:eastAsia="Arial" w:hAnsi="Arial"/>
                <w:sz w:val="18"/>
                <w:szCs w:val="18"/>
                <w:color w:val="0000EE"/>
              </w:rPr>
            </w:pPr>
            <w:hyperlink w:anchor="page72">
              <w:r>
                <w:rPr>
                  <w:rFonts w:ascii="Arial" w:cs="Arial" w:eastAsia="Arial" w:hAnsi="Arial"/>
                  <w:sz w:val="18"/>
                  <w:szCs w:val="18"/>
                  <w:color w:val="0000EE"/>
                </w:rPr>
                <w:t>EXHIBITS, FINANCIAL STATEMENTS AND SCHEDULES</w:t>
              </w:r>
            </w:hyperlink>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Borders>
              <w:top w:val="single" w:sz="8" w:color="0000EE"/>
            </w:tcBorders>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2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160" w:type="dxa"/>
            <w:vAlign w:val="bottom"/>
            <w:gridSpan w:val="2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 INDEX</w:t>
              </w:r>
            </w:hyperlink>
          </w:p>
        </w:tc>
        <w:tc>
          <w:tcPr>
            <w:tcW w:w="6160" w:type="dxa"/>
            <w:vAlign w:val="bottom"/>
            <w:gridSpan w:val="2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gridSpan w:val="16"/>
          </w:tcPr>
          <w:p>
            <w:pPr>
              <w:jc w:val="center"/>
              <w:ind w:left="3311"/>
              <w:spacing w:after="0"/>
              <w:rPr>
                <w:sz w:val="20"/>
                <w:szCs w:val="20"/>
                <w:color w:val="auto"/>
              </w:rPr>
            </w:pPr>
            <w:r>
              <w:rPr>
                <w:rFonts w:ascii="Arial" w:cs="Arial" w:eastAsia="Arial" w:hAnsi="Arial"/>
                <w:sz w:val="14"/>
                <w:szCs w:val="14"/>
                <w:color w:val="auto"/>
                <w:w w:val="76"/>
              </w:rPr>
              <w:t>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648" w:right="10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ind w:left="580" w:hanging="158"/>
        <w:spacing w:after="0" w:line="209"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maintain and enhance a strong brand image;</w:t>
      </w:r>
    </w:p>
    <w:p>
      <w:pPr>
        <w:spacing w:after="0" w:line="110"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successfully open a significant number of new stores;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effectively adapting to new challenges associated with our expansion into new geographic markets;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generating adequate cash from our existing stores to support our growth;</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identifying and responding to new and changing customer preferences;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containing the increase in the cost of mailing catalogs, paper and printing;</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success of the locations in which our stores are located;</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customers in the various retail venues and locations in which our stores are located;</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adapting to declines in consumer confidence and decreases in consumer spending;</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competing effectively in an environment of intense competition;</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ability to adapt to significant changes in sales due to the seasonality of our business;</w:t>
      </w:r>
    </w:p>
    <w:p>
      <w:pPr>
        <w:spacing w:after="0" w:line="110" w:lineRule="exact"/>
        <w:rPr>
          <w:rFonts w:ascii="Arial" w:cs="Arial" w:eastAsia="Arial" w:hAnsi="Arial"/>
          <w:sz w:val="24"/>
          <w:szCs w:val="24"/>
          <w:color w:val="auto"/>
          <w:vertAlign w:val="superscript"/>
        </w:rPr>
      </w:pPr>
    </w:p>
    <w:p>
      <w:pPr>
        <w:ind w:left="540" w:right="12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price reductions or inventory shortages resulting from failure to purchase the appropriate amount of inventory in advance of the season in which it will be sold;</w:t>
      </w:r>
    </w:p>
    <w:p>
      <w:pPr>
        <w:ind w:left="560" w:hanging="138"/>
        <w:spacing w:after="0" w:line="233" w:lineRule="auto"/>
        <w:tabs>
          <w:tab w:leader="none" w:pos="56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natural disasters, unusually adverse weather conditions, boycotts and unanticipated events;</w:t>
      </w:r>
    </w:p>
    <w:p>
      <w:pPr>
        <w:spacing w:after="0" w:line="110"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on third-party vendors to provide us with sufficient quantities of merchandise at acceptable prices;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increases in costs of fuel or other energy, transportation or utility costs and in the costs of labor and employment;</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susceptibility of the price and availability of our merchandise to international trade conditions;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failure of our vendors and their manufacturing sources to use acceptable labor or other practices;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dependence upon key executive management or our inability to hire or retain the talent required for our business;</w:t>
      </w:r>
    </w:p>
    <w:p>
      <w:pPr>
        <w:spacing w:after="0" w:line="110" w:lineRule="exact"/>
        <w:rPr>
          <w:rFonts w:ascii="Arial" w:cs="Arial" w:eastAsia="Arial" w:hAnsi="Arial"/>
          <w:sz w:val="24"/>
          <w:szCs w:val="24"/>
          <w:color w:val="auto"/>
          <w:vertAlign w:val="superscript"/>
        </w:rPr>
      </w:pPr>
    </w:p>
    <w:p>
      <w:pPr>
        <w:ind w:left="540" w:right="38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failure of our information technology systems to support our current and growing business, before and after our planned upgrades;</w:t>
      </w:r>
    </w:p>
    <w:p>
      <w:pPr>
        <w:ind w:left="580" w:hanging="158"/>
        <w:spacing w:after="0" w:line="233"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disruptions in our supply chain and distribution centers;</w:t>
      </w:r>
    </w:p>
    <w:p>
      <w:pPr>
        <w:spacing w:after="0" w:line="110" w:lineRule="exact"/>
        <w:rPr>
          <w:rFonts w:ascii="Arial" w:cs="Arial" w:eastAsia="Arial" w:hAnsi="Arial"/>
          <w:sz w:val="29"/>
          <w:szCs w:val="29"/>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our inability to protect our trademarks or other intellectual property rights;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infringement on the intellectual property of third parties;</w:t>
      </w:r>
    </w:p>
    <w:p>
      <w:pPr>
        <w:spacing w:after="0" w:line="110" w:lineRule="exact"/>
        <w:rPr>
          <w:rFonts w:ascii="Arial" w:cs="Arial" w:eastAsia="Arial" w:hAnsi="Arial"/>
          <w:sz w:val="24"/>
          <w:szCs w:val="24"/>
          <w:color w:val="auto"/>
          <w:vertAlign w:val="superscript"/>
        </w:rPr>
      </w:pPr>
    </w:p>
    <w:p>
      <w:pPr>
        <w:ind w:left="640" w:hanging="218"/>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acts of war, terrorism or civil unrest;</w:t>
      </w:r>
    </w:p>
    <w:p>
      <w:pPr>
        <w:spacing w:after="0" w:line="110"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impact of governmental laws and regulations and the outcomes of legal proceedings;</w:t>
      </w:r>
    </w:p>
    <w:p>
      <w:pPr>
        <w:spacing w:after="0" w:line="110" w:lineRule="exact"/>
        <w:rPr>
          <w:rFonts w:ascii="Arial" w:cs="Arial" w:eastAsia="Arial" w:hAnsi="Arial"/>
          <w:sz w:val="24"/>
          <w:szCs w:val="24"/>
          <w:color w:val="auto"/>
          <w:vertAlign w:val="superscript"/>
        </w:rPr>
      </w:pPr>
    </w:p>
    <w:p>
      <w:pPr>
        <w:ind w:left="540" w:right="20" w:hanging="118"/>
        <w:spacing w:after="0" w:line="191"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ability to secure the personal financial information of our customers and comply with the security standards for the credit card industry;</w:t>
      </w:r>
    </w:p>
    <w:p>
      <w:pPr>
        <w:ind w:left="540" w:hanging="118"/>
        <w:spacing w:after="0" w:line="233" w:lineRule="auto"/>
        <w:tabs>
          <w:tab w:leader="none" w:pos="5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our failure to maintain adequate internal controls over our financial and management systems; and</w:t>
      </w:r>
    </w:p>
    <w:p>
      <w:pPr>
        <w:spacing w:after="0" w:line="110" w:lineRule="exact"/>
        <w:rPr>
          <w:rFonts w:ascii="Arial" w:cs="Arial" w:eastAsia="Arial" w:hAnsi="Arial"/>
          <w:sz w:val="29"/>
          <w:szCs w:val="29"/>
          <w:color w:val="auto"/>
          <w:vertAlign w:val="superscript"/>
        </w:rPr>
      </w:pPr>
    </w:p>
    <w:p>
      <w:pPr>
        <w:ind w:left="600" w:hanging="178"/>
        <w:spacing w:after="0" w:line="186" w:lineRule="auto"/>
        <w:tabs>
          <w:tab w:leader="none" w:pos="6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increased costs as a result of being a public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5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ind w:left="80"/>
        <w:spacing w:after="0"/>
        <w:tabs>
          <w:tab w:leader="none" w:pos="12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3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i w:val="1"/>
          <w:iCs w:val="1"/>
          <w:color w:val="auto"/>
        </w:rPr>
        <w:t>Unless the context indicates otherwise, the terms the “Company,” “Duluth,” “Duluth Trading,” “Duluth Holdings,” “we,” “our” or “us” are used to refer to Duluth Holdings Inc. and its subsidiary on a consolidated basis.</w:t>
      </w:r>
    </w:p>
    <w:p>
      <w:pPr>
        <w:spacing w:after="0" w:line="130"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i w:val="1"/>
          <w:iCs w:val="1"/>
          <w:color w:val="auto"/>
        </w:rPr>
        <w:t>Effective February 2013, we changed our fiscal year end from December 31 to the Sunday nearest to January 31. The following discussion contains references to fiscal years 2015, 2014 and 2013, which refer to our fiscal years ended January 31, 2016, February 1, 2015 and February 2, 2014, respectively. Fiscal years 2015, 2014 and 2013 were 52-week periods.</w:t>
      </w:r>
    </w:p>
    <w:p>
      <w:pPr>
        <w:spacing w:after="0" w:line="1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i w:val="1"/>
          <w:iCs w:val="1"/>
          <w:color w:val="auto"/>
        </w:rPr>
        <w:t>On November 25, 2015, our “S” corporation status terminated and we converted to a “C” corporation. We became subject to corporate-level federal and state income taxes at prevailing corporate rates. See Note 8 “Income Taxes,” to our Consolidated Financial Statements included in this Annual Report on Form 10-K for additional information regarding our “S” corporation termination.</w:t>
      </w:r>
    </w:p>
    <w:p>
      <w:pPr>
        <w:spacing w:after="0" w:line="16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On November 25, 2015, we completed an initial public offering (“IPO”) in which we issued and sold 7,666,667 shares of our Class B common stock, which includes 1,000,000 shares of Class B common stock issued pursuant to the underwriters’ option to purchase additional shares, at a price to the pubic of $12.00 per share, less the underwriting discount. We received net proceeds of approximately $83.9 million after deducting the underwriting discount of $6.4 million and related fees and expenses of approximately $1.7 million. We used $46.3 million of the net proceeds from the IPO to pay in full the amount previously borrowed from a bank to pay a portion of the distribution of 100% of the cumulative undistributed taxable earnings to our then existing shareholders from the date of our formation through the date of termination of our “S” corporation status.</w:t>
      </w:r>
    </w:p>
    <w:p>
      <w:pPr>
        <w:spacing w:after="0" w:line="137"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Duluth Trading is a rapidly growing lifestyle brand of men’s and women’s casual wear, workwear and accessories sold exclusively through our own channels. We offer a comprehensive line of innovative, durable and functional products, such as our Longtail T® shirts, Buck Naked</w:t>
      </w:r>
      <w:r>
        <w:rPr>
          <w:rFonts w:ascii="Arial" w:cs="Arial" w:eastAsia="Arial" w:hAnsi="Arial"/>
          <w:sz w:val="8"/>
          <w:szCs w:val="8"/>
          <w:color w:val="auto"/>
        </w:rPr>
        <w:t>TM</w:t>
      </w:r>
      <w:r>
        <w:rPr>
          <w:rFonts w:ascii="Arial" w:cs="Arial" w:eastAsia="Arial" w:hAnsi="Arial"/>
          <w:sz w:val="17"/>
          <w:szCs w:val="17"/>
          <w:color w:val="auto"/>
        </w:rPr>
        <w:t xml:space="preserve"> underwear and Fire Hose® work pants, which reflect our position as the Modern, Self-Reliant American Lifestyle brand. Our brand has a heritage in workwear that transcends tradesmen and appeals to a broad demographic of men and women for everyday and on-the-job use. Approximately 88% of our fiscal 2015 net sales consisted of proprietary products sold under our Duluth Trading brand name. We believe the foundation of our success is our culture of “poking average in the eye” </w:t>
      </w:r>
      <w:r>
        <w:rPr>
          <w:rFonts w:ascii="Arial" w:cs="Arial" w:eastAsia="Arial" w:hAnsi="Arial"/>
          <w:sz w:val="17"/>
          <w:szCs w:val="17"/>
          <w:i w:val="1"/>
          <w:iCs w:val="1"/>
          <w:color w:val="auto"/>
        </w:rPr>
        <w:t>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seeing things for what they could be and should be and finding a way to make them exactly that, and we like to do it all with a big, toothy grin. </w:t>
      </w:r>
      <w:r>
        <w:rPr>
          <w:rFonts w:ascii="Arial" w:cs="Arial" w:eastAsia="Arial" w:hAnsi="Arial"/>
          <w:sz w:val="17"/>
          <w:szCs w:val="17"/>
          <w:color w:val="auto"/>
        </w:rPr>
        <w:t>Our brand is defined by three brand pillars: solution-based products manufactured with high quality craftsmanship,</w:t>
      </w:r>
      <w:r>
        <w:rPr>
          <w:rFonts w:ascii="Arial" w:cs="Arial" w:eastAsia="Arial" w:hAnsi="Arial"/>
          <w:sz w:val="17"/>
          <w:szCs w:val="17"/>
          <w:i w:val="1"/>
          <w:iCs w:val="1"/>
          <w:color w:val="auto"/>
        </w:rPr>
        <w:t xml:space="preserve"> </w:t>
      </w:r>
      <w:r>
        <w:rPr>
          <w:rFonts w:ascii="Arial" w:cs="Arial" w:eastAsia="Arial" w:hAnsi="Arial"/>
          <w:sz w:val="17"/>
          <w:szCs w:val="17"/>
          <w:color w:val="auto"/>
        </w:rPr>
        <w:t>humorous and distinctive marketing and an outstanding customer experience.</w:t>
      </w:r>
    </w:p>
    <w:p>
      <w:pPr>
        <w:spacing w:after="0" w:line="141"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Our products solve the problems our customers experience with the limitations of commonly available apparel and gear. Our design process reflects a “there’s gotta be a better way” attitude, resulting in differentiated products with unique features that appeal to a broad array of customers. Our products represent enduring styles that go beyond short-lived fashion trends. We strive to make shopping for our products fun by using attention-grabbing advertisements that are humorous, irreverent and quirky and serve to reinforce our brand identity. We also use storytelling to differentiate our products in the marketplace and create emotional connections with our customers. We provide our customers with a unique and entertaining experience across all channels through our content-rich website, catalogs and “store like no other” retail environment. We treat our customers like next-door neighbors, as exemplified by our exceptional customer service and unconditional “No Bull Guarantee” on all purchases. The combination of these three pillars has fostered a growing and engaged community of 1.7 million active customers within the fiscal year ended January 31, 2016.</w:t>
      </w:r>
    </w:p>
    <w:p>
      <w:pPr>
        <w:spacing w:after="0" w:line="168"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To protect the integrity of the Duluth Trading brand, we offer our products exclusively through our omnichannel distribution network, consisting of our website, catalogs and retail stores. This model creates multiple touch points with our customers and enables us to control both our Duluth Trading brand expression and the pricing of our products. Our distribution strategy eliminates the need to sell through third-party retailers, allowing us to focus on our core competencies of product development, storytelling and serving customers. Our direct segment, consisting of our website and catalogs, offers products nationwide and represented 88% of our fiscal 2015 net sales. In 2010, we added retail to our omnichannel platform with the opening of our first store. Since then, we have expanded our retail presence, and as of January 31, 2016, we operated seven retail stores and two outlet stores. Our retail segment represented 12% of our fiscal 2015 net sales.</w:t>
      </w:r>
    </w:p>
    <w:p>
      <w:pPr>
        <w:spacing w:after="0" w:line="138"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an agricultural and horticultural supply catalog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have been used to fund the growth of Duluth Trading. With that transaction, GEMPLER’S changed its corporate name to Duluth Holdings Inc.</w:t>
      </w:r>
    </w:p>
    <w:p>
      <w:pPr>
        <w:spacing w:after="0" w:line="12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From what began as an idea aimed at those working in the building trades, Duluth Trading has become widely recognized brand and proprietary line of innovative and functional apparel and gear. We have created strong brand awareness, built a loyal customer base and generated robust sales momentum. We have done so by sticking to our roots of “there’s gotta be a better way” and through our relentless focus on providing our customer with quality, functional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Makes Us Different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following strengths differentiate us and provide a foundation for future growth: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Differentiated, Everyday Lifestyle Brand</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understanding of the Modern, Self-Reliant American Lifestyle enables us to create personal connections with our customers who lead a hands-on lifestyle, value a job well-done and are often outdoors for work and hobbies. The workwear heritage of our products is the foundation of our authentic and differentiated brand. We communicate our brand values and product performance nationally through multiple mediums, including television, catalogs, digital advertising and sponsored events. We believe these marketing efforts make our brand synonymous with this lifestyle, validate our authenticity and establish Duluth Trading as a trusted provider of reliable casual wear and workwear.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Solution-Based Design</w:t>
      </w:r>
    </w:p>
    <w:p>
      <w:pPr>
        <w:spacing w:after="0" w:line="198"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 xml:space="preserve">Our products solve the problems our customers experience with commonly available apparel and gear. </w:t>
      </w:r>
      <w:r>
        <w:rPr>
          <w:rFonts w:ascii="Arial" w:cs="Arial" w:eastAsia="Arial" w:hAnsi="Arial"/>
          <w:sz w:val="17"/>
          <w:szCs w:val="17"/>
          <w:i w:val="1"/>
          <w:iCs w:val="1"/>
          <w:color w:val="auto"/>
        </w:rPr>
        <w:t>We see things for what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they could be and what they should be, and we find a way to make them exactly that, and we like to do it all with a big, toothy grin. </w:t>
      </w:r>
      <w:r>
        <w:rPr>
          <w:rFonts w:ascii="Arial" w:cs="Arial" w:eastAsia="Arial" w:hAnsi="Arial"/>
          <w:sz w:val="17"/>
          <w:szCs w:val="17"/>
          <w:color w:val="auto"/>
        </w:rPr>
        <w:t>We generate new product ideas in part by proactively seeking input from our consumers, including our trades panels, which are comprised of select groups located across the United States with expertise in various fields. Our trades panels test our products in intense conditions and offer suggestions for new and improved features. For example, one of our trades panel members, a farrier shoeing horses, experienced frustration with his heavy and restrictive work pants when he was required to bend, squat and sit throughout the day. His feedback led to the creation of our Duluthflex</w:t>
      </w:r>
      <w:r>
        <w:rPr>
          <w:rFonts w:ascii="Arial" w:cs="Arial" w:eastAsia="Arial" w:hAnsi="Arial"/>
          <w:sz w:val="7"/>
          <w:szCs w:val="7"/>
          <w:color w:val="auto"/>
        </w:rPr>
        <w:t>®</w:t>
      </w:r>
      <w:r>
        <w:rPr>
          <w:rFonts w:ascii="Arial" w:cs="Arial" w:eastAsia="Arial" w:hAnsi="Arial"/>
          <w:sz w:val="17"/>
          <w:szCs w:val="17"/>
          <w:color w:val="auto"/>
        </w:rPr>
        <w:t xml:space="preserve"> Ballroom</w:t>
      </w:r>
      <w:r>
        <w:rPr>
          <w:rFonts w:ascii="Arial" w:cs="Arial" w:eastAsia="Arial" w:hAnsi="Arial"/>
          <w:sz w:val="7"/>
          <w:szCs w:val="7"/>
          <w:color w:val="auto"/>
        </w:rPr>
        <w:t>®</w:t>
      </w:r>
      <w:r>
        <w:rPr>
          <w:rFonts w:ascii="Arial" w:cs="Arial" w:eastAsia="Arial" w:hAnsi="Arial"/>
          <w:sz w:val="17"/>
          <w:szCs w:val="17"/>
          <w:color w:val="auto"/>
        </w:rPr>
        <w:t xml:space="preserve"> jeans, which are built with 1% spandex and are more flexible than average jeans, allowing customers to “crouch without the ouch.” We believe that our focus on thoughtful product design and commitment to quality, such as “triple stitching the extra stitch” and “doubling down on extra durable fabric,” keeps our existing customers engaged while also attracting new customers to our brand. </w:t>
      </w:r>
      <w:r>
        <w:rPr>
          <w:rFonts w:ascii="Arial" w:cs="Arial" w:eastAsia="Arial" w:hAnsi="Arial"/>
          <w:sz w:val="17"/>
          <w:szCs w:val="17"/>
          <w:i w:val="1"/>
          <w:iCs w:val="1"/>
          <w:color w:val="auto"/>
        </w:rPr>
        <w:t>And we do it all because there are a whole lotta legs,</w:t>
      </w:r>
      <w:r>
        <w:rPr>
          <w:rFonts w:ascii="Arial" w:cs="Arial" w:eastAsia="Arial" w:hAnsi="Arial"/>
          <w:sz w:val="17"/>
          <w:szCs w:val="17"/>
          <w:color w:val="auto"/>
        </w:rPr>
        <w:t xml:space="preserve"> </w:t>
      </w:r>
      <w:r>
        <w:rPr>
          <w:rFonts w:ascii="Arial" w:cs="Arial" w:eastAsia="Arial" w:hAnsi="Arial"/>
          <w:sz w:val="17"/>
          <w:szCs w:val="17"/>
          <w:i w:val="1"/>
          <w:iCs w:val="1"/>
          <w:color w:val="auto"/>
        </w:rPr>
        <w:t>torsos, feet and crotches out there counting on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Humorous and Distinctive Marketing</w:t>
      </w:r>
    </w:p>
    <w:p>
      <w:pPr>
        <w:spacing w:after="0" w:line="185" w:lineRule="exact"/>
        <w:rPr>
          <w:sz w:val="20"/>
          <w:szCs w:val="20"/>
          <w:color w:val="auto"/>
        </w:rPr>
      </w:pPr>
    </w:p>
    <w:p>
      <w:pPr>
        <w:ind w:right="120" w:firstLine="441"/>
        <w:spacing w:after="0" w:line="289" w:lineRule="auto"/>
        <w:rPr>
          <w:sz w:val="20"/>
          <w:szCs w:val="20"/>
          <w:color w:val="auto"/>
        </w:rPr>
      </w:pPr>
      <w:r>
        <w:rPr>
          <w:rFonts w:ascii="Arial" w:cs="Arial" w:eastAsia="Arial" w:hAnsi="Arial"/>
          <w:sz w:val="16"/>
          <w:szCs w:val="16"/>
          <w:color w:val="auto"/>
        </w:rPr>
        <w:t>We make shopping for our products fun by using attention-grabbing advertisements that are humorous, irreverent and quirky. Our national advertising campaigns that feature characters such as our Giant Angry Beaver, Buck Naked Guy and Grab-Happy Grizzly, continue to increase our brand awareness and drive customers to our brand. These types of advertisements appeal to a wide audience and enable us to highlight the distinctive attributes of our products in a memorable way. We also use storytelling to make connections with our customers. For example, the story of our customer Tony the Diver, who wears our Fire Hose work pants over his wetsuit for added protection while working on marine construction, inspired a catalog cover and is featured on our website. Our advertising inspires our female customers by featuring women of “grit and substance” whose professions range from ranching to horse training to dog sled racing to landscape design. We believe our approach to marketing gives our products a distinct identity, enhances our brand and helps us stand out in the market.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and Engaging Customer Experience</w:t>
      </w:r>
    </w:p>
    <w:p>
      <w:pPr>
        <w:spacing w:after="0" w:line="18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An important principle that shapes our brand is treating our customers like next-door neighbors. We provide a seamless, consistent omnichannel experience that makes shopping for casual wear, workwear and accessories fun, inviting and hassle-free. We are dedicated to delivering outstanding customer service by standing behind all purchases with our unconditional “No Bull Guarantee.” Our content-rich, user-friendly website is designed to provide an enjoyable, informative and efficient shopping experience. Our call center is open 24 hours a day, seven days a week, and is staffed with friendly, knowledgeable representatives dedicated to making every customer experience positive. Our stores are designed to bring our brand to life by creating a unique and entertaining experience with knowledgeable sales associates, a compelling and complete assortment of our products and hospitality areas with complimentary coffee and water. We also showcase unique attractions at each retail store, such as the tool museum in our Mt. Horeb, Wisconsin store, that celebrate the heritage of the local area. We believe these elements help promote customer loyalty and drive repeat purchases.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 Loyal Customer Base</w:t>
      </w:r>
    </w:p>
    <w:p>
      <w:pPr>
        <w:spacing w:after="0" w:line="19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Our customers come to us for many aspects of their everyday casual wear and workwear needs. The quality and consistency of our product offering attracts a broad demographic of men and women who lead the Modern, Self-Reliant American Lifestyle. According to an internal company survey, 88% of our customers identified themselves as working outside of the building trades. Our average customer is a homeowner with an annual household income of over $75,000. Based on these characteristics, we believe our customers have a high level of disposable income and are attracted to the quality and enhanced features of our products. In addition, we currently have over 200,000 online product reviews, over 90% of which are four or five star ratings.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Omnichannel Presence with Complete Distribution Control</w:t>
      </w:r>
    </w:p>
    <w:p>
      <w:pPr>
        <w:spacing w:after="0" w:line="18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We sell our products exclusively through our direct and retail channels, giving us complete control of the presentation of our brand and the relationships with our customers. This strategy allows us to present our brand in a consistent manner, including marketing, pricing and product presentation. It also enables us to reduce logistical complexities and costs because we are not subject to timing, delivery and quantity requirements set by third-party retailers, allowing our employees to concentrate on product development, storytelling and serving customers. We believe this approach to distribution is a significant advantage for our brand, allowing us to deliver feature rich, superior quality products at competitive prices.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Seasoned Management Team Driving an Impassioned Culture</w:t>
      </w:r>
    </w:p>
    <w:p>
      <w:pPr>
        <w:spacing w:after="0" w:line="185"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Our senior management team has extensive experience across a broad range of key disciplines. With an average of approximately 30 years of experience in their respective functional areas, our management team has been instrumental in driving results and in developing a robust and scalable infrastructure to support our continued growth. Our senior management team embraces the Modern, Self-Reliant American Lifestyle and has fostered a culture committed to “outthink, outsmart and outcraft average,” which is shared by employees throughout our organization. Our strong company culture and spirited corporate personality is exemplified by the long tenure of our team members with us. We believe the strength of our senior management team, supported by our dedicated board of directors and passionate employees, is a key driver of our success and positions us well to execute our long-term growth strategy.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goal is to expand the reach of the Duluth Trading brand, using strategies that will further drive growth and profitability:</w:t>
      </w:r>
    </w:p>
    <w:p>
      <w:pPr>
        <w:spacing w:after="0" w:line="129" w:lineRule="exact"/>
        <w:rPr>
          <w:sz w:val="20"/>
          <w:szCs w:val="20"/>
          <w:color w:val="auto"/>
        </w:rPr>
      </w:pPr>
    </w:p>
    <w:p>
      <w:pPr>
        <w:ind w:left="540" w:right="80" w:hanging="118"/>
        <w:spacing w:after="0" w:line="242" w:lineRule="auto"/>
        <w:tabs>
          <w:tab w:leader="none" w:pos="5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Building Brand Awareness to Continue Customer Acquisition</w:t>
      </w:r>
      <w:r>
        <w:rPr>
          <w:rFonts w:ascii="Arial" w:cs="Arial" w:eastAsia="Arial" w:hAnsi="Arial"/>
          <w:sz w:val="17"/>
          <w:szCs w:val="17"/>
          <w:color w:val="auto"/>
        </w:rPr>
        <w:t>. We are a rapidly growing lifestyle brand and have built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strong brand awareness and successfully acquired customers over the past six years. As a relatively young </w:t>
      </w:r>
      <w:r>
        <w:rPr>
          <w:rFonts w:ascii="Arial" w:cs="Arial" w:eastAsia="Arial" w:hAnsi="Arial"/>
          <w:sz w:val="17"/>
          <w:szCs w:val="17"/>
          <w:i w:val="1"/>
          <w:iCs w:val="1"/>
          <w:color w:val="auto"/>
        </w:rPr>
        <w:t>brand</w:t>
      </w:r>
      <w:r>
        <w:rPr>
          <w:rFonts w:ascii="Arial" w:cs="Arial" w:eastAsia="Arial" w:hAnsi="Arial"/>
          <w:sz w:val="17"/>
          <w:szCs w:val="17"/>
          <w:color w:val="auto"/>
        </w:rPr>
        <w:t>, we believe that we have a significant opportunity to build even greater brand awareness. We plan to introduce potential customers to our brand through our national television and digital advertising campaigns, catalogs and retail store expansion. We have made significant investments in marketing to build brand awareness among our potential customers and expect to achieve leverage from these investments as our business continues to grow.</w:t>
      </w:r>
    </w:p>
    <w:p>
      <w:pPr>
        <w:spacing w:after="0" w:line="94" w:lineRule="exact"/>
        <w:rPr>
          <w:rFonts w:ascii="Arial" w:cs="Arial" w:eastAsia="Arial" w:hAnsi="Arial"/>
          <w:sz w:val="28"/>
          <w:szCs w:val="28"/>
          <w:color w:val="auto"/>
          <w:vertAlign w:val="superscript"/>
        </w:rPr>
      </w:pPr>
    </w:p>
    <w:p>
      <w:pPr>
        <w:ind w:left="540" w:hanging="118"/>
        <w:spacing w:after="0" w:line="272" w:lineRule="auto"/>
        <w:tabs>
          <w:tab w:leader="none" w:pos="54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 xml:space="preserve">Accelerating Retail Expansion. </w:t>
      </w:r>
      <w:r>
        <w:rPr>
          <w:rFonts w:ascii="Arial" w:cs="Arial" w:eastAsia="Arial" w:hAnsi="Arial"/>
          <w:sz w:val="16"/>
          <w:szCs w:val="16"/>
          <w:color w:val="auto"/>
        </w:rPr>
        <w:t>We believe our customers’ purchasing decisions are heavily influenced by the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retail stores. We believe that our customers’ desire to shop in stores, combined with the number of potential markets for our retail stores and the compelling unit economics of our existing retail stores, provide us with a significant opportunity to grow our U.S. retail presence. We have identified markets with the potential for approximately 100 U.S. store locations that feature high concentrations of existing Duluth Trading customers and potential customers that fit our brand demographics. We anticipate opening four to five stores during fiscal 2016 and expect the rate of new store openings to accelerate over the coming years. Our existing retail stores have been profitable in both metropolitan and rural locations across multiple markets and have achieved an average payback of less than two years. We plan to continue building our organization and investing in software systems and operational infrastructure to support the growth in our retail segment. Based on our experience to date, we believe the combination of our direct and retail channels in an individual geographic market substantially increases the net sales and customer acquisition potential in that market. For example, since opening our retail stores in the Minneapolis-St. Paul metropolitan area, our direct segment net sales in that area have continued to grow. Additionally, we believe our retail stores provide ancillary marketing benefits by giving new and existing customers a destination to experience our brand.</w:t>
      </w:r>
    </w:p>
    <w:p>
      <w:pPr>
        <w:spacing w:after="0" w:line="76" w:lineRule="exact"/>
        <w:rPr>
          <w:rFonts w:ascii="Arial" w:cs="Arial" w:eastAsia="Arial" w:hAnsi="Arial"/>
          <w:sz w:val="26"/>
          <w:szCs w:val="26"/>
          <w:color w:val="auto"/>
          <w:vertAlign w:val="superscript"/>
        </w:rPr>
      </w:pPr>
    </w:p>
    <w:p>
      <w:pPr>
        <w:jc w:val="both"/>
        <w:ind w:left="540" w:right="140" w:hanging="118"/>
        <w:spacing w:after="0" w:line="223" w:lineRule="auto"/>
        <w:tabs>
          <w:tab w:leader="none" w:pos="5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Selectively Broadening Assortments in Certain Men’s Product Categories</w:t>
      </w:r>
      <w:r>
        <w:rPr>
          <w:rFonts w:ascii="Arial" w:cs="Arial" w:eastAsia="Arial" w:hAnsi="Arial"/>
          <w:sz w:val="17"/>
          <w:szCs w:val="17"/>
          <w:color w:val="auto"/>
        </w:rPr>
        <w:t>. We believe there is an opportunity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men’s business by selectively broadening our assortment in certain product categories that exhibit high growth potential and resonate with the lifestyle of our core men’s customers, such as outerwear and footwear.</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60" w:right="420"/>
        <w:spacing w:after="0" w:line="277" w:lineRule="auto"/>
        <w:rPr>
          <w:sz w:val="20"/>
          <w:szCs w:val="20"/>
          <w:color w:val="auto"/>
        </w:rPr>
      </w:pPr>
      <w:r>
        <w:rPr>
          <w:rFonts w:ascii="Arial" w:cs="Arial" w:eastAsia="Arial" w:hAnsi="Arial"/>
          <w:sz w:val="18"/>
          <w:szCs w:val="18"/>
          <w:color w:val="auto"/>
        </w:rPr>
        <w:t>Through product introductions that expand seasonality and occasions for wear, we believe we can grow our share of closet with new and existing men’s customers.</w:t>
      </w:r>
    </w:p>
    <w:p>
      <w:pPr>
        <w:spacing w:after="0" w:line="62" w:lineRule="exact"/>
        <w:rPr>
          <w:sz w:val="20"/>
          <w:szCs w:val="20"/>
          <w:color w:val="auto"/>
        </w:rPr>
      </w:pPr>
    </w:p>
    <w:p>
      <w:pPr>
        <w:ind w:left="540" w:right="40" w:hanging="118"/>
        <w:spacing w:after="0" w:line="250" w:lineRule="auto"/>
        <w:tabs>
          <w:tab w:leader="none" w:pos="5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Growing Our Women’s Business</w:t>
      </w:r>
      <w:r>
        <w:rPr>
          <w:rFonts w:ascii="Arial" w:cs="Arial" w:eastAsia="Arial" w:hAnsi="Arial"/>
          <w:sz w:val="17"/>
          <w:szCs w:val="17"/>
          <w:color w:val="auto"/>
        </w:rPr>
        <w:t>. Since launching in 2005, our women’s business has grown significantly to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20% of our net sales in fiscal 2015. We believe that we have a significant opportunity to continue to grow our women’s business through customer acquisition, and we plan to continue to leverage all of our marketing channels, including national television and digital advertising, our catalogs and retail stores to do so. We expect that our women’s business will continue to represent an increasing portion of our net sales, and accordingly, we are allocating a higher percentage of our total advertising budget to the women’s business. We believe that as our retail footprint expands, our women’s business will continue to grow based on our current customers’ shopping patterns. While the core of our women’s product assortment will continue to consist of solution-based apparel that fits the Modern, Self-Reliant American Lifestyle, we plan to selectively expand our product offering to appeal to a wider range of female customers.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202"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We sell our products exclusively through our direct and retail channels, giving us complete control of our brand presentation as well as direct interaction with the consumer. Our omnichannel business strategy allows our sales channels to work in synergy to seamlessly deliver a consistent brand experience, including consistent marketing, pricing and product presentation.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Segment</w:t>
      </w:r>
    </w:p>
    <w:p>
      <w:pPr>
        <w:spacing w:after="0" w:line="18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Our direct channel, which comprised 88% of our fiscal 2015 net sales, reaches customers nationwide through our website and catalogs.</w:t>
      </w:r>
    </w:p>
    <w:p>
      <w:pPr>
        <w:spacing w:after="0" w:line="62" w:lineRule="exact"/>
        <w:rPr>
          <w:sz w:val="20"/>
          <w:szCs w:val="20"/>
          <w:color w:val="auto"/>
        </w:rPr>
      </w:pPr>
    </w:p>
    <w:p>
      <w:pPr>
        <w:ind w:left="540" w:right="40" w:hanging="118"/>
        <w:spacing w:after="0" w:line="250" w:lineRule="auto"/>
        <w:tabs>
          <w:tab w:leader="none" w:pos="5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i w:val="1"/>
          <w:iCs w:val="1"/>
          <w:color w:val="auto"/>
        </w:rPr>
        <w:t>e-Commerce</w:t>
      </w:r>
      <w:r>
        <w:rPr>
          <w:rFonts w:ascii="Arial" w:cs="Arial" w:eastAsia="Arial" w:hAnsi="Arial"/>
          <w:sz w:val="17"/>
          <w:szCs w:val="17"/>
          <w:color w:val="auto"/>
        </w:rPr>
        <w:t>. Our website, www.duluthtrading.com, serves as a storefront for our product assortment and provides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interactive, user-friendly, content-rich customer experience. In fiscal 2015, our website accounted for approximately 79% of our direct segment net sales. Our website’s homepage and category content, including pricing, seasonal promotions and products, are updated frequently in order to keep them current and seasonally appropriate, which coincides with updates to our catalogs and retail store displays. Our entire product offering is available on our website with certain new products offered exclusively online during their initial introduction, as well as out-of-season but in-stock products. Our website features humorous product videos and customer testimonials that educate our customers on the features and benefits of our products, which we believe enhances our visitors’ shopping experience. We believe our e-commerce customer experience has been successful in converting website visitors into customers.</w:t>
      </w:r>
    </w:p>
    <w:p>
      <w:pPr>
        <w:spacing w:after="0" w:line="88" w:lineRule="exact"/>
        <w:rPr>
          <w:sz w:val="20"/>
          <w:szCs w:val="20"/>
          <w:color w:val="auto"/>
        </w:rPr>
      </w:pPr>
    </w:p>
    <w:p>
      <w:pPr>
        <w:ind w:left="880" w:right="80"/>
        <w:spacing w:after="0" w:line="286" w:lineRule="auto"/>
        <w:rPr>
          <w:sz w:val="20"/>
          <w:szCs w:val="20"/>
          <w:color w:val="auto"/>
        </w:rPr>
      </w:pPr>
      <w:r>
        <w:rPr>
          <w:rFonts w:ascii="Arial" w:cs="Arial" w:eastAsia="Arial" w:hAnsi="Arial"/>
          <w:sz w:val="17"/>
          <w:szCs w:val="17"/>
          <w:color w:val="auto"/>
        </w:rPr>
        <w:t>We offer our new and existing customers the ability to shop across multiple platforms and devices, including mobile devices, tablets and desktop computers. During fiscal 2015, we sold merchandise to customers through our website in all 50 states and had 34.4 million website visits, an increase of approximately 28.1% from fiscal 2014.</w:t>
      </w:r>
    </w:p>
    <w:p>
      <w:pPr>
        <w:spacing w:after="0" w:line="152" w:lineRule="exact"/>
        <w:rPr>
          <w:sz w:val="20"/>
          <w:szCs w:val="20"/>
          <w:color w:val="auto"/>
        </w:rPr>
      </w:pPr>
    </w:p>
    <w:p>
      <w:pPr>
        <w:ind w:left="540" w:hanging="118"/>
        <w:spacing w:after="0" w:line="251" w:lineRule="auto"/>
        <w:tabs>
          <w:tab w:leader="none" w:pos="5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i w:val="1"/>
          <w:iCs w:val="1"/>
          <w:color w:val="auto"/>
        </w:rPr>
        <w:t>Catalog</w:t>
      </w:r>
      <w:r>
        <w:rPr>
          <w:rFonts w:ascii="Arial" w:cs="Arial" w:eastAsia="Arial" w:hAnsi="Arial"/>
          <w:sz w:val="17"/>
          <w:szCs w:val="17"/>
          <w:color w:val="auto"/>
        </w:rPr>
        <w:t>. Our catalog business is an important part of our heritage and a key differentiator in our market. Our catalogs serve as</w:t>
      </w:r>
      <w:r>
        <w:rPr>
          <w:rFonts w:ascii="Arial" w:cs="Arial" w:eastAsia="Arial" w:hAnsi="Arial"/>
          <w:sz w:val="17"/>
          <w:szCs w:val="17"/>
          <w:i w:val="1"/>
          <w:iCs w:val="1"/>
          <w:color w:val="auto"/>
        </w:rPr>
        <w:t xml:space="preserve"> </w:t>
      </w:r>
      <w:r>
        <w:rPr>
          <w:rFonts w:ascii="Arial" w:cs="Arial" w:eastAsia="Arial" w:hAnsi="Arial"/>
          <w:sz w:val="17"/>
          <w:szCs w:val="17"/>
          <w:color w:val="auto"/>
        </w:rPr>
        <w:t>a tangible vehicle for our authentic and humorous storytelling and drive customers to visit our website and retail stores. In fiscal 2015, our catalogs accounted for approximately 21% of our direct segment net sales, which were transacted via our call center, and sales through this channel continue to grow year over year. During fiscal 2015, we published 35 catalog issues and distributed over 52 million copies, approximately 23 million of which were mailed to prospective customers. Our catalogs reflect our tailored approach to marketing and include particular expressions of our brand that resonate with our target customers. For example, we produce separate catalogs for our men’s and women’s product offerings, showcasing illustrations in our men’s catalogs and featuring women of “grit and substance” in our women’s catalogs. In addition to generating a significant portion of our direct net sales, we believe our catalogs are clever, informative and eye catching and are a vital part of building the Duluth Trading brand.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Segment</w:t>
      </w:r>
    </w:p>
    <w:p>
      <w:pPr>
        <w:spacing w:after="0" w:line="18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In 2010, we opened our first retail store and have since expanded our retail presence, operating seven retail stores and two outlet stores as of January 2016. In fiscal 2015, our retail stores produced $37.8 million in net sales, representing 12% of total net sales, compared to $23.0 million in net sales in fiscal 2014, representing 10% of total net sales. Our existing stores have been profitable in both metropolitan and rural locations. During fiscal 2015, our retail store customer visits increased by 62% to approximately 1.1 million visits, compared to approximately 680,000 visits in fiscal 2014. Our retail stores allow us to reach customers who prefer to shop in a brick and mortar setting and give new and existing customers the opportunity to touch and feel our innovative products before making a purchase decision. Our stores range in size from approximately 6,000 to 11,000 selling square feet and are designed to bring our brand to life by creating a unique and entertaining experience,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20" w:right="400"/>
        <w:spacing w:after="0" w:line="302" w:lineRule="auto"/>
        <w:rPr>
          <w:sz w:val="20"/>
          <w:szCs w:val="20"/>
          <w:color w:val="auto"/>
        </w:rPr>
      </w:pPr>
      <w:r>
        <w:rPr>
          <w:rFonts w:ascii="Arial" w:cs="Arial" w:eastAsia="Arial" w:hAnsi="Arial"/>
          <w:sz w:val="16"/>
          <w:szCs w:val="16"/>
          <w:color w:val="auto"/>
        </w:rPr>
        <w:t>including engaging sales associates, a compelling and complete product assortment, custom made fixtures to fit our brand, free wireless Internet and complimentary coffee and water.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27" w:lineRule="exact"/>
        <w:rPr>
          <w:sz w:val="20"/>
          <w:szCs w:val="20"/>
          <w:color w:val="auto"/>
        </w:rPr>
      </w:pPr>
    </w:p>
    <w:p>
      <w:pPr>
        <w:ind w:left="20" w:right="120" w:firstLine="441"/>
        <w:spacing w:after="0" w:line="273" w:lineRule="auto"/>
        <w:rPr>
          <w:sz w:val="20"/>
          <w:szCs w:val="20"/>
          <w:color w:val="auto"/>
        </w:rPr>
      </w:pPr>
      <w:r>
        <w:rPr>
          <w:rFonts w:ascii="Arial" w:cs="Arial" w:eastAsia="Arial" w:hAnsi="Arial"/>
          <w:sz w:val="17"/>
          <w:szCs w:val="17"/>
          <w:color w:val="auto"/>
        </w:rPr>
        <w:t>Our retail stores allow us to reach customers that prefer to shop in a brick and mortar setting and give new and existing customers the opportunity to touch and feel our products in person before making a purchase decision. Our retail stores also provide ancillary marketing benefits, such as brand visibility in high traffic areas. We provide additional conveniences to customers at our stores, as they can order our products online and have them shipped for free to our store for pick up. Customers can also return products purchased online at our retail stores and can buy certain Duluth Trading-branded products not available in the store at the registers or in-store kiosks and have them shipped directly to their homes.</w:t>
      </w:r>
    </w:p>
    <w:p>
      <w:pPr>
        <w:spacing w:after="0" w:line="138"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See Note 7 “Segment Reporting,” of Notes to Consolidated Financial Statements included in this Annual Report on Form 10-K for our segment net sales, profit, total assets and other operating data.</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Retail Store Expansion Opportunities and Site Location</w:t>
      </w:r>
    </w:p>
    <w:p>
      <w:pPr>
        <w:spacing w:after="0" w:line="202"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We believe we have a compelling retail model that supports our ability to grow our store footprint in both new and existing markets across the United States with the potential to simultaneously enhance our direct segment sales in those markets and overall sales potential of the area. Unlike traditional brick and mortar retailers, we are able to leverage the wealth of customer data from our direct segment to identify potential markets for new stores that feature high concentrations of existing Duluth Trading customers and potential customers that fit our brand demographics.</w:t>
      </w:r>
    </w:p>
    <w:p>
      <w:pPr>
        <w:spacing w:after="0" w:line="148" w:lineRule="exact"/>
        <w:rPr>
          <w:sz w:val="20"/>
          <w:szCs w:val="20"/>
          <w:color w:val="auto"/>
        </w:rPr>
      </w:pPr>
    </w:p>
    <w:p>
      <w:pPr>
        <w:ind w:left="20" w:right="20" w:firstLine="441"/>
        <w:spacing w:after="0" w:line="297" w:lineRule="auto"/>
        <w:rPr>
          <w:sz w:val="20"/>
          <w:szCs w:val="20"/>
          <w:color w:val="auto"/>
        </w:rPr>
      </w:pPr>
      <w:r>
        <w:rPr>
          <w:rFonts w:ascii="Arial" w:cs="Arial" w:eastAsia="Arial" w:hAnsi="Arial"/>
          <w:sz w:val="16"/>
          <w:szCs w:val="16"/>
          <w:color w:val="auto"/>
        </w:rPr>
        <w:t>We select the potential markets for our new stores based on existing customer data from our direct segment and select our store locations based on customer input, access to the freeway, visibility, store accessibility and parking. Our current retail store information also informs our future merchandising decisions. We intend the range in selling square footage, as determined by market size of each of our new stores, to be approximately 7,000 to 12,000 selling square feet. We plan to continue building our organization and investing in software systems and operational infrastructure to support the growth in our retail segment.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Products</w:t>
      </w:r>
    </w:p>
    <w:p>
      <w:pPr>
        <w:spacing w:after="0" w:line="202" w:lineRule="exact"/>
        <w:rPr>
          <w:sz w:val="20"/>
          <w:szCs w:val="20"/>
          <w:color w:val="auto"/>
        </w:rPr>
      </w:pPr>
    </w:p>
    <w:p>
      <w:pPr>
        <w:ind w:left="20" w:right="40" w:firstLine="441"/>
        <w:spacing w:after="0" w:line="279" w:lineRule="auto"/>
        <w:rPr>
          <w:sz w:val="20"/>
          <w:szCs w:val="20"/>
          <w:color w:val="auto"/>
        </w:rPr>
      </w:pPr>
      <w:r>
        <w:rPr>
          <w:rFonts w:ascii="Arial" w:cs="Arial" w:eastAsia="Arial" w:hAnsi="Arial"/>
          <w:sz w:val="17"/>
          <w:szCs w:val="17"/>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 such as our Longtail T® shirts, Buck Naked</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underwear and Fire Hose® work pants. The table below presents net sales by business for each of the last two fiscal years.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134"/>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3"/>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 2016</w:t>
            </w: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2015</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 (including hardgoods/other)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Women's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44,402</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16,632</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1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231,867</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72,290</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bl>
    <w:p>
      <w:pPr>
        <w:spacing w:after="0" w:line="200" w:lineRule="exact"/>
        <w:rPr>
          <w:sz w:val="20"/>
          <w:szCs w:val="20"/>
          <w:color w:val="auto"/>
        </w:rPr>
      </w:pPr>
    </w:p>
    <w:p>
      <w:pPr>
        <w:spacing w:after="0" w:line="366" w:lineRule="exact"/>
        <w:rPr>
          <w:sz w:val="20"/>
          <w:szCs w:val="20"/>
          <w:color w:val="auto"/>
        </w:rPr>
      </w:pPr>
    </w:p>
    <w:p>
      <w:pPr>
        <w:ind w:left="20" w:right="40" w:firstLine="441"/>
        <w:spacing w:after="0" w:line="257" w:lineRule="auto"/>
        <w:rPr>
          <w:sz w:val="20"/>
          <w:szCs w:val="20"/>
          <w:color w:val="auto"/>
        </w:rPr>
      </w:pPr>
      <w:r>
        <w:rPr>
          <w:rFonts w:ascii="Arial" w:cs="Arial" w:eastAsia="Arial" w:hAnsi="Arial"/>
          <w:sz w:val="18"/>
          <w:szCs w:val="18"/>
          <w:color w:val="auto"/>
        </w:rPr>
        <w:t>We offer a stable product assortment, which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 Accordingly, the majority of our product assortment is not subject to typical inventory markdowns and is generally sold at full price across all channels.</w:t>
      </w:r>
    </w:p>
    <w:p>
      <w:pPr>
        <w:spacing w:after="0" w:line="148" w:lineRule="exact"/>
        <w:rPr>
          <w:sz w:val="20"/>
          <w:szCs w:val="20"/>
          <w:color w:val="auto"/>
        </w:rPr>
      </w:pPr>
    </w:p>
    <w:p>
      <w:pPr>
        <w:ind w:left="20" w:right="160" w:firstLine="441"/>
        <w:spacing w:after="0" w:line="293" w:lineRule="auto"/>
        <w:rPr>
          <w:sz w:val="20"/>
          <w:szCs w:val="20"/>
          <w:color w:val="auto"/>
        </w:rPr>
      </w:pPr>
      <w:r>
        <w:rPr>
          <w:rFonts w:ascii="Arial" w:cs="Arial" w:eastAsia="Arial" w:hAnsi="Arial"/>
          <w:sz w:val="16"/>
          <w:szCs w:val="16"/>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Arial" w:cs="Arial" w:eastAsia="Arial" w:hAnsi="Arial"/>
          <w:sz w:val="7"/>
          <w:szCs w:val="7"/>
          <w:color w:val="auto"/>
        </w:rPr>
        <w:t>®</w:t>
      </w:r>
      <w:r>
        <w:rPr>
          <w:rFonts w:ascii="Arial" w:cs="Arial" w:eastAsia="Arial" w:hAnsi="Arial"/>
          <w:sz w:val="16"/>
          <w:szCs w:val="16"/>
          <w:color w:val="auto"/>
        </w:rPr>
        <w:t xml:space="preserve"> Fire Hose</w:t>
      </w:r>
      <w:r>
        <w:rPr>
          <w:rFonts w:ascii="Arial" w:cs="Arial" w:eastAsia="Arial" w:hAnsi="Arial"/>
          <w:sz w:val="7"/>
          <w:szCs w:val="7"/>
          <w:color w:val="auto"/>
        </w:rPr>
        <w:t>®</w:t>
      </w:r>
      <w:r>
        <w:rPr>
          <w:rFonts w:ascii="Arial" w:cs="Arial" w:eastAsia="Arial" w:hAnsi="Arial"/>
          <w:sz w:val="16"/>
          <w:szCs w:val="16"/>
          <w:color w:val="auto"/>
        </w:rPr>
        <w:t xml:space="preserve"> cotton canvas into products to provide strength and abrasion resistance with stretch for freedom of movement.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 Development</w:t>
      </w:r>
    </w:p>
    <w:p>
      <w:pPr>
        <w:spacing w:after="0" w:line="202" w:lineRule="exact"/>
        <w:rPr>
          <w:sz w:val="20"/>
          <w:szCs w:val="20"/>
          <w:color w:val="auto"/>
        </w:rPr>
      </w:pPr>
    </w:p>
    <w:p>
      <w:pPr>
        <w:ind w:left="20" w:right="40" w:firstLine="441"/>
        <w:spacing w:after="0" w:line="290" w:lineRule="auto"/>
        <w:rPr>
          <w:sz w:val="20"/>
          <w:szCs w:val="20"/>
          <w:color w:val="auto"/>
        </w:rPr>
      </w:pPr>
      <w:r>
        <w:rPr>
          <w:rFonts w:ascii="Arial" w:cs="Arial" w:eastAsia="Arial" w:hAnsi="Arial"/>
          <w:sz w:val="16"/>
          <w:szCs w:val="16"/>
          <w:color w:val="auto"/>
        </w:rPr>
        <w:t>We are focused on developing apparel and gear that builds upon the Duluth Trading brand’s product heritage of “there’s gotta be a better way,” resulting in distinctive products with enhanced features. We primarily use an innovative feedback-based design process through which we actively seek the input of our customers, including a group of more than 100 products testers with expertise in the trades industry. These trades panel members have become an integral part of our product development process, as they test and evaluate select products in intense conditions, providing real-time feedback on performance and functionality.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26" w:lineRule="exact"/>
        <w:rPr>
          <w:sz w:val="20"/>
          <w:szCs w:val="20"/>
          <w:color w:val="auto"/>
        </w:rPr>
      </w:pPr>
    </w:p>
    <w:p>
      <w:pPr>
        <w:ind w:left="20" w:right="320" w:firstLine="441"/>
        <w:spacing w:after="0" w:line="277" w:lineRule="auto"/>
        <w:rPr>
          <w:sz w:val="20"/>
          <w:szCs w:val="20"/>
          <w:color w:val="auto"/>
        </w:rPr>
      </w:pPr>
      <w:r>
        <w:rPr>
          <w:rFonts w:ascii="Arial" w:cs="Arial" w:eastAsia="Arial" w:hAnsi="Arial"/>
          <w:sz w:val="18"/>
          <w:szCs w:val="18"/>
          <w:color w:val="auto"/>
        </w:rPr>
        <w:t>We have a long history of product innovation. We have introduced a number of solution-based products, some of which are highlighted in the chart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332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Problem</w:t>
            </w:r>
          </w:p>
        </w:tc>
        <w:tc>
          <w:tcPr>
            <w:tcW w:w="324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Solution</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Introduced</w:t>
            </w:r>
          </w:p>
        </w:tc>
        <w:tc>
          <w:tcPr>
            <w:tcW w:w="3320" w:type="dxa"/>
            <w:vAlign w:val="bottom"/>
            <w:gridSpan w:val="2"/>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"Un-plumbering the plumber's butt" with an</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Longtail T® shirt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16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The infamous, much-feared Plumber's Butt</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additional three inches of shirt body length</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Tougher, double-weave fabric that out-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Fire Hose® pants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Short-lived work pants</w:t>
            </w:r>
          </w:p>
        </w:tc>
        <w:tc>
          <w:tcPr>
            <w:tcW w:w="3240" w:type="dxa"/>
            <w:vAlign w:val="bottom"/>
          </w:tcPr>
          <w:p>
            <w:pPr>
              <w:ind w:left="20"/>
              <w:spacing w:after="0"/>
              <w:rPr>
                <w:sz w:val="20"/>
                <w:szCs w:val="20"/>
                <w:color w:val="auto"/>
              </w:rPr>
            </w:pPr>
            <w:r>
              <w:rPr>
                <w:rFonts w:ascii="Arial" w:cs="Arial" w:eastAsia="Arial" w:hAnsi="Arial"/>
                <w:sz w:val="18"/>
                <w:szCs w:val="18"/>
                <w:color w:val="auto"/>
              </w:rPr>
              <w:t>toughs and outlasts the rest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 hidden Crouch Gusset® that lets you</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Ballroom® jeans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Constricting jeans</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"crouch without the ouch"</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20"/>
              <w:spacing w:after="0" w:line="201" w:lineRule="exact"/>
              <w:rPr>
                <w:sz w:val="20"/>
                <w:szCs w:val="20"/>
                <w:color w:val="auto"/>
              </w:rPr>
            </w:pPr>
            <w:r>
              <w:rPr>
                <w:rFonts w:ascii="Arial" w:cs="Arial" w:eastAsia="Arial" w:hAnsi="Arial"/>
                <w:sz w:val="18"/>
                <w:szCs w:val="18"/>
                <w:color w:val="auto"/>
                <w:w w:val="96"/>
              </w:rPr>
              <w:t>Fast-drying, odor-fighting underwear - "no</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Buck Naked</w:t>
            </w:r>
            <w:r>
              <w:rPr>
                <w:rFonts w:ascii="Arial" w:cs="Arial" w:eastAsia="Arial" w:hAnsi="Arial"/>
                <w:sz w:val="7"/>
                <w:szCs w:val="7"/>
                <w:color w:val="auto"/>
              </w:rPr>
              <w:t>TM</w:t>
            </w:r>
            <w:r>
              <w:rPr>
                <w:rFonts w:ascii="Arial" w:cs="Arial" w:eastAsia="Arial" w:hAnsi="Arial"/>
                <w:sz w:val="18"/>
                <w:szCs w:val="18"/>
                <w:color w:val="auto"/>
              </w:rPr>
              <w:t xml:space="preserve"> underwear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Soggy and restrictive underwear</w:t>
            </w:r>
          </w:p>
        </w:tc>
        <w:tc>
          <w:tcPr>
            <w:tcW w:w="3240" w:type="dxa"/>
            <w:vAlign w:val="bottom"/>
          </w:tcPr>
          <w:p>
            <w:pPr>
              <w:ind w:left="20"/>
              <w:spacing w:after="0"/>
              <w:rPr>
                <w:sz w:val="20"/>
                <w:szCs w:val="20"/>
                <w:color w:val="auto"/>
              </w:rPr>
            </w:pPr>
            <w:r>
              <w:rPr>
                <w:rFonts w:ascii="Arial" w:cs="Arial" w:eastAsia="Arial" w:hAnsi="Arial"/>
                <w:sz w:val="18"/>
                <w:szCs w:val="18"/>
                <w:color w:val="auto"/>
              </w:rPr>
              <w:t>pinch, no stink, no sweat"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30% lighter and more flex with added</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Duluthflex® clothing</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Heavy and restrictive work clothing</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space</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20"/>
              <w:spacing w:after="0" w:line="201" w:lineRule="exact"/>
              <w:rPr>
                <w:sz w:val="20"/>
                <w:szCs w:val="20"/>
                <w:color w:val="auto"/>
              </w:rPr>
            </w:pPr>
            <w:r>
              <w:rPr>
                <w:rFonts w:ascii="Arial" w:cs="Arial" w:eastAsia="Arial" w:hAnsi="Arial"/>
                <w:sz w:val="18"/>
                <w:szCs w:val="18"/>
                <w:color w:val="auto"/>
                <w:w w:val="89"/>
              </w:rPr>
              <w:t>Texas-tested cooling with Made in the Jade</w:t>
            </w:r>
            <w:r>
              <w:rPr>
                <w:rFonts w:ascii="Arial" w:cs="Arial" w:eastAsia="Arial" w:hAnsi="Arial"/>
                <w:sz w:val="7"/>
                <w:szCs w:val="7"/>
                <w:color w:val="auto"/>
                <w:w w:val="89"/>
              </w:rPr>
              <w:t>TM</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Armachillo® shirts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Workwear too hot and heavy for summer</w:t>
            </w:r>
          </w:p>
        </w:tc>
        <w:tc>
          <w:tcPr>
            <w:tcW w:w="3240" w:type="dxa"/>
            <w:vAlign w:val="bottom"/>
          </w:tcPr>
          <w:p>
            <w:pPr>
              <w:ind w:left="20"/>
              <w:spacing w:after="0"/>
              <w:rPr>
                <w:sz w:val="20"/>
                <w:szCs w:val="20"/>
                <w:color w:val="auto"/>
              </w:rPr>
            </w:pPr>
            <w:r>
              <w:rPr>
                <w:rFonts w:ascii="Arial" w:cs="Arial" w:eastAsia="Arial" w:hAnsi="Arial"/>
                <w:sz w:val="18"/>
                <w:szCs w:val="18"/>
                <w:color w:val="auto"/>
              </w:rPr>
              <w:t>fabric</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Soggy, constraining pants that slow you</w:t>
            </w:r>
          </w:p>
        </w:tc>
        <w:tc>
          <w:tcPr>
            <w:tcW w:w="3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Performance nylon that wicks sweat and</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Dry on the Fly® pants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goes from wet to dry "in the blink of an eye"</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ind w:left="20"/>
              <w:spacing w:after="0" w:line="201" w:lineRule="exact"/>
              <w:rPr>
                <w:sz w:val="20"/>
                <w:szCs w:val="20"/>
                <w:color w:val="auto"/>
              </w:rPr>
            </w:pPr>
            <w:r>
              <w:rPr>
                <w:rFonts w:ascii="Arial" w:cs="Arial" w:eastAsia="Arial" w:hAnsi="Arial"/>
                <w:sz w:val="18"/>
                <w:szCs w:val="18"/>
                <w:color w:val="auto"/>
              </w:rPr>
              <w:t>Cooling performance underwear for the</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Armachillo® underwear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Steamy boxer briefs</w:t>
            </w:r>
          </w:p>
        </w:tc>
        <w:tc>
          <w:tcPr>
            <w:tcW w:w="3240" w:type="dxa"/>
            <w:vAlign w:val="bottom"/>
          </w:tcPr>
          <w:p>
            <w:pPr>
              <w:ind w:left="20"/>
              <w:spacing w:after="0"/>
              <w:rPr>
                <w:sz w:val="20"/>
                <w:szCs w:val="20"/>
                <w:color w:val="auto"/>
              </w:rPr>
            </w:pPr>
            <w:r>
              <w:rPr>
                <w:rFonts w:ascii="Arial" w:cs="Arial" w:eastAsia="Arial" w:hAnsi="Arial"/>
                <w:sz w:val="18"/>
                <w:szCs w:val="18"/>
                <w:color w:val="auto"/>
              </w:rPr>
              <w:t>hottest days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62" w:lineRule="exact"/>
        <w:rPr>
          <w:sz w:val="20"/>
          <w:szCs w:val="20"/>
          <w:color w:val="auto"/>
        </w:rPr>
      </w:pPr>
    </w:p>
    <w:p>
      <w:pPr>
        <w:ind w:left="20" w:right="360" w:firstLine="441"/>
        <w:spacing w:after="0" w:line="277" w:lineRule="auto"/>
        <w:rPr>
          <w:sz w:val="20"/>
          <w:szCs w:val="20"/>
          <w:color w:val="auto"/>
        </w:rPr>
      </w:pPr>
      <w:r>
        <w:rPr>
          <w:rFonts w:ascii="Arial" w:cs="Arial" w:eastAsia="Arial" w:hAnsi="Arial"/>
          <w:sz w:val="18"/>
          <w:szCs w:val="18"/>
          <w:color w:val="auto"/>
        </w:rPr>
        <w:t>We pursue our marketing strategy through multiple forms of media, which gives our products an identity and enhances our brand:</w:t>
      </w:r>
    </w:p>
    <w:p>
      <w:pPr>
        <w:spacing w:after="0" w:line="62" w:lineRule="exact"/>
        <w:rPr>
          <w:sz w:val="20"/>
          <w:szCs w:val="20"/>
          <w:color w:val="auto"/>
        </w:rPr>
      </w:pPr>
    </w:p>
    <w:p>
      <w:pPr>
        <w:ind w:left="560" w:right="60" w:hanging="118"/>
        <w:spacing w:after="0" w:line="232" w:lineRule="auto"/>
        <w:tabs>
          <w:tab w:leader="none" w:pos="56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i w:val="1"/>
          <w:iCs w:val="1"/>
          <w:color w:val="auto"/>
        </w:rPr>
        <w:t>Television</w:t>
      </w:r>
      <w:r>
        <w:rPr>
          <w:rFonts w:ascii="Arial" w:cs="Arial" w:eastAsia="Arial" w:hAnsi="Arial"/>
          <w:sz w:val="17"/>
          <w:szCs w:val="17"/>
          <w:color w:val="auto"/>
        </w:rPr>
        <w:t>. We advertise on cable and broadcast television networks to build brand awareness for both men’s and women’s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to reach a large, national audience. These advertisements feature our animated characters and are intended to be humorous, irreverent and quirky in order to grab the viewer’s attention, while highlighting the particularly innovative, solution-based features of our core products and the Duluth Trading name.</w:t>
      </w:r>
    </w:p>
    <w:p>
      <w:pPr>
        <w:spacing w:after="0" w:line="94" w:lineRule="exact"/>
        <w:rPr>
          <w:rFonts w:ascii="Arial" w:cs="Arial" w:eastAsia="Arial" w:hAnsi="Arial"/>
          <w:sz w:val="28"/>
          <w:szCs w:val="28"/>
          <w:color w:val="auto"/>
          <w:vertAlign w:val="superscript"/>
        </w:rPr>
      </w:pPr>
    </w:p>
    <w:p>
      <w:pPr>
        <w:ind w:left="560" w:right="40" w:hanging="118"/>
        <w:spacing w:after="0" w:line="232" w:lineRule="auto"/>
        <w:tabs>
          <w:tab w:leader="none" w:pos="56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i w:val="1"/>
          <w:iCs w:val="1"/>
          <w:color w:val="auto"/>
        </w:rPr>
        <w:t>Catalogs</w:t>
      </w:r>
      <w:r>
        <w:rPr>
          <w:rFonts w:ascii="Arial" w:cs="Arial" w:eastAsia="Arial" w:hAnsi="Arial"/>
          <w:sz w:val="17"/>
          <w:szCs w:val="17"/>
          <w:color w:val="auto"/>
        </w:rPr>
        <w:t>. Our catalogs are an important part of our heritage and represent a tangible vehicle for our authentic and humorous</w:t>
      </w:r>
      <w:r>
        <w:rPr>
          <w:rFonts w:ascii="Arial" w:cs="Arial" w:eastAsia="Arial" w:hAnsi="Arial"/>
          <w:sz w:val="17"/>
          <w:szCs w:val="17"/>
          <w:i w:val="1"/>
          <w:iCs w:val="1"/>
          <w:color w:val="auto"/>
        </w:rPr>
        <w:t xml:space="preserve"> </w:t>
      </w:r>
      <w:r>
        <w:rPr>
          <w:rFonts w:ascii="Arial" w:cs="Arial" w:eastAsia="Arial" w:hAnsi="Arial"/>
          <w:sz w:val="17"/>
          <w:szCs w:val="17"/>
          <w:color w:val="auto"/>
        </w:rPr>
        <w:t>storytelling. In fiscal 2015, we published 35 catalog issues and distributed over 52 million catalogs, approximately 23 million of which were mailed to prospective customers. Our catalogs support both sales channels, and we believe serve as an important customer acquisition tool by driving visits to our website and retail stores.</w:t>
      </w:r>
    </w:p>
    <w:p>
      <w:pPr>
        <w:spacing w:after="0" w:line="94" w:lineRule="exact"/>
        <w:rPr>
          <w:rFonts w:ascii="Arial" w:cs="Arial" w:eastAsia="Arial" w:hAnsi="Arial"/>
          <w:sz w:val="28"/>
          <w:szCs w:val="28"/>
          <w:color w:val="auto"/>
          <w:vertAlign w:val="superscript"/>
        </w:rPr>
      </w:pPr>
    </w:p>
    <w:p>
      <w:pPr>
        <w:ind w:left="560" w:right="160" w:hanging="118"/>
        <w:spacing w:after="0" w:line="212" w:lineRule="auto"/>
        <w:tabs>
          <w:tab w:leader="none" w:pos="5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i w:val="1"/>
          <w:iCs w:val="1"/>
          <w:color w:val="auto"/>
        </w:rPr>
        <w:t>Digital and Email Marketing</w:t>
      </w:r>
      <w:r>
        <w:rPr>
          <w:rFonts w:ascii="Arial" w:cs="Arial" w:eastAsia="Arial" w:hAnsi="Arial"/>
          <w:sz w:val="18"/>
          <w:szCs w:val="18"/>
          <w:color w:val="auto"/>
        </w:rPr>
        <w:t>. We employ a variety of digital and online advertising strategies. These efforts include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digital video advertising, search engine marketing and optimization and targeted email, which we send to customers to introduce new products and offer promotions on select merchandise.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40" w:right="40" w:hanging="118"/>
        <w:spacing w:after="0" w:line="212" w:lineRule="auto"/>
        <w:tabs>
          <w:tab w:leader="none" w:pos="5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i w:val="1"/>
          <w:iCs w:val="1"/>
          <w:color w:val="auto"/>
        </w:rPr>
        <w:t>Social Media</w:t>
      </w:r>
      <w:r>
        <w:rPr>
          <w:rFonts w:ascii="Arial" w:cs="Arial" w:eastAsia="Arial" w:hAnsi="Arial"/>
          <w:sz w:val="18"/>
          <w:szCs w:val="18"/>
          <w:color w:val="auto"/>
        </w:rPr>
        <w:t>. We have an engaged social media community, which allows us to personally connect with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and we believe further raises brand awareness. We maintain a social media presence on Facebook, Pinterest, YouTube and Twitter. We also maintain a corporate blog: the “Whatchamablog.”</w:t>
      </w:r>
    </w:p>
    <w:p>
      <w:pPr>
        <w:spacing w:after="0" w:line="96" w:lineRule="exact"/>
        <w:rPr>
          <w:rFonts w:ascii="Arial" w:cs="Arial" w:eastAsia="Arial" w:hAnsi="Arial"/>
          <w:sz w:val="29"/>
          <w:szCs w:val="29"/>
          <w:color w:val="auto"/>
          <w:vertAlign w:val="superscript"/>
        </w:rPr>
      </w:pPr>
    </w:p>
    <w:p>
      <w:pPr>
        <w:ind w:left="540" w:right="140" w:hanging="118"/>
        <w:spacing w:after="0" w:line="223" w:lineRule="auto"/>
        <w:tabs>
          <w:tab w:leader="none" w:pos="5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i w:val="1"/>
          <w:iCs w:val="1"/>
          <w:color w:val="auto"/>
        </w:rPr>
        <w:t>Radio, Collateral Print and Outdoor Marketing</w:t>
      </w:r>
      <w:r>
        <w:rPr>
          <w:rFonts w:ascii="Arial" w:cs="Arial" w:eastAsia="Arial" w:hAnsi="Arial"/>
          <w:sz w:val="17"/>
          <w:szCs w:val="17"/>
          <w:color w:val="auto"/>
        </w:rPr>
        <w:t>. We use traditional radio and collateral print advertising, such as newspaper</w:t>
      </w:r>
      <w:r>
        <w:rPr>
          <w:rFonts w:ascii="Arial" w:cs="Arial" w:eastAsia="Arial" w:hAnsi="Arial"/>
          <w:sz w:val="17"/>
          <w:szCs w:val="17"/>
          <w:i w:val="1"/>
          <w:iCs w:val="1"/>
          <w:color w:val="auto"/>
        </w:rPr>
        <w:t xml:space="preserve"> </w:t>
      </w:r>
      <w:r>
        <w:rPr>
          <w:rFonts w:ascii="Arial" w:cs="Arial" w:eastAsia="Arial" w:hAnsi="Arial"/>
          <w:sz w:val="17"/>
          <w:szCs w:val="17"/>
          <w:color w:val="auto"/>
        </w:rPr>
        <w:t>inserts and postcards, and billboards in the areas surrounding our retail stores to build brand awareness, drive traffic to our website and stores, highlight certain promotions and events and support new store openings.</w:t>
      </w:r>
    </w:p>
    <w:p>
      <w:pPr>
        <w:spacing w:after="0" w:line="93" w:lineRule="exact"/>
        <w:rPr>
          <w:rFonts w:ascii="Arial" w:cs="Arial" w:eastAsia="Arial" w:hAnsi="Arial"/>
          <w:sz w:val="28"/>
          <w:szCs w:val="28"/>
          <w:color w:val="auto"/>
          <w:vertAlign w:val="superscript"/>
        </w:rPr>
      </w:pPr>
    </w:p>
    <w:p>
      <w:pPr>
        <w:ind w:left="540" w:right="80" w:hanging="118"/>
        <w:spacing w:after="0" w:line="238" w:lineRule="auto"/>
        <w:tabs>
          <w:tab w:leader="none" w:pos="5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i w:val="1"/>
          <w:iCs w:val="1"/>
          <w:color w:val="auto"/>
        </w:rPr>
        <w:t>Event Sponsorship</w:t>
      </w:r>
      <w:r>
        <w:rPr>
          <w:rFonts w:ascii="Arial" w:cs="Arial" w:eastAsia="Arial" w:hAnsi="Arial"/>
          <w:sz w:val="16"/>
          <w:szCs w:val="16"/>
          <w:color w:val="auto"/>
        </w:rPr>
        <w:t>. We sponsor both national and local events, including the STIHL TIMBERSPORTS Series, a 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world’s top lumberjack athletes, which is one of our most prominent sponsorships with a national airing on the ABC television network, and the John Beargrease Sled Dog Marathon, the longest sled dog race in the lower 48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02"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unconditional “No Bull Guarantee.” Our call center is open 24 hours a day, seven days a week and is staffed with friendly, knowledgeable representatives dedicated to making every customer experience positive.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do not own or operate any manufacturing facilities. Instead, we arrange with third-party vendors for the manufacturing of our merchandise. We have built strong, long-term relationships with our vendors, with our top six suppliers in fiscal 2015 supplying approximately 83% of our total purchases. In fiscal 2015, 54% of our purchases came from our largest supplier, an agent partner in Hong Kong who manages multiple factories across Asia, including Cambodia, China, Indonesia and Vietnam. Approximately 17% of our purchases in fiscal 2015 came from our second largest supplier, which is based in Thailand. We believe sourcing inventory through this agent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52"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89"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Our distribution centers are currently located across the United States in order to minimize transit times to our customers. We own and operate a distribution center in Belleville, Wisconsin, which is approximately 115,000 square feet of production and warehouse space. Our Belleville distribution center processes all online and in-store returns, stocks and replenishes products in our retail stores and handles our direct segment distribution needs for the Midwest. In 2014, we opened our first third-party logistics center in Sparks, Nevada for our distribution needs for western states. In September 2015, we opened another third-party logistics center in Hebron, Kentucky for our distribution needs on the east coast and in the south. Orders are generally assigned to the distribution center closest to the customer’s ship-to location. We believe our current distribution network will allow us to substantially improve delivery times to key customer concentrations in the Eastern and Western United States and is well-positioned to provide sufficient capacity to support our planned continued growth for the foreseeable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89"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 and also process direct orders from our retail stores. Our Belleville distribution center implemented a new warehouse management system in July 2015. Our Product Lifecycle Management System, which launched in June 2015, systematically coordinates efforts across our product development teams, allowing these teams to dedicate their time to building and executing solution-based product introductions. Our Vendor Portal is a web-based system that allows us to interface with key partners. We intend to make key technology investments of approximately $3.0 million to $5.0 million over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1" w:name="page12"/>
    <w:bookmarkEnd w:id="1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right="720"/>
        <w:spacing w:after="0" w:line="342" w:lineRule="auto"/>
        <w:rPr>
          <w:sz w:val="20"/>
          <w:szCs w:val="20"/>
          <w:color w:val="auto"/>
        </w:rPr>
      </w:pPr>
      <w:r>
        <w:rPr>
          <w:rFonts w:ascii="Arial" w:cs="Arial" w:eastAsia="Arial" w:hAnsi="Arial"/>
          <w:sz w:val="16"/>
          <w:szCs w:val="16"/>
          <w:color w:val="auto"/>
        </w:rPr>
        <w:t>the next 12 to 24 months in a new order management system, asset management system, assortment planning system and e-commerce platform that we believe are needed to support the future growth in our direct and retail segments.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left="20" w:right="80" w:firstLine="441"/>
        <w:spacing w:after="0" w:line="272" w:lineRule="auto"/>
        <w:rPr>
          <w:sz w:val="20"/>
          <w:szCs w:val="20"/>
          <w:color w:val="auto"/>
        </w:rPr>
      </w:pPr>
      <w:r>
        <w:rPr>
          <w:rFonts w:ascii="Arial" w:cs="Arial" w:eastAsia="Arial" w:hAnsi="Arial"/>
          <w:sz w:val="17"/>
          <w:szCs w:val="17"/>
          <w:color w:val="auto"/>
        </w:rPr>
        <w:t>Our trademarks are important to our marketing efforts. We own or have the rights to use certain trademarks, service marks and trade names that are registered with the U.S. Patent and Trademark Office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Alaskan Hardgear</w:t>
      </w:r>
      <w:r>
        <w:rPr>
          <w:rFonts w:ascii="Arial" w:cs="Arial" w:eastAsia="Arial" w:hAnsi="Arial"/>
          <w:sz w:val="7"/>
          <w:szCs w:val="7"/>
          <w:color w:val="auto"/>
        </w:rPr>
        <w:t>®</w:t>
      </w:r>
      <w:r>
        <w:rPr>
          <w:rFonts w:ascii="Arial" w:cs="Arial" w:eastAsia="Arial" w:hAnsi="Arial"/>
          <w:sz w:val="17"/>
          <w:szCs w:val="17"/>
          <w:color w:val="auto"/>
        </w:rPr>
        <w:t>, Armachillo</w:t>
      </w:r>
      <w:r>
        <w:rPr>
          <w:rFonts w:ascii="Arial" w:cs="Arial" w:eastAsia="Arial" w:hAnsi="Arial"/>
          <w:sz w:val="7"/>
          <w:szCs w:val="7"/>
          <w:color w:val="auto"/>
        </w:rPr>
        <w:t>®</w:t>
      </w:r>
      <w:r>
        <w:rPr>
          <w:rFonts w:ascii="Arial" w:cs="Arial" w:eastAsia="Arial" w:hAnsi="Arial"/>
          <w:sz w:val="17"/>
          <w:szCs w:val="17"/>
          <w:color w:val="auto"/>
        </w:rPr>
        <w:t>, Ballroom</w:t>
      </w:r>
      <w:r>
        <w:rPr>
          <w:rFonts w:ascii="Arial" w:cs="Arial" w:eastAsia="Arial" w:hAnsi="Arial"/>
          <w:sz w:val="7"/>
          <w:szCs w:val="7"/>
          <w:color w:val="auto"/>
        </w:rPr>
        <w:t>®</w:t>
      </w:r>
      <w:r>
        <w:rPr>
          <w:rFonts w:ascii="Arial" w:cs="Arial" w:eastAsia="Arial" w:hAnsi="Arial"/>
          <w:sz w:val="17"/>
          <w:szCs w:val="17"/>
          <w:color w:val="auto"/>
        </w:rPr>
        <w:t>, Bucket Master</w:t>
      </w:r>
      <w:r>
        <w:rPr>
          <w:rFonts w:ascii="Arial" w:cs="Arial" w:eastAsia="Arial" w:hAnsi="Arial"/>
          <w:sz w:val="7"/>
          <w:szCs w:val="7"/>
          <w:color w:val="auto"/>
        </w:rPr>
        <w:t>®</w:t>
      </w:r>
      <w:r>
        <w:rPr>
          <w:rFonts w:ascii="Arial" w:cs="Arial" w:eastAsia="Arial" w:hAnsi="Arial"/>
          <w:sz w:val="17"/>
          <w:szCs w:val="17"/>
          <w:color w:val="auto"/>
        </w:rPr>
        <w:t>, Cab Commander</w:t>
      </w:r>
      <w:r>
        <w:rPr>
          <w:rFonts w:ascii="Arial" w:cs="Arial" w:eastAsia="Arial" w:hAnsi="Arial"/>
          <w:sz w:val="7"/>
          <w:szCs w:val="7"/>
          <w:color w:val="auto"/>
        </w:rPr>
        <w:t>®</w:t>
      </w:r>
      <w:r>
        <w:rPr>
          <w:rFonts w:ascii="Arial" w:cs="Arial" w:eastAsia="Arial" w:hAnsi="Arial"/>
          <w:sz w:val="17"/>
          <w:szCs w:val="17"/>
          <w:color w:val="auto"/>
        </w:rPr>
        <w:t>, Crouch Gusset</w:t>
      </w:r>
      <w:r>
        <w:rPr>
          <w:rFonts w:ascii="Arial" w:cs="Arial" w:eastAsia="Arial" w:hAnsi="Arial"/>
          <w:sz w:val="7"/>
          <w:szCs w:val="7"/>
          <w:color w:val="auto"/>
        </w:rPr>
        <w:t>®</w:t>
      </w:r>
      <w:r>
        <w:rPr>
          <w:rFonts w:ascii="Arial" w:cs="Arial" w:eastAsia="Arial" w:hAnsi="Arial"/>
          <w:sz w:val="17"/>
          <w:szCs w:val="17"/>
          <w:color w:val="auto"/>
        </w:rPr>
        <w:t>, Dry on the Fly</w:t>
      </w:r>
      <w:r>
        <w:rPr>
          <w:rFonts w:ascii="Arial" w:cs="Arial" w:eastAsia="Arial" w:hAnsi="Arial"/>
          <w:sz w:val="7"/>
          <w:szCs w:val="7"/>
          <w:color w:val="auto"/>
        </w:rPr>
        <w:t>®</w:t>
      </w:r>
      <w:r>
        <w:rPr>
          <w:rFonts w:ascii="Arial" w:cs="Arial" w:eastAsia="Arial" w:hAnsi="Arial"/>
          <w:sz w:val="17"/>
          <w:szCs w:val="17"/>
          <w:color w:val="auto"/>
        </w:rPr>
        <w:t>, Duluth Trading Company</w:t>
      </w:r>
      <w:r>
        <w:rPr>
          <w:rFonts w:ascii="Arial" w:cs="Arial" w:eastAsia="Arial" w:hAnsi="Arial"/>
          <w:sz w:val="7"/>
          <w:szCs w:val="7"/>
          <w:color w:val="auto"/>
        </w:rPr>
        <w:t>®</w:t>
      </w:r>
      <w:r>
        <w:rPr>
          <w:rFonts w:ascii="Arial" w:cs="Arial" w:eastAsia="Arial" w:hAnsi="Arial"/>
          <w:sz w:val="17"/>
          <w:szCs w:val="17"/>
          <w:color w:val="auto"/>
        </w:rPr>
        <w:t>, Duluthflex</w:t>
      </w:r>
      <w:r>
        <w:rPr>
          <w:rFonts w:ascii="Arial" w:cs="Arial" w:eastAsia="Arial" w:hAnsi="Arial"/>
          <w:sz w:val="7"/>
          <w:szCs w:val="7"/>
          <w:color w:val="auto"/>
        </w:rPr>
        <w:t>®</w:t>
      </w:r>
      <w:r>
        <w:rPr>
          <w:rFonts w:ascii="Arial" w:cs="Arial" w:eastAsia="Arial" w:hAnsi="Arial"/>
          <w:sz w:val="17"/>
          <w:szCs w:val="17"/>
          <w:color w:val="auto"/>
        </w:rPr>
        <w:t>, Fire Hose</w:t>
      </w:r>
      <w:r>
        <w:rPr>
          <w:rFonts w:ascii="Arial" w:cs="Arial" w:eastAsia="Arial" w:hAnsi="Arial"/>
          <w:sz w:val="7"/>
          <w:szCs w:val="7"/>
          <w:color w:val="auto"/>
        </w:rPr>
        <w:t>®</w:t>
      </w:r>
      <w:r>
        <w:rPr>
          <w:rFonts w:ascii="Arial" w:cs="Arial" w:eastAsia="Arial" w:hAnsi="Arial"/>
          <w:sz w:val="17"/>
          <w:szCs w:val="17"/>
          <w:color w:val="auto"/>
        </w:rPr>
        <w:t>, Longtail T</w:t>
      </w:r>
      <w:r>
        <w:rPr>
          <w:rFonts w:ascii="Arial" w:cs="Arial" w:eastAsia="Arial" w:hAnsi="Arial"/>
          <w:sz w:val="7"/>
          <w:szCs w:val="7"/>
          <w:color w:val="auto"/>
        </w:rPr>
        <w:t>®</w:t>
      </w:r>
      <w:r>
        <w:rPr>
          <w:rFonts w:ascii="Arial" w:cs="Arial" w:eastAsia="Arial" w:hAnsi="Arial"/>
          <w:sz w:val="17"/>
          <w:szCs w:val="17"/>
          <w:color w:val="auto"/>
        </w:rPr>
        <w:t>, No Polo Shirt</w:t>
      </w:r>
      <w:r>
        <w:rPr>
          <w:rFonts w:ascii="Arial" w:cs="Arial" w:eastAsia="Arial" w:hAnsi="Arial"/>
          <w:sz w:val="7"/>
          <w:szCs w:val="7"/>
          <w:color w:val="auto"/>
        </w:rPr>
        <w:t>®</w:t>
      </w:r>
      <w:r>
        <w:rPr>
          <w:rFonts w:ascii="Arial" w:cs="Arial" w:eastAsia="Arial" w:hAnsi="Arial"/>
          <w:sz w:val="17"/>
          <w:szCs w:val="17"/>
          <w:color w:val="auto"/>
        </w:rPr>
        <w:t xml:space="preserve"> and Wild Boar Mocs</w:t>
      </w:r>
      <w:r>
        <w:rPr>
          <w:rFonts w:ascii="Arial" w:cs="Arial" w:eastAsia="Arial" w:hAnsi="Arial"/>
          <w:sz w:val="7"/>
          <w:szCs w:val="7"/>
          <w:color w:val="auto"/>
        </w:rPr>
        <w:t>®</w:t>
      </w:r>
      <w:r>
        <w:rPr>
          <w:rFonts w:ascii="Arial" w:cs="Arial" w:eastAsia="Arial" w:hAnsi="Arial"/>
          <w:sz w:val="17"/>
          <w:szCs w:val="17"/>
          <w:color w:val="auto"/>
        </w:rPr>
        <w:t>. Our rights to some of these trademarks may be limited to select markets. We also own domain names, including “duluthtrading.com.”</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20" w:right="20" w:firstLine="441"/>
        <w:spacing w:after="0" w:line="259" w:lineRule="auto"/>
        <w:rPr>
          <w:sz w:val="20"/>
          <w:szCs w:val="20"/>
          <w:color w:val="auto"/>
        </w:rPr>
      </w:pPr>
      <w:r>
        <w:rPr>
          <w:rFonts w:ascii="Arial" w:cs="Arial" w:eastAsia="Arial" w:hAnsi="Arial"/>
          <w:sz w:val="18"/>
          <w:szCs w:val="18"/>
          <w:color w:val="auto"/>
        </w:rPr>
        <w:t>As of January 31, 2016, we employed 280 full-time and 907 part-time and flexible part-time employees, 293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20" w:right="120" w:firstLine="441"/>
        <w:spacing w:after="0" w:line="264" w:lineRule="auto"/>
        <w:rPr>
          <w:sz w:val="20"/>
          <w:szCs w:val="20"/>
          <w:color w:val="auto"/>
        </w:rPr>
      </w:pPr>
      <w:r>
        <w:rPr>
          <w:rFonts w:ascii="Arial" w:cs="Arial" w:eastAsia="Arial" w:hAnsi="Arial"/>
          <w:sz w:val="18"/>
          <w:szCs w:val="18"/>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4Q</w:t>
            </w:r>
          </w:p>
        </w:tc>
        <w:tc>
          <w:tcPr>
            <w:tcW w:w="2100" w:type="dxa"/>
            <w:vAlign w:val="bottom"/>
            <w:gridSpan w:val="2"/>
          </w:tcPr>
          <w:p>
            <w:pPr>
              <w:ind w:left="500"/>
              <w:spacing w:after="0"/>
              <w:rPr>
                <w:sz w:val="20"/>
                <w:szCs w:val="20"/>
                <w:color w:val="auto"/>
              </w:rPr>
            </w:pPr>
            <w:r>
              <w:rPr>
                <w:rFonts w:ascii="Arial" w:cs="Arial" w:eastAsia="Arial" w:hAnsi="Arial"/>
                <w:sz w:val="14"/>
                <w:szCs w:val="14"/>
                <w:b w:val="1"/>
                <w:bCs w:val="1"/>
                <w:color w:val="auto"/>
              </w:rPr>
              <w:t>4Q Net Sales</w:t>
            </w:r>
          </w:p>
        </w:tc>
        <w:tc>
          <w:tcPr>
            <w:tcW w:w="240" w:type="dxa"/>
            <w:vAlign w:val="bottom"/>
          </w:tcPr>
          <w:p>
            <w:pPr>
              <w:spacing w:after="0"/>
              <w:rPr>
                <w:sz w:val="16"/>
                <w:szCs w:val="16"/>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4Q</w:t>
            </w:r>
          </w:p>
        </w:tc>
        <w:tc>
          <w:tcPr>
            <w:tcW w:w="1940" w:type="dxa"/>
            <w:vAlign w:val="bottom"/>
          </w:tcPr>
          <w:p>
            <w:pPr>
              <w:jc w:val="right"/>
              <w:ind w:right="417"/>
              <w:spacing w:after="0"/>
              <w:rPr>
                <w:sz w:val="20"/>
                <w:szCs w:val="20"/>
                <w:color w:val="auto"/>
              </w:rPr>
            </w:pPr>
            <w:r>
              <w:rPr>
                <w:rFonts w:ascii="Arial" w:cs="Arial" w:eastAsia="Arial" w:hAnsi="Arial"/>
                <w:sz w:val="14"/>
                <w:szCs w:val="14"/>
                <w:b w:val="1"/>
                <w:bCs w:val="1"/>
                <w:color w:val="auto"/>
              </w:rPr>
              <w:t>4Q Net Income</w:t>
            </w:r>
          </w:p>
        </w:tc>
      </w:tr>
      <w:tr>
        <w:trPr>
          <w:trHeight w:val="188"/>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8"/>
              </w:rPr>
              <w:t>Net Sales</w:t>
            </w:r>
          </w:p>
        </w:tc>
        <w:tc>
          <w:tcPr>
            <w:tcW w:w="340" w:type="dxa"/>
            <w:vAlign w:val="bottom"/>
          </w:tcPr>
          <w:p>
            <w:pPr>
              <w:spacing w:after="0"/>
              <w:rPr>
                <w:sz w:val="16"/>
                <w:szCs w:val="16"/>
                <w:color w:val="auto"/>
              </w:rPr>
            </w:pPr>
          </w:p>
        </w:tc>
        <w:tc>
          <w:tcPr>
            <w:tcW w:w="17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of Fiscal year</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Net Income</w:t>
            </w:r>
          </w:p>
        </w:tc>
        <w:tc>
          <w:tcPr>
            <w:tcW w:w="340" w:type="dxa"/>
            <w:vAlign w:val="bottom"/>
          </w:tcPr>
          <w:p>
            <w:pPr>
              <w:spacing w:after="0"/>
              <w:rPr>
                <w:sz w:val="16"/>
                <w:szCs w:val="16"/>
                <w:color w:val="auto"/>
              </w:rPr>
            </w:pPr>
          </w:p>
        </w:tc>
        <w:tc>
          <w:tcPr>
            <w:tcW w:w="1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Fiscal Year</w:t>
            </w:r>
          </w:p>
        </w:tc>
      </w:tr>
      <w:tr>
        <w:trPr>
          <w:trHeight w:val="183"/>
        </w:trPr>
        <w:tc>
          <w:tcPr>
            <w:tcW w:w="2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1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140,377</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46.2 %</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63.9 %</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110,131</w:t>
            </w:r>
          </w:p>
        </w:tc>
        <w:tc>
          <w:tcPr>
            <w:tcW w:w="340" w:type="dxa"/>
            <w:vAlign w:val="bottom"/>
          </w:tcPr>
          <w:p>
            <w:pPr>
              <w:spacing w:after="0"/>
              <w:rPr>
                <w:sz w:val="18"/>
                <w:szCs w:val="18"/>
                <w:color w:val="auto"/>
              </w:rPr>
            </w:pPr>
          </w:p>
        </w:tc>
        <w:tc>
          <w:tcPr>
            <w:tcW w:w="1760" w:type="dxa"/>
            <w:vAlign w:val="bottom"/>
          </w:tcPr>
          <w:p>
            <w:pPr>
              <w:jc w:val="right"/>
              <w:ind w:right="137"/>
              <w:spacing w:after="0"/>
              <w:rPr>
                <w:sz w:val="20"/>
                <w:szCs w:val="20"/>
                <w:color w:val="auto"/>
              </w:rPr>
            </w:pPr>
            <w:r>
              <w:rPr>
                <w:rFonts w:ascii="Arial" w:cs="Arial" w:eastAsia="Arial" w:hAnsi="Arial"/>
                <w:sz w:val="18"/>
                <w:szCs w:val="18"/>
                <w:color w:val="auto"/>
              </w:rPr>
              <w:t>47.5 %</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13,899</w:t>
            </w:r>
          </w:p>
        </w:tc>
        <w:tc>
          <w:tcPr>
            <w:tcW w:w="340" w:type="dxa"/>
            <w:vAlign w:val="bottom"/>
          </w:tcPr>
          <w:p>
            <w:pPr>
              <w:spacing w:after="0"/>
              <w:rPr>
                <w:sz w:val="18"/>
                <w:szCs w:val="18"/>
                <w:color w:val="auto"/>
              </w:rPr>
            </w:pPr>
          </w:p>
        </w:tc>
        <w:tc>
          <w:tcPr>
            <w:tcW w:w="1940" w:type="dxa"/>
            <w:vAlign w:val="bottom"/>
          </w:tcPr>
          <w:p>
            <w:pPr>
              <w:jc w:val="right"/>
              <w:ind w:right="137"/>
              <w:spacing w:after="0"/>
              <w:rPr>
                <w:sz w:val="20"/>
                <w:szCs w:val="20"/>
                <w:color w:val="auto"/>
              </w:rPr>
            </w:pPr>
            <w:r>
              <w:rPr>
                <w:rFonts w:ascii="Arial" w:cs="Arial" w:eastAsia="Arial" w:hAnsi="Arial"/>
                <w:sz w:val="18"/>
                <w:szCs w:val="18"/>
                <w:color w:val="auto"/>
              </w:rPr>
              <w:t>58.8 %</w:t>
            </w:r>
          </w:p>
        </w:tc>
      </w:tr>
      <w:tr>
        <w:trPr>
          <w:trHeight w:val="21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78,846</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48.3 %</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61.1 %</w:t>
            </w:r>
          </w:p>
        </w:tc>
      </w:tr>
    </w:tbl>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Legislation</w:t>
      </w:r>
    </w:p>
    <w:p>
      <w:pPr>
        <w:spacing w:after="0" w:line="189" w:lineRule="exact"/>
        <w:rPr>
          <w:sz w:val="20"/>
          <w:szCs w:val="20"/>
          <w:color w:val="auto"/>
        </w:rPr>
      </w:pPr>
    </w:p>
    <w:p>
      <w:pPr>
        <w:ind w:left="20" w:right="120" w:firstLine="441"/>
        <w:spacing w:after="0" w:line="312" w:lineRule="auto"/>
        <w:rPr>
          <w:sz w:val="20"/>
          <w:szCs w:val="20"/>
          <w:color w:val="auto"/>
        </w:rPr>
      </w:pPr>
      <w:r>
        <w:rPr>
          <w:rFonts w:ascii="Arial" w:cs="Arial" w:eastAsia="Arial" w:hAnsi="Arial"/>
          <w:sz w:val="16"/>
          <w:szCs w:val="16"/>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left="20" w:firstLine="441"/>
        <w:spacing w:after="0" w:line="255"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as soon as reasonably practicable after such reports are filed with, or furnished to the SEC. You may read and copy any materials we file with the SEC at the SEC’s Public Reference Room at 100 F Street, NE, Washington, DC 20549. You may obtain information on the operation of the Public Reference Room by calling the SEC at 1-800-SEC-0330. The SEC also maintains an Internet site that contains our reports, proxy statements and other information at www.sec.gov.</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200" w:lineRule="exact"/>
        <w:rPr>
          <w:sz w:val="20"/>
          <w:szCs w:val="20"/>
          <w:color w:val="auto"/>
        </w:rPr>
      </w:pPr>
    </w:p>
    <w:p>
      <w:pPr>
        <w:spacing w:after="0" w:line="241" w:lineRule="exact"/>
        <w:rPr>
          <w:sz w:val="20"/>
          <w:szCs w:val="20"/>
          <w:color w:val="auto"/>
        </w:rPr>
      </w:pPr>
    </w:p>
    <w:p>
      <w:pPr>
        <w:jc w:val="both"/>
        <w:ind w:right="140" w:firstLine="441"/>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offer products that customers want to purchase, our business and results of operations could be adversely affected.</w:t>
      </w:r>
    </w:p>
    <w:p>
      <w:pPr>
        <w:spacing w:after="0" w:line="21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6" w:lineRule="exact"/>
        <w:rPr>
          <w:sz w:val="20"/>
          <w:szCs w:val="20"/>
          <w:color w:val="auto"/>
        </w:rPr>
      </w:pPr>
    </w:p>
    <w:p>
      <w:pPr>
        <w:jc w:val="both"/>
        <w:ind w:right="60" w:firstLine="441"/>
        <w:spacing w:after="0" w:line="279" w:lineRule="auto"/>
        <w:rPr>
          <w:sz w:val="20"/>
          <w:szCs w:val="20"/>
          <w:color w:val="auto"/>
        </w:rPr>
      </w:pPr>
      <w:r>
        <w:rPr>
          <w:rFonts w:ascii="Arial" w:cs="Arial" w:eastAsia="Arial" w:hAnsi="Arial"/>
          <w:sz w:val="17"/>
          <w:szCs w:val="17"/>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117" w:lineRule="exact"/>
        <w:rPr>
          <w:sz w:val="20"/>
          <w:szCs w:val="20"/>
          <w:color w:val="auto"/>
        </w:rPr>
      </w:pPr>
    </w:p>
    <w:p>
      <w:pPr>
        <w:jc w:val="both"/>
        <w:ind w:left="540" w:right="560" w:hanging="118"/>
        <w:spacing w:after="0" w:line="221" w:lineRule="auto"/>
        <w:tabs>
          <w:tab w:leader="none" w:pos="5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95" w:lineRule="exact"/>
        <w:rPr>
          <w:rFonts w:ascii="Arial" w:cs="Arial" w:eastAsia="Arial" w:hAnsi="Arial"/>
          <w:sz w:val="26"/>
          <w:szCs w:val="26"/>
          <w:color w:val="auto"/>
          <w:vertAlign w:val="superscript"/>
        </w:rPr>
      </w:pPr>
    </w:p>
    <w:p>
      <w:pPr>
        <w:ind w:left="540" w:right="740" w:hanging="118"/>
        <w:spacing w:after="0" w:line="198" w:lineRule="auto"/>
        <w:tabs>
          <w:tab w:leader="none" w:pos="5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ind w:left="580" w:hanging="158"/>
        <w:spacing w:after="0" w:line="233" w:lineRule="auto"/>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new, well-received product introductions by competitors;</w:t>
      </w:r>
    </w:p>
    <w:p>
      <w:pPr>
        <w:spacing w:after="0" w:line="110"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weak economic conditions or consumer confidence, which reduce demand for our products; and</w:t>
      </w:r>
    </w:p>
    <w:p>
      <w:pPr>
        <w:spacing w:after="0" w:line="110" w:lineRule="exact"/>
        <w:rPr>
          <w:rFonts w:ascii="Arial" w:cs="Arial" w:eastAsia="Arial" w:hAnsi="Arial"/>
          <w:sz w:val="24"/>
          <w:szCs w:val="24"/>
          <w:color w:val="auto"/>
          <w:vertAlign w:val="superscript"/>
        </w:rPr>
      </w:pPr>
    </w:p>
    <w:p>
      <w:pPr>
        <w:ind w:left="540" w:right="200" w:hanging="118"/>
        <w:spacing w:after="0" w:line="191" w:lineRule="auto"/>
        <w:tabs>
          <w:tab w:leader="none" w:pos="5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162"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There can be no assurance that we will be able to successfully anticipate or identify our customers’ needs and preferences and design products and product features in response.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 and negatively impact profitability. On the other hand, if we underestimate demand for our products, our third-party manufacturers may not be able to produce sufficient quantities of our products to meet consumer requirements, and this could result in delays in the shipment of products and lost revenue, as well as damage to the image and reputation of our brand and our relationship with our customers. These risks could have a material adverse effect on our brand as well as our results of operations and financial condition.</w:t>
      </w:r>
    </w:p>
    <w:p>
      <w:pPr>
        <w:spacing w:after="0" w:line="12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Our business depends on our ability to maintain a strong brand. We may not be able to maintain and enhance the Duluth Trading brand if we receive unfavorable complaints, negative publicity or otherwise fail to live up to consumers’ expectations, which could materially adversely affect our business, results of operations and growth prospects.</w:t>
      </w:r>
    </w:p>
    <w:p>
      <w:pPr>
        <w:spacing w:after="0" w:line="12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handling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marketing strategy of associating our brand and products with the Modern, Self-Reliant American Lifestyle may not be successful with future customers.</w:t>
      </w:r>
    </w:p>
    <w:p>
      <w:pPr>
        <w:spacing w:after="0" w:line="130"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We have been successful in marketing our products by associating our brand and products with a heritage of workwear and the Modern, Self-Reliant American Lifestyle. To sustain long-term growth, we must continue to be successful in promoting our products to customers who identify with this lifestyle. If our customer base declines through natural attrition and is not replaced by new customers due to, for example, a lack of personal identification with this lifestyle, our net sales could decline, which could adversely affect our business, results of operations and financial condition.</w:t>
      </w:r>
    </w:p>
    <w:p>
      <w:pPr>
        <w:spacing w:after="0" w:line="1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5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Retail store expansion could adversely affect the operating results of our retail channel and reduce the revenue of our direct channel.</w:t>
      </w:r>
    </w:p>
    <w:p>
      <w:pPr>
        <w:spacing w:after="0" w:line="130"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As we increase the number of our retail stores, our stores may become more highly concentrated in the geographic regions we serve. As a result, the number of customers and related net sales at individual stores may decline and the payback period may be increased. In addition, as we open more retail stores, and if our competitors open stores with similar formats, our retail store format may become less unique and may be less attractive to customers as a shopping destination. If either of these events occurs, the operating results of our retail channel could be materially adversely affected. The growth in the number of our retail stores may also draw customers away from our website and catalogs, which could materially adversely affect net sales from our direct channel.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successfully implement future retail store expansion, our growth and profitability could be adversely impacted.</w:t>
      </w:r>
    </w:p>
    <w:p>
      <w:pPr>
        <w:spacing w:after="0" w:line="208"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We plan to open new retail stores in fiscal 2016 and thereafter. Our ability to open new retail stores in a timely manner and operate them profitably depends on a number of factors, many of which are beyond our control, including:</w:t>
      </w:r>
    </w:p>
    <w:p>
      <w:pPr>
        <w:spacing w:after="0" w:line="38" w:lineRule="exact"/>
        <w:rPr>
          <w:sz w:val="20"/>
          <w:szCs w:val="20"/>
          <w:color w:val="auto"/>
        </w:rPr>
      </w:pPr>
    </w:p>
    <w:p>
      <w:pPr>
        <w:ind w:left="540" w:right="600" w:hanging="118"/>
        <w:spacing w:after="0" w:line="198"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manage the financial and operational aspects of our retail growth strategy, including making appropriate investments in our software systems, information technology and operational infrastructure;</w:t>
      </w:r>
    </w:p>
    <w:p>
      <w:pPr>
        <w:spacing w:after="0" w:line="94" w:lineRule="exact"/>
        <w:rPr>
          <w:rFonts w:ascii="Arial" w:cs="Arial" w:eastAsia="Arial" w:hAnsi="Arial"/>
          <w:sz w:val="29"/>
          <w:szCs w:val="29"/>
          <w:color w:val="auto"/>
          <w:vertAlign w:val="superscript"/>
        </w:rPr>
      </w:pPr>
    </w:p>
    <w:p>
      <w:pPr>
        <w:ind w:left="540" w:right="620" w:hanging="118"/>
        <w:spacing w:after="0" w:line="198"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suitable locations, including our ability to gather and assess demographic and marketing data to accurately determine consumer demand for our products in the locations we select;</w:t>
      </w:r>
    </w:p>
    <w:p>
      <w:pPr>
        <w:ind w:left="600" w:hanging="178"/>
        <w:spacing w:after="0" w:line="233" w:lineRule="auto"/>
        <w:tabs>
          <w:tab w:leader="none" w:pos="6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negotiate favorable lease agreements;</w:t>
      </w:r>
    </w:p>
    <w:p>
      <w:pPr>
        <w:spacing w:after="0" w:line="110" w:lineRule="exact"/>
        <w:rPr>
          <w:rFonts w:ascii="Arial" w:cs="Arial" w:eastAsia="Arial" w:hAnsi="Arial"/>
          <w:sz w:val="29"/>
          <w:szCs w:val="29"/>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properly assess the profitability and payback period of potential new retail store locations;</w:t>
      </w:r>
    </w:p>
    <w:p>
      <w:pPr>
        <w:spacing w:after="0" w:line="110" w:lineRule="exact"/>
        <w:rPr>
          <w:rFonts w:ascii="Arial" w:cs="Arial" w:eastAsia="Arial" w:hAnsi="Arial"/>
          <w:sz w:val="24"/>
          <w:szCs w:val="24"/>
          <w:color w:val="auto"/>
          <w:vertAlign w:val="superscript"/>
        </w:rPr>
      </w:pPr>
    </w:p>
    <w:p>
      <w:pPr>
        <w:ind w:left="600" w:hanging="178"/>
        <w:spacing w:after="0" w:line="186" w:lineRule="auto"/>
        <w:tabs>
          <w:tab w:leader="none" w:pos="60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availability of financing on favorable terms;</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secure required governmental permits and approvals;</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ability to hire and train skilled store operating personnel, especially management personnel;</w:t>
      </w:r>
    </w:p>
    <w:p>
      <w:pPr>
        <w:spacing w:after="0" w:line="110"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availability of construction materials and labor and the absence of significant construction delays or cost overruns;</w:t>
      </w:r>
    </w:p>
    <w:p>
      <w:pPr>
        <w:spacing w:after="0" w:line="110" w:lineRule="exact"/>
        <w:rPr>
          <w:rFonts w:ascii="Arial" w:cs="Arial" w:eastAsia="Arial" w:hAnsi="Arial"/>
          <w:sz w:val="24"/>
          <w:szCs w:val="24"/>
          <w:color w:val="auto"/>
          <w:vertAlign w:val="superscript"/>
        </w:rPr>
      </w:pPr>
    </w:p>
    <w:p>
      <w:pPr>
        <w:ind w:left="540" w:right="300" w:hanging="118"/>
        <w:spacing w:after="0" w:line="191" w:lineRule="auto"/>
        <w:tabs>
          <w:tab w:leader="none" w:pos="5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 satisfactory mix of merchandise that is responsive to the needs of our customers living in the areas where new retail stores are built;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540" w:hanging="118"/>
        <w:spacing w:after="0"/>
        <w:tabs>
          <w:tab w:leader="none" w:pos="54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our ability to establish a supplier and distribution network able to supply new retail stores with inventory in a timely manner;</w:t>
      </w:r>
    </w:p>
    <w:p>
      <w:pPr>
        <w:spacing w:after="0" w:line="109" w:lineRule="exact"/>
        <w:rPr>
          <w:rFonts w:ascii="Arial" w:cs="Arial" w:eastAsia="Arial" w:hAnsi="Arial"/>
          <w:sz w:val="26"/>
          <w:szCs w:val="26"/>
          <w:color w:val="auto"/>
          <w:vertAlign w:val="superscript"/>
        </w:rPr>
      </w:pPr>
    </w:p>
    <w:p>
      <w:pPr>
        <w:ind w:left="540" w:right="280" w:hanging="118"/>
        <w:spacing w:after="0" w:line="191"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our competitors building or leasing stores near our retail stores or in locations we have identified as targets for a new retail store;</w:t>
      </w:r>
    </w:p>
    <w:p>
      <w:pPr>
        <w:ind w:left="560" w:hanging="138"/>
        <w:spacing w:after="0" w:line="233" w:lineRule="auto"/>
        <w:tabs>
          <w:tab w:leader="none" w:pos="5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consumer demand for our products, which drives traffic to our retail stores; and</w:t>
      </w:r>
    </w:p>
    <w:p>
      <w:pPr>
        <w:spacing w:after="0" w:line="110" w:lineRule="exact"/>
        <w:rPr>
          <w:rFonts w:ascii="Arial" w:cs="Arial" w:eastAsia="Arial" w:hAnsi="Arial"/>
          <w:sz w:val="29"/>
          <w:szCs w:val="29"/>
          <w:color w:val="auto"/>
          <w:vertAlign w:val="superscript"/>
        </w:rPr>
      </w:pPr>
    </w:p>
    <w:p>
      <w:pPr>
        <w:ind w:left="540" w:right="580" w:hanging="118"/>
        <w:spacing w:after="0" w:line="191" w:lineRule="auto"/>
        <w:tabs>
          <w:tab w:leader="none" w:pos="5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general economic and business conditions affecting consumer confidence and spending and the overall strength of our business.</w:t>
      </w:r>
    </w:p>
    <w:p>
      <w:pPr>
        <w:spacing w:after="0" w:line="162"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We may not be able to grow the number of our retail stores, accelerate the rate of new store openings, achieve the net sales growth and payback periods historically achieved by our retail stores or maintain consistent levels of profitability in our retail stores, particularly as we expand into markets now served by other apparel chains, outdoor specialty stores, apparel catalog businesses and online apparel businesses. In addition, the substantial management time and resources which our retail store expansion strategy requires may result in disruption to our existing business operations which may decrease our profitability.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85"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color w:val="auto"/>
        </w:rPr>
        <w:t>Our retail stores as of January 31, 2016 are concentrated in the Midwest. As we expand our retail store locations, we may face new challenges that are different from those we currently encounter. Our expansion into new geographic markets could result in increased competitive, merchandising, distribution and other challenges. We may encounter difficulties in attracting customers in our new retail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32" w:lineRule="exact"/>
        <w:rPr>
          <w:sz w:val="20"/>
          <w:szCs w:val="20"/>
          <w:color w:val="auto"/>
        </w:rPr>
      </w:pPr>
    </w:p>
    <w:p>
      <w:pPr>
        <w:jc w:val="both"/>
        <w:ind w:right="240" w:firstLine="441"/>
        <w:spacing w:after="0" w:line="312" w:lineRule="auto"/>
        <w:rPr>
          <w:sz w:val="20"/>
          <w:szCs w:val="20"/>
          <w:color w:val="auto"/>
        </w:rPr>
      </w:pPr>
      <w:r>
        <w:rPr>
          <w:rFonts w:ascii="Arial" w:cs="Arial" w:eastAsia="Arial" w:hAnsi="Arial"/>
          <w:sz w:val="16"/>
          <w:szCs w:val="16"/>
          <w:color w:val="auto"/>
        </w:rPr>
        <w:t>Furthermore, our retail stores may be located in regions that will be far from our Belleville,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2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keep existing retail store locations or open new retail locations in desirable places, which could materially adversely affect our sales and profitability.</w:t>
      </w:r>
    </w:p>
    <w:p>
      <w:pPr>
        <w:spacing w:after="0" w:line="13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may be unable to keep existing retail locations or open new retail locations in desirable places in the future. We compete with other retailers and businesses for suitable retail locations. Local land use, local zoning issues, environmental regulations and other regulations may affect our ability to find suitable retail locations and also influence the cost of leasing or buying them. We also may have difficulty negotiating real estate leases for new stores, renewing real estate leases for existing stores or negotiating purchase agreements for new sites on acceptable terms. In addition, construction, environmental, zoning and real estate delays may negatively affect retail location openings and increase costs and capital expenditures. If we are unable to keep up our existing retail store locations or open new retail store locations in desirable places and on favorable terms, our net sales and profits could be materially adversely affected.</w:t>
      </w:r>
    </w:p>
    <w:p>
      <w:pPr>
        <w:spacing w:after="0" w:line="15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The success of our direct channel depends on customers’ use of our digital platform, including our website, and response to catalogs and digital marketing; if our overall marketing strategies, including our maintenance of a robust customer list, is not successful, our business and results of operations could be materially adversely affected.</w:t>
      </w:r>
    </w:p>
    <w:p>
      <w:pPr>
        <w:spacing w:after="0" w:line="12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level of customer traffic and volume of customer purchases through our direct channel, which accounted for approximately 88% of our net sales in fiscal 2015,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which accounted for 79% of our direct channel net sales in fiscal 2015, and the volume of purchases decline, our business and results of operations could be adversely affected.</w:t>
      </w:r>
    </w:p>
    <w:p>
      <w:pPr>
        <w:spacing w:after="0" w:line="153"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Customer response to our catalogs and digital marketing is substantially dependent on merchandise assortment, merchandise availability and creative presentation, as well as the selection of customers to whom our catalogs are sent and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whom our digital marketing is directed, changes in mailing strategies and the size of our mailings.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and results of operations could be adversely affected.</w:t>
      </w:r>
    </w:p>
    <w:p>
      <w:pPr>
        <w:spacing w:after="0" w:line="1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0"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Sales through our e-commerce business accounted for 79% of our total net sales in fiscal 2015. 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ind w:left="640" w:hanging="218"/>
        <w:spacing w:after="0" w:line="193" w:lineRule="auto"/>
        <w:tabs>
          <w:tab w:leader="none" w:pos="6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diversion of traffic from our stores;</w:t>
      </w:r>
    </w:p>
    <w:p>
      <w:pPr>
        <w:spacing w:after="0" w:line="110" w:lineRule="exact"/>
        <w:rPr>
          <w:rFonts w:ascii="Arial" w:cs="Arial" w:eastAsia="Arial" w:hAnsi="Arial"/>
          <w:sz w:val="29"/>
          <w:szCs w:val="29"/>
          <w:color w:val="auto"/>
          <w:vertAlign w:val="superscript"/>
        </w:rPr>
      </w:pPr>
    </w:p>
    <w:p>
      <w:pPr>
        <w:ind w:left="680" w:hanging="258"/>
        <w:spacing w:after="0" w:line="186" w:lineRule="auto"/>
        <w:tabs>
          <w:tab w:leader="none" w:pos="6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liability for online content;</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the need to keep pace with rapid technological change;</w:t>
      </w:r>
    </w:p>
    <w:p>
      <w:pPr>
        <w:spacing w:after="0" w:line="110"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government regulation of the Internet, including taxation; and</w:t>
      </w:r>
    </w:p>
    <w:p>
      <w:pPr>
        <w:spacing w:after="0" w:line="110" w:lineRule="exact"/>
        <w:rPr>
          <w:rFonts w:ascii="Arial" w:cs="Arial" w:eastAsia="Arial" w:hAnsi="Arial"/>
          <w:sz w:val="24"/>
          <w:szCs w:val="24"/>
          <w:color w:val="auto"/>
          <w:vertAlign w:val="superscript"/>
        </w:rPr>
      </w:pPr>
    </w:p>
    <w:p>
      <w:pPr>
        <w:ind w:left="540" w:right="500" w:hanging="118"/>
        <w:spacing w:after="0" w:line="191" w:lineRule="auto"/>
        <w:tabs>
          <w:tab w:leader="none" w:pos="5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risks related to the computer systems that operate our website and related support systems, including computer viruses, systems failure or inadequacy, electronic break-ins and similar disruptions.</w:t>
      </w:r>
    </w:p>
    <w:p>
      <w:pPr>
        <w:spacing w:after="0" w:line="162"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Competitive pricing pressures with respect to shipping our products to our customers may harm our business and results of operations.</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Given the size of our direct segment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To remain competitive, we may be required to offer discounted, free or other more competitive shipping options to our customers, which may result in declines in our shipping and handling revenue and increased shipping and handling expense.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98"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We accept payments using a variety of methods, including credit cards, debit cards,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14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 channel to our customers and our business could be negatively impacted by disruptions in the operations of these third-party service providers.</w:t>
      </w:r>
    </w:p>
    <w:p>
      <w:pPr>
        <w:spacing w:after="0" w:line="14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Relying on third-party service providers puts us at risk from disruptions in their operations, such as employee strikes, inclement weather and their inability to meet our shipping demands. If we are forced to use other delivery service providers, our costs could increase and we may be unable to meet shipment deadlines. Moreover, we may be unable to obtain terms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factors may negatively impact our financial condition and results of operations.</w:t>
      </w:r>
    </w:p>
    <w:p>
      <w:pPr>
        <w:spacing w:after="0" w:line="12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Increases in postage, paper and printing costs could adversely affect the costs of producing and distributing our catalogs and promotional mailings, which could have an adverse effect on our business and results of operations.</w:t>
      </w:r>
    </w:p>
    <w:p>
      <w:pPr>
        <w:spacing w:after="0" w:line="106"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Catalog mailings are a key aspect of our business and increases in costs relating to postage, paper and printing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w:t>
      </w:r>
    </w:p>
    <w:p>
      <w:pPr>
        <w:spacing w:after="0" w:line="146"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currently use the USPS for distribution of substantially all of our catalogs and are therefore vulnerable to postal rate increases. The current economic and legislative environments may lead to further rate increases or a discontinuation of the discounts for bulk mailings and sorting by zip code and carrier routes, which we currently leverage for cost savings.</w:t>
      </w:r>
    </w:p>
    <w:p>
      <w:pPr>
        <w:spacing w:after="0" w:line="139"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Paper for catalogs and promotional mailings is a vital resource in the success of our business. The market price for paper has fluctuated significantly in the past and may continue to fluctuate in the future. In addition, the continued consolidation or closings of production facilities in the United States may have an impact on future pricing and supply availability of catalog paper. We do not have multi-year fixed-price contracts for the supply of paper and are not guaranteed access to, or reasonable prices for, the amounts required for the operation of our business over the long term.</w:t>
      </w:r>
    </w:p>
    <w:p>
      <w:pPr>
        <w:spacing w:after="0" w:line="13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also depend upon external vendors to print and mail our catalogs. The limited number of printers capable of handling such needs subjects us to risks if any printer fails to perform under our agreement. Most of our catalog-related costs are incurred prior to mailing, and we are not able to adjust the costs of a particular catalog mailing to reflect the actual subsequent performance of the catalog.</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143"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we have recently expanded our national television advertising campaigns. Such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2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believe that many of our new customers originate from word-of-mouth and other non-paid referrals from existing customers. Therefore, we must ensure that our existing customers remain loyal in order for us to continue receiving those referrals. If our efforts to satisfy our existing customers are not successful, we may not be able to acquire sufficient numbers of new customers through word-of-mouth and other non-paid referrals so as to continue to grow our business in a cost-effective manner, and we may be required to incur significantly higher marketing expenses in order to acquire new customers.</w:t>
      </w:r>
    </w:p>
    <w:p>
      <w:pPr>
        <w:spacing w:after="0" w:line="132" w:lineRule="exact"/>
        <w:rPr>
          <w:sz w:val="20"/>
          <w:szCs w:val="20"/>
          <w:color w:val="auto"/>
        </w:rPr>
      </w:pPr>
    </w:p>
    <w:p>
      <w:pPr>
        <w:jc w:val="both"/>
        <w:ind w:right="260" w:firstLine="441"/>
        <w:spacing w:after="0" w:line="288" w:lineRule="auto"/>
        <w:rPr>
          <w:sz w:val="20"/>
          <w:szCs w:val="20"/>
          <w:color w:val="auto"/>
        </w:rPr>
      </w:pPr>
      <w:r>
        <w:rPr>
          <w:rFonts w:ascii="Arial" w:cs="Arial" w:eastAsia="Arial" w:hAnsi="Arial"/>
          <w:sz w:val="16"/>
          <w:szCs w:val="16"/>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w:t>
      </w:r>
    </w:p>
    <w:p>
      <w:pPr>
        <w:ind w:right="60"/>
        <w:spacing w:after="0" w:line="267" w:lineRule="auto"/>
        <w:rPr>
          <w:sz w:val="20"/>
          <w:szCs w:val="20"/>
          <w:color w:val="auto"/>
        </w:rPr>
      </w:pPr>
      <w:r>
        <w:rPr>
          <w:rFonts w:ascii="Arial" w:cs="Arial" w:eastAsia="Arial" w:hAnsi="Arial"/>
          <w:sz w:val="17"/>
          <w:szCs w:val="17"/>
          <w:color w:val="auto"/>
        </w:rPr>
        <w:t>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5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We cannot assure you that the net profit from new customers we acquire will ultimately exceed the cost of acquiring those customers. If we fail to deliver an outstanding customer experience, or if consumers do not perceive the products we offer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be manufactured with high quality craftsmanship, we may not be able to acquire new customers. If we are unable to acquire new customers, our growth prospects may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financial condition and operating results could be harmed.</w:t>
      </w:r>
    </w:p>
    <w:p>
      <w:pPr>
        <w:spacing w:after="0" w:line="196"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To manage our growth effectively, we must continue to implement our operational plans and strategies, improve and expand our infrastructure of people, information systems and facilities and expand, train and manage our employee base. We have rapidly increased employee headcount to support the growth in our business, and we intend for this growth to continue for the foreseeable future. The number of our employees increased from 89 full-time employees and 220 part-time and flexible part-time employees as of December 31, 2009 to 280 full-time employees and 907 part-time and flexible part-time employees as of January 31, 2016, and we expect to add a significant number of employees in fiscal 2016. To support continued growth, we must effectively integrate, develop and motivate a large number of new employees. We face significant competition for personnel, particularly in Wisconsin and Minnesota, where most of our retail stores and associates are located. Failure to manage our hiring needs effectively or successfully integrate new employees may have a material adverse effect on our business, financial condition and operating results.</w:t>
      </w:r>
    </w:p>
    <w:p>
      <w:pPr>
        <w:spacing w:after="0" w:line="126"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cash flow.</w:t>
      </w:r>
    </w:p>
    <w:p>
      <w:pPr>
        <w:spacing w:after="0" w:line="18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primarily rely on cash flow generated from our direct and retail sales to fund our current operations and our growth initiatives. It takes a significant amount of cash to open a new retail store. If we open a large number of stores relatively close in time, the cost of these retail store openings and the cost of continuing operations could reduce our cash position. An increase in our cash flow used for new stores could adversely affect our operations by reducing the amount of cash available to address other aspects of our business.</w:t>
      </w:r>
    </w:p>
    <w:p>
      <w:pPr>
        <w:spacing w:after="0" w:line="148"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In addition, as we expand our business, we will need significant amounts of cash from operations to pay our existing and future lease obligations, purchase inventory, pay personnel, pay for the increased costs associated with operating as a public company and, if necessary, further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accurately forecast our operating results and growth rate, and our growth rate may decline over time.</w:t>
      </w:r>
    </w:p>
    <w:p>
      <w:pPr>
        <w:spacing w:after="0" w:line="208"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cannot compete effectively in the apparel, footwear and accessories industry, our business and results of operations may be adversely affected.</w:t>
      </w:r>
    </w:p>
    <w:p>
      <w:pPr>
        <w:spacing w:after="0" w:line="143"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or preserve our brand image and our proprietary rights, our business may be adversely affected.</w:t>
      </w:r>
    </w:p>
    <w:p>
      <w:pPr>
        <w:spacing w:after="0" w:line="20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98"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Third parties may sue us for alleged infringement of their proprietary rights.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3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During fiscal 2015, approximately 54% of our products were sourced through a third-party purchasing agent and 83% of our products were sourced through our top six suppliers. The remaining products were sourced from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 presently in effect. Furthermore, if any of our significant suppliers were to become subject to bankruptcy, receivership or similar proceedings, we may be unable to arrange for alternate or replacement relationships on terms as favorable as our current terms, which could adversely affect our sales and operating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3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83"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price of raw materials, fuel and labor, or their reduced availability, could increase our cost of goods and cause delays.</w:t>
      </w:r>
    </w:p>
    <w:p>
      <w:pPr>
        <w:spacing w:after="0" w:line="14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price and availability of cotton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business is seasonal, and if we do not efficiently manage inventory levels, our results of operations could be adversely affected.</w:t>
      </w:r>
    </w:p>
    <w:p>
      <w:pPr>
        <w:spacing w:after="0" w:line="130"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Our business is subject to seasonal influences, with net sales and net income realized during the fourth quarter of our fiscal year, which includes the holiday season. See Part I, Item 1 Business, under the heading “</w:t>
      </w:r>
      <w:r>
        <w:rPr>
          <w:rFonts w:ascii="Arial" w:cs="Arial" w:eastAsia="Arial" w:hAnsi="Arial"/>
          <w:sz w:val="17"/>
          <w:szCs w:val="17"/>
          <w:i w:val="1"/>
          <w:iCs w:val="1"/>
          <w:color w:val="auto"/>
        </w:rPr>
        <w:t>Seasonality</w:t>
      </w:r>
      <w:r>
        <w:rPr>
          <w:rFonts w:ascii="Arial" w:cs="Arial" w:eastAsia="Arial" w:hAnsi="Arial"/>
          <w:sz w:val="17"/>
          <w:szCs w:val="17"/>
          <w:color w:val="auto"/>
        </w:rPr>
        <w:t>,” for our net sales and net income realized during the fourth quarter of our fiscal year for each of the past three fiscal years.</w:t>
      </w:r>
    </w:p>
    <w:p>
      <w:pPr>
        <w:spacing w:after="0" w:line="152"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3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As a result of holiday sales, inventories, accounts payable and borrowings under our revolving line of credit typically reach their highest levels in October of each year (other than as a result of cash flow provided by or used in investing and financing activities). Inventories, accounts payable and borrowings under our revolving line of credit then decline steadily during the holiday season, resulting in our cash typically reaching its highest level, and borrowings under our revolving line of credit reaching their lowest level, as of December 31 of each year.</w:t>
      </w:r>
    </w:p>
    <w:p>
      <w:pPr>
        <w:spacing w:after="0" w:line="16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our independent suppliers do not use ethical business practices or comply with applicable regulations and laws, our reputation could be materially harmed and on our business and results of operations may be adversely affected.</w:t>
      </w:r>
    </w:p>
    <w:p>
      <w:pPr>
        <w:spacing w:after="0" w:line="106"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3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20"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Substantially all of our merchandise is imported from suppliers in China and other emerging markets in Asia and Central America, either directly by us or through our agents. Our reliance on suppliers in foreign markets creates risks inherent in doing business in foreign jurisdictions, including:</w:t>
      </w:r>
    </w:p>
    <w:p>
      <w:pPr>
        <w:ind w:left="540" w:hanging="118"/>
        <w:spacing w:after="0" w:line="199"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burdens of complying with a variety of foreign laws and regulations, including trade and labor restrictions;</w:t>
      </w:r>
    </w:p>
    <w:p>
      <w:pPr>
        <w:spacing w:after="0" w:line="96" w:lineRule="exact"/>
        <w:rPr>
          <w:rFonts w:ascii="Arial" w:cs="Arial" w:eastAsia="Arial" w:hAnsi="Arial"/>
          <w:sz w:val="29"/>
          <w:szCs w:val="29"/>
          <w:color w:val="auto"/>
          <w:vertAlign w:val="superscript"/>
        </w:rPr>
      </w:pPr>
    </w:p>
    <w:p>
      <w:pPr>
        <w:ind w:left="560" w:hanging="138"/>
        <w:spacing w:after="0" w:line="186" w:lineRule="auto"/>
        <w:tabs>
          <w:tab w:leader="none" w:pos="56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economic and political instability in the countries and regions where our suppliers are located;</w:t>
      </w:r>
    </w:p>
    <w:p>
      <w:pPr>
        <w:spacing w:after="0" w:line="96" w:lineRule="exact"/>
        <w:rPr>
          <w:rFonts w:ascii="Arial" w:cs="Arial" w:eastAsia="Arial" w:hAnsi="Arial"/>
          <w:sz w:val="24"/>
          <w:szCs w:val="24"/>
          <w:color w:val="auto"/>
          <w:vertAlign w:val="superscript"/>
        </w:rPr>
      </w:pPr>
    </w:p>
    <w:p>
      <w:pPr>
        <w:ind w:left="540" w:hanging="118"/>
        <w:spacing w:after="0" w:line="207"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82" w:lineRule="exact"/>
        <w:rPr>
          <w:rFonts w:ascii="Arial" w:cs="Arial" w:eastAsia="Arial" w:hAnsi="Arial"/>
          <w:sz w:val="29"/>
          <w:szCs w:val="29"/>
          <w:color w:val="auto"/>
          <w:vertAlign w:val="superscript"/>
        </w:rPr>
      </w:pPr>
    </w:p>
    <w:p>
      <w:pPr>
        <w:ind w:left="540" w:right="40" w:hanging="118"/>
        <w:spacing w:after="0" w:line="212"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changes in U.S. and non-U.S. laws (or changes in the enforcement of those laws) affecting the importation and taxation of goods, including duties, tariffs and quotas, enhanced security measures at U.S. ports or imposition of new legislation relating to import quotas;</w:t>
      </w:r>
    </w:p>
    <w:p>
      <w:pPr>
        <w:spacing w:after="0" w:line="2" w:lineRule="exact"/>
        <w:rPr>
          <w:rFonts w:ascii="Arial" w:cs="Arial" w:eastAsia="Arial" w:hAnsi="Arial"/>
          <w:sz w:val="29"/>
          <w:szCs w:val="29"/>
          <w:color w:val="auto"/>
          <w:vertAlign w:val="superscript"/>
        </w:rPr>
      </w:pPr>
    </w:p>
    <w:p>
      <w:pPr>
        <w:ind w:left="580" w:hanging="158"/>
        <w:spacing w:after="0" w:line="223" w:lineRule="auto"/>
        <w:tabs>
          <w:tab w:leader="none" w:pos="5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increases in shipping, labor, fuel, travel and other transportation costs;</w:t>
      </w:r>
    </w:p>
    <w:p>
      <w:pPr>
        <w:spacing w:after="0" w:line="96" w:lineRule="exact"/>
        <w:rPr>
          <w:rFonts w:ascii="Arial" w:cs="Arial" w:eastAsia="Arial" w:hAnsi="Arial"/>
          <w:sz w:val="29"/>
          <w:szCs w:val="29"/>
          <w:color w:val="auto"/>
          <w:vertAlign w:val="superscript"/>
        </w:rPr>
      </w:pPr>
    </w:p>
    <w:p>
      <w:pPr>
        <w:ind w:left="540" w:right="480" w:hanging="118"/>
        <w:spacing w:after="0" w:line="191"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80" w:lineRule="exact"/>
        <w:rPr>
          <w:rFonts w:ascii="Arial" w:cs="Arial" w:eastAsia="Arial" w:hAnsi="Arial"/>
          <w:sz w:val="29"/>
          <w:szCs w:val="29"/>
          <w:color w:val="auto"/>
          <w:vertAlign w:val="superscript"/>
        </w:rPr>
      </w:pPr>
    </w:p>
    <w:p>
      <w:pPr>
        <w:ind w:left="540" w:right="620" w:hanging="118"/>
        <w:spacing w:after="0" w:line="198" w:lineRule="auto"/>
        <w:tabs>
          <w:tab w:leader="none" w:pos="5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transportation delays and interruptions, including due to the failure of suppliers or distributors to comply with import regulations; and</w:t>
      </w:r>
    </w:p>
    <w:p>
      <w:pPr>
        <w:ind w:left="620" w:hanging="198"/>
        <w:spacing w:after="0" w:line="223" w:lineRule="auto"/>
        <w:tabs>
          <w:tab w:leader="none" w:pos="62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political instability and acts of terrorism.</w:t>
      </w:r>
    </w:p>
    <w:p>
      <w:pPr>
        <w:spacing w:after="0" w:line="17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Any increase in the cost of merchandise purchased from these suppliers or restriction on the merchandise made available by these suppliers could have an adverse effect on our business and results of operations.</w:t>
      </w:r>
    </w:p>
    <w:p>
      <w:pPr>
        <w:spacing w:after="0" w:line="130"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Manufacturers in China have experienced increased costs in recent years due to shortages of labor and the fluctuation of the Chinese Yuan in relation to the U.S. dollar. If we are unable to successfully mitigate a significant portion of such product cost increases, our results of operations could be adversely affected.</w:t>
      </w:r>
    </w:p>
    <w:p>
      <w:pPr>
        <w:spacing w:after="0" w:line="154"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0"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Nevada and Kentucky. While our reliance on a limited number of distribution centers provides certain efficiencies, it also makes us more vulnerable to natural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disasters, weather-related disruptions, accidents, system failures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organized labor strikes and work stoppages such as the recent labor dispute that disrupted operations at ports-of-entry on the west coast of the United States,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6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208"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data security and privacy risks that could negatively affect our results, operations or reputation.</w:t>
      </w:r>
    </w:p>
    <w:p>
      <w:pPr>
        <w:spacing w:after="0" w:line="196"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In the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identity theft and user privacy. Despite the security measures we currently have in place, our facilities and systems and those of our third-party service providers may be vulnerable to security breaches, and we and our customers could suffer harm if sensitive and confidential customer information were accessed by third parties due to a security failure in our systems or one of our third-party service providers. It could require significant expenditures to remediate any such failure or breach, severely damage our reputation and our relationships with customers and expose us to risks of litigation and liability. In addition, as a result of recent security breaches at a number of prominent retailers, the media and public scrutiny of information security and privacy has become more intense and the regulatory environment has become more uncertain. As a result, we may incur significant costs to comply with laws regarding the protection and unauthorized disclosure of personal information.</w:t>
      </w:r>
    </w:p>
    <w:p>
      <w:pPr>
        <w:spacing w:after="0" w:line="1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4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in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43"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employees to meet our staffing needs in our stores, distribution center or call center could result in higher payroll costs and adversely affect our operating results.</w:t>
      </w:r>
    </w:p>
    <w:p>
      <w:pPr>
        <w:spacing w:after="0" w:line="13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Our performance is dependent on attracting and retaining a large number of qualified employees. Many of those employees are in entry level or part-time positions with historically high rates of turnover.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If we cannot attract and retain employees with the qualifications we deem necessary to meet our staffing needs in our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4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30" w:lineRule="exact"/>
        <w:rPr>
          <w:sz w:val="20"/>
          <w:szCs w:val="20"/>
          <w:color w:val="auto"/>
        </w:rPr>
      </w:pPr>
    </w:p>
    <w:p>
      <w:pPr>
        <w:ind w:right="240" w:firstLine="441"/>
        <w:spacing w:after="0" w:line="272" w:lineRule="auto"/>
        <w:rPr>
          <w:sz w:val="20"/>
          <w:szCs w:val="20"/>
          <w:color w:val="auto"/>
        </w:rPr>
      </w:pPr>
      <w:r>
        <w:rPr>
          <w:rFonts w:ascii="Arial" w:cs="Arial" w:eastAsia="Arial" w:hAnsi="Arial"/>
          <w:sz w:val="17"/>
          <w:szCs w:val="17"/>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Currently, none of our employees are represented by a union. However, our employees have the right under the National Labor Relations Act to form or affiliate with a union.</w:t>
      </w:r>
    </w:p>
    <w:p>
      <w:pPr>
        <w:spacing w:after="0" w:line="14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National Labor Relations Board continually considers changes to labor regulations, many of which could significantly affect the nature of labor relations in the United States and how union elections and contract negotiations are conducted. If some or all of our employees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Prior to our IPO, we were treated as an “S” corporation under Subchapter S of the Internal Revenue Code, and claims of taxing authorities related to our prior status as an “S” corporation could harm us.</w:t>
      </w:r>
    </w:p>
    <w:p>
      <w:pPr>
        <w:spacing w:after="0" w:line="130"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Concurrent with and as a result of our IPO, our “S” corporation status terminated, and we are currently treated as a “C” corporation for federal and applicable state income tax purposes. As a “C” corporation, we are subject to federal and state income taxes. In addition, if the unaudited, open tax years in which we were an “S” corporation are audited by the Internal Revenue Service (the “IRS”), and we are determined not to have qualified for, or to have violated, our “S” corporation status, we will be obligated to pay back taxes for all relevant open tax years on all of our taxable income while we were an “S” corporation, interest and possibly penalties, however, we may have the right to reclaim a portion of the tax distributions we made to our shareholders during those periods pursuant to a tax indemnification agreement with our existing shareholders. Any such claims could result in additional costs to us and could have a material adverse effect on our results of operations and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entered into a tax indemnification agreement with our existing shareholders prior to the IPO and could become obligated to make payments to them for any additional federal, state or local income taxes assessed against them for fiscal periods prior to the completion of our IPO.</w:t>
      </w:r>
    </w:p>
    <w:p>
      <w:pPr>
        <w:spacing w:after="0" w:line="154"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have historically been treated as an “S” corporation for U.S. federal income tax purposes. Concurrent with and as a result of our IPO, our “S” corporation status terminated and we are currently subject to federal income taxes and state income taxes. In the event of an adjustment to our reported taxable income for a period or periods prior to termination of our “S” corporation status, our shareholders during those periods could be liable for additional income taxes for those prior periods. Therefore, prior to the consummation of our IPO, we entered into a tax indemnification agreement with the then-existing shareholders. Pursuant to the tax indemnification agreement, we agreed to indemnify and hold harmless each such shareholder on an after-tax basis against additional income taxes, plus interest and penalties, resulting from adjustments made, as a result of a final determination made by a competent tax authority, to the taxable income we reported as an “S” corporation. Such indemnification will also include any reasonable and documented out-of-pocket expenses arising out of a claim for such tax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8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assessments for additional taxes, including sales taxes, which could adversely affect our business.</w:t>
      </w:r>
    </w:p>
    <w:p>
      <w:pPr>
        <w:spacing w:after="0" w:line="208"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1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Several proposals have been made at the state and local level that would impose additional taxes on the sale of goods and services through the Internet. These proposals, if adopted, could substantially impair the growth of e-commerce and could diminish our opportunity to derive financial benefit from our activities.</w:t>
      </w:r>
    </w:p>
    <w:p>
      <w:pPr>
        <w:spacing w:after="0" w:line="154"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In conjunction with the “Streamlined Sales Tax Project,” an ongoing, multi-year effort by certain state and local governments to require collection and remittance of distant sales tax by out-of-state sellers, bills have been introduced in the U.S. Congress to overturn the U.S. Supreme Court’s decision in </w:t>
      </w:r>
      <w:r>
        <w:rPr>
          <w:rFonts w:ascii="Arial" w:cs="Arial" w:eastAsia="Arial" w:hAnsi="Arial"/>
          <w:sz w:val="17"/>
          <w:szCs w:val="17"/>
          <w:i w:val="1"/>
          <w:iCs w:val="1"/>
          <w:color w:val="auto"/>
        </w:rPr>
        <w:t>Quill Corp. v. North Dakota,</w:t>
      </w:r>
      <w:r>
        <w:rPr>
          <w:rFonts w:ascii="Arial" w:cs="Arial" w:eastAsia="Arial" w:hAnsi="Arial"/>
          <w:sz w:val="17"/>
          <w:szCs w:val="17"/>
          <w:color w:val="auto"/>
        </w:rPr>
        <w:t xml:space="preserve"> 540 U.S. 298 (1992), which limits the ability of state governments to require sellers outside of their own state to collect and remit sales taxes on goods purchased by in-state residents. An overturning of this decision may harm our customers and our business.</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0" w:lineRule="exact"/>
        <w:rPr>
          <w:sz w:val="20"/>
          <w:szCs w:val="20"/>
          <w:color w:val="auto"/>
        </w:rPr>
      </w:pPr>
    </w:p>
    <w:p>
      <w:pPr>
        <w:ind w:right="160" w:firstLine="441"/>
        <w:spacing w:after="0" w:line="287" w:lineRule="auto"/>
        <w:rPr>
          <w:sz w:val="20"/>
          <w:szCs w:val="20"/>
          <w:color w:val="auto"/>
        </w:rPr>
      </w:pPr>
      <w:r>
        <w:rPr>
          <w:rFonts w:ascii="Arial" w:cs="Arial" w:eastAsia="Arial" w:hAnsi="Arial"/>
          <w:sz w:val="16"/>
          <w:szCs w:val="16"/>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43"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debt that could adversely affect our operating flexibility and put us at a competitive disadvantage.</w:t>
      </w:r>
    </w:p>
    <w:p>
      <w:pPr>
        <w:spacing w:after="0" w:line="18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As of January 31, 2016, we had $5.0 million of total debt. The borrowings under our revolving credit facility typically peak during our third fiscal quarter. Our level of debt and the limitations imposed on us by our credit agreement could have important consequences for investors, including the following:</w:t>
      </w:r>
    </w:p>
    <w:p>
      <w:pPr>
        <w:spacing w:after="0" w:line="60" w:lineRule="exact"/>
        <w:rPr>
          <w:sz w:val="20"/>
          <w:szCs w:val="20"/>
          <w:color w:val="auto"/>
        </w:rPr>
      </w:pPr>
    </w:p>
    <w:p>
      <w:pPr>
        <w:ind w:left="540" w:right="400" w:hanging="118"/>
        <w:spacing w:after="0" w:line="198"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80" w:lineRule="exact"/>
        <w:rPr>
          <w:rFonts w:ascii="Arial" w:cs="Arial" w:eastAsia="Arial" w:hAnsi="Arial"/>
          <w:sz w:val="29"/>
          <w:szCs w:val="29"/>
          <w:color w:val="auto"/>
          <w:vertAlign w:val="superscript"/>
        </w:rPr>
      </w:pPr>
    </w:p>
    <w:p>
      <w:pPr>
        <w:ind w:left="540" w:hanging="118"/>
        <w:spacing w:after="0" w:line="198"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borrowings under our revolving credit facility are at a variable interest rate, making us more vulnerable to increases in interest rates; and</w:t>
      </w:r>
    </w:p>
    <w:p>
      <w:pPr>
        <w:spacing w:after="0" w:line="80" w:lineRule="exact"/>
        <w:rPr>
          <w:rFonts w:ascii="Arial" w:cs="Arial" w:eastAsia="Arial" w:hAnsi="Arial"/>
          <w:sz w:val="29"/>
          <w:szCs w:val="29"/>
          <w:color w:val="auto"/>
          <w:vertAlign w:val="superscript"/>
        </w:rPr>
      </w:pPr>
    </w:p>
    <w:p>
      <w:pPr>
        <w:ind w:left="540" w:right="360" w:hanging="118"/>
        <w:spacing w:after="0" w:line="198" w:lineRule="auto"/>
        <w:tabs>
          <w:tab w:leader="none" w:pos="5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failure to comply with restrictive covenants under our revolving credit facility and other debt instruments could trigger prepayment obligations.</w:t>
      </w:r>
    </w:p>
    <w:p>
      <w:pPr>
        <w:spacing w:after="0" w:line="13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98"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3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Our Class A common stock has ten votes per share, and our Class B common stock has one vote per share. Given the greater number of votes per share attributed to our Class A common stock, our Executive Chairman, Stephen L. Schlecht, who is our only Class A shareholder, beneficially own shares representing approximately 67.8%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Furthermore, Mr. Schlecht will continue to exert a significant degree of influence or actual control over matters requiring shareholder approval, even if he owns a number of Class A shares representing as few as approximately 10% of the outstanding shares of our capital stock. Further, Mr. Schlecht owns shares representing approximately 37.6% of the economic interest of our outstanding capital stock and, together with our other executive officers, directors and their affiliates, owns shares representing approximately 45.9% of the economic interest and 72.1%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28"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Additionally, the holder of our Class A common stock may cause us to make strategic decisions or pursue acquisitions that could involve risks to you or may not be aligned with your interests. The holder of our Class A common stock will also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entitled to a separate vote in the event we seek to amend our articles of incorporation in a manner that alters or changes the powers, preferences or special rights of the Class A common stock in a manner that affects its holder adversely.</w:t>
      </w:r>
    </w:p>
    <w:p>
      <w:pPr>
        <w:spacing w:after="0" w:line="12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06"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ind w:left="540" w:hanging="118"/>
        <w:spacing w:after="0" w:line="212"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that a majority of our board of directors consist of independent directors, as defined under the rules of NASDAQ;</w:t>
      </w:r>
    </w:p>
    <w:p>
      <w:pPr>
        <w:spacing w:after="0" w:line="97" w:lineRule="exact"/>
        <w:rPr>
          <w:rFonts w:ascii="Arial" w:cs="Arial" w:eastAsia="Arial" w:hAnsi="Arial"/>
          <w:sz w:val="29"/>
          <w:szCs w:val="29"/>
          <w:color w:val="auto"/>
          <w:vertAlign w:val="superscript"/>
        </w:rPr>
      </w:pPr>
    </w:p>
    <w:p>
      <w:pPr>
        <w:ind w:left="540" w:right="40" w:hanging="118"/>
        <w:spacing w:after="0" w:line="191"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80" w:lineRule="exact"/>
        <w:rPr>
          <w:rFonts w:ascii="Arial" w:cs="Arial" w:eastAsia="Arial" w:hAnsi="Arial"/>
          <w:sz w:val="29"/>
          <w:szCs w:val="29"/>
          <w:color w:val="auto"/>
          <w:vertAlign w:val="superscript"/>
        </w:rPr>
      </w:pPr>
    </w:p>
    <w:p>
      <w:pPr>
        <w:ind w:left="540" w:right="120" w:hanging="118"/>
        <w:spacing w:after="0" w:line="198" w:lineRule="auto"/>
        <w:tabs>
          <w:tab w:leader="none" w:pos="5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162"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Although we intend to have a majority of independent directors on our board even though we will be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stock price to decline.</w:t>
      </w:r>
    </w:p>
    <w:p>
      <w:pPr>
        <w:spacing w:after="0" w:line="18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Future sales of substantial amounts of shares of our Class B common stock in the public market could cause the prevailing market price for our Class B common stock to fall or impair our ability to raise equity capital in the future. Based on the number of shares outstanding as of January 31, 2016, we had 28,951,742 shares of Class B common stock outstanding. Of these outstanding shares, 7,545,509 shares of Class B common stock sold by us in the IPO are freely tradable in the public market without restriction or further registration under the Securities Act, and 19,493,452 shares of Class B common stock held by our affiliates, as that term is defined in Rule 144 under the Securities Act, may only be sold in compliance with the limitations described below. The remaining 1,912,781 shares of Class B common stock outstanding are deemed restricted because of securities laws or lock-up agreements. Of these 21,408,083 shares of Class B common stock, 834,447 shares are subject to the provisions of various vesting agreements. After the lock-up agreements and vesting agreements expire, based on shares outstanding as of January 31, 2016, all other outstanding shares of Class B common stock (including Class B common stock issued upon conversion of outstanding shares of Class A common stock) will be eligible for sale in the public market, 19,493,452 of which are held by directors, executive officers and other affiliates and will be subject to volume limitations under Rule 144 under the Securities Act.</w:t>
      </w:r>
    </w:p>
    <w:p>
      <w:pPr>
        <w:spacing w:after="0" w:line="12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14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ind w:left="580" w:hanging="158"/>
        <w:spacing w:after="0" w:line="191" w:lineRule="auto"/>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results of operations;</w:t>
      </w:r>
    </w:p>
    <w:p>
      <w:pPr>
        <w:spacing w:after="0" w:line="96" w:lineRule="exact"/>
        <w:rPr>
          <w:rFonts w:ascii="Arial" w:cs="Arial" w:eastAsia="Arial" w:hAnsi="Arial"/>
          <w:sz w:val="29"/>
          <w:szCs w:val="29"/>
          <w:color w:val="auto"/>
          <w:vertAlign w:val="superscript"/>
        </w:rPr>
      </w:pPr>
    </w:p>
    <w:p>
      <w:pPr>
        <w:ind w:left="540" w:right="760" w:hanging="118"/>
        <w:spacing w:after="0" w:line="191" w:lineRule="auto"/>
        <w:tabs>
          <w:tab w:leader="none" w:pos="5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0" w:lineRule="exact"/>
        <w:rPr>
          <w:rFonts w:ascii="Arial" w:cs="Arial" w:eastAsia="Arial" w:hAnsi="Arial"/>
          <w:sz w:val="29"/>
          <w:szCs w:val="29"/>
          <w:color w:val="auto"/>
          <w:vertAlign w:val="superscript"/>
        </w:rPr>
      </w:pPr>
    </w:p>
    <w:p>
      <w:pPr>
        <w:ind w:left="540" w:right="80" w:hanging="118"/>
        <w:spacing w:after="0" w:line="221" w:lineRule="auto"/>
        <w:tabs>
          <w:tab w:leader="none" w:pos="54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1" w:lineRule="exact"/>
        <w:rPr>
          <w:rFonts w:ascii="Arial" w:cs="Arial" w:eastAsia="Arial" w:hAnsi="Arial"/>
          <w:sz w:val="26"/>
          <w:szCs w:val="26"/>
          <w:color w:val="auto"/>
          <w:vertAlign w:val="superscript"/>
        </w:rPr>
      </w:pPr>
    </w:p>
    <w:p>
      <w:pPr>
        <w:ind w:left="540" w:right="560" w:hanging="118"/>
        <w:spacing w:after="0" w:line="198" w:lineRule="auto"/>
        <w:tabs>
          <w:tab w:leader="none" w:pos="5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80" w:lineRule="exact"/>
        <w:rPr>
          <w:rFonts w:ascii="Arial" w:cs="Arial" w:eastAsia="Arial" w:hAnsi="Arial"/>
          <w:sz w:val="29"/>
          <w:szCs w:val="29"/>
          <w:color w:val="auto"/>
          <w:vertAlign w:val="superscript"/>
        </w:rPr>
      </w:pPr>
    </w:p>
    <w:p>
      <w:pPr>
        <w:ind w:left="540" w:right="120" w:hanging="118"/>
        <w:spacing w:after="0" w:line="198" w:lineRule="auto"/>
        <w:tabs>
          <w:tab w:leader="none" w:pos="5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ind w:left="540" w:hanging="118"/>
        <w:spacing w:after="0" w:line="231" w:lineRule="auto"/>
        <w:tabs>
          <w:tab w:leader="none" w:pos="5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price and volume fluctuations in the overall stock market, including as a result of trends in the economy as a whole;</w:t>
      </w:r>
    </w:p>
    <w:p>
      <w:pPr>
        <w:spacing w:after="0" w:line="96" w:lineRule="exact"/>
        <w:rPr>
          <w:rFonts w:ascii="Arial" w:cs="Arial" w:eastAsia="Arial" w:hAnsi="Arial"/>
          <w:sz w:val="28"/>
          <w:szCs w:val="28"/>
          <w:color w:val="auto"/>
          <w:vertAlign w:val="superscript"/>
        </w:rPr>
      </w:pPr>
    </w:p>
    <w:p>
      <w:pPr>
        <w:ind w:left="600" w:hanging="178"/>
        <w:spacing w:after="0" w:line="186" w:lineRule="auto"/>
        <w:tabs>
          <w:tab w:leader="none" w:pos="6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changes in our board of directors or management;</w:t>
      </w:r>
    </w:p>
    <w:p>
      <w:pPr>
        <w:spacing w:after="0" w:line="96" w:lineRule="exact"/>
        <w:rPr>
          <w:rFonts w:ascii="Arial" w:cs="Arial" w:eastAsia="Arial" w:hAnsi="Arial"/>
          <w:sz w:val="24"/>
          <w:szCs w:val="24"/>
          <w:color w:val="auto"/>
          <w:vertAlign w:val="superscript"/>
        </w:rPr>
      </w:pPr>
    </w:p>
    <w:p>
      <w:pPr>
        <w:ind w:left="540" w:right="580" w:hanging="118"/>
        <w:spacing w:after="0" w:line="191" w:lineRule="auto"/>
        <w:tabs>
          <w:tab w:leader="none" w:pos="5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sales of large blocks of our Class B common stock, including sales by our executive officers, directors and significant shareholders;</w:t>
      </w:r>
    </w:p>
    <w:p>
      <w:pPr>
        <w:ind w:left="620" w:hanging="198"/>
        <w:spacing w:after="0" w:line="223" w:lineRule="auto"/>
        <w:tabs>
          <w:tab w:leader="none" w:pos="6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lawsuits threatened or filed against us;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6" w:name="page27"/>
    <w:bookmarkEnd w:id="26"/>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590" w:hanging="158"/>
        <w:spacing w:after="0"/>
        <w:tabs>
          <w:tab w:leader="none" w:pos="59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changes in laws or regulations applicable to our business;</w:t>
      </w:r>
    </w:p>
    <w:p>
      <w:pPr>
        <w:spacing w:after="0" w:line="96" w:lineRule="exact"/>
        <w:rPr>
          <w:rFonts w:ascii="Arial" w:cs="Arial" w:eastAsia="Arial" w:hAnsi="Arial"/>
          <w:sz w:val="29"/>
          <w:szCs w:val="29"/>
          <w:color w:val="auto"/>
          <w:vertAlign w:val="superscript"/>
        </w:rPr>
      </w:pPr>
    </w:p>
    <w:p>
      <w:pPr>
        <w:ind w:left="610" w:hanging="178"/>
        <w:spacing w:after="0" w:line="186" w:lineRule="auto"/>
        <w:tabs>
          <w:tab w:leader="none" w:pos="61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the expiration of contractual lock-up agreements;</w:t>
      </w:r>
    </w:p>
    <w:p>
      <w:pPr>
        <w:spacing w:after="0" w:line="96" w:lineRule="exact"/>
        <w:rPr>
          <w:rFonts w:ascii="Arial" w:cs="Arial" w:eastAsia="Arial" w:hAnsi="Arial"/>
          <w:sz w:val="24"/>
          <w:szCs w:val="24"/>
          <w:color w:val="auto"/>
          <w:vertAlign w:val="superscript"/>
        </w:rPr>
      </w:pPr>
    </w:p>
    <w:p>
      <w:pPr>
        <w:ind w:left="570" w:hanging="138"/>
        <w:spacing w:after="0" w:line="186" w:lineRule="auto"/>
        <w:tabs>
          <w:tab w:leader="none" w:pos="57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changes in our capital structure, such as future issuances of debt or equity securities;</w:t>
      </w:r>
    </w:p>
    <w:p>
      <w:pPr>
        <w:spacing w:after="0" w:line="96" w:lineRule="exact"/>
        <w:rPr>
          <w:rFonts w:ascii="Arial" w:cs="Arial" w:eastAsia="Arial" w:hAnsi="Arial"/>
          <w:sz w:val="24"/>
          <w:szCs w:val="24"/>
          <w:color w:val="auto"/>
          <w:vertAlign w:val="superscript"/>
        </w:rPr>
      </w:pPr>
    </w:p>
    <w:p>
      <w:pPr>
        <w:ind w:left="570" w:hanging="138"/>
        <w:spacing w:after="0" w:line="186" w:lineRule="auto"/>
        <w:tabs>
          <w:tab w:leader="none" w:pos="57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short sales, hedging and other derivative transactions involving our capital stock;</w:t>
      </w:r>
    </w:p>
    <w:p>
      <w:pPr>
        <w:spacing w:after="0" w:line="96" w:lineRule="exact"/>
        <w:rPr>
          <w:rFonts w:ascii="Arial" w:cs="Arial" w:eastAsia="Arial" w:hAnsi="Arial"/>
          <w:sz w:val="24"/>
          <w:szCs w:val="24"/>
          <w:color w:val="auto"/>
          <w:vertAlign w:val="superscript"/>
        </w:rPr>
      </w:pPr>
    </w:p>
    <w:p>
      <w:pPr>
        <w:ind w:left="590" w:hanging="158"/>
        <w:spacing w:after="0" w:line="186" w:lineRule="auto"/>
        <w:tabs>
          <w:tab w:leader="none" w:pos="59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general economic conditions in the United States and abroad; and</w:t>
      </w:r>
    </w:p>
    <w:p>
      <w:pPr>
        <w:spacing w:after="0" w:line="96" w:lineRule="exact"/>
        <w:rPr>
          <w:rFonts w:ascii="Arial" w:cs="Arial" w:eastAsia="Arial" w:hAnsi="Arial"/>
          <w:sz w:val="24"/>
          <w:szCs w:val="24"/>
          <w:color w:val="auto"/>
          <w:vertAlign w:val="superscript"/>
        </w:rPr>
      </w:pPr>
    </w:p>
    <w:p>
      <w:pPr>
        <w:ind w:left="550" w:hanging="118"/>
        <w:spacing w:after="0" w:line="186" w:lineRule="auto"/>
        <w:tabs>
          <w:tab w:leader="none" w:pos="55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other events or factors, including those resulting from war, incidents of terrorism or responses to these events.</w:t>
      </w:r>
    </w:p>
    <w:p>
      <w:pPr>
        <w:spacing w:after="0" w:line="162" w:lineRule="exact"/>
        <w:rPr>
          <w:sz w:val="20"/>
          <w:szCs w:val="20"/>
          <w:color w:val="auto"/>
        </w:rPr>
      </w:pPr>
    </w:p>
    <w:p>
      <w:pPr>
        <w:ind w:left="10" w:firstLine="441"/>
        <w:spacing w:after="0" w:line="273"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51" w:lineRule="exact"/>
        <w:rPr>
          <w:sz w:val="20"/>
          <w:szCs w:val="20"/>
          <w:color w:val="auto"/>
        </w:rPr>
      </w:pPr>
    </w:p>
    <w:p>
      <w:pPr>
        <w:ind w:left="10"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30" w:lineRule="exact"/>
        <w:rPr>
          <w:sz w:val="20"/>
          <w:szCs w:val="20"/>
          <w:color w:val="auto"/>
        </w:rPr>
      </w:pPr>
    </w:p>
    <w:p>
      <w:pPr>
        <w:ind w:left="10" w:right="120" w:firstLine="441"/>
        <w:spacing w:after="0" w:line="276" w:lineRule="auto"/>
        <w:rPr>
          <w:sz w:val="20"/>
          <w:szCs w:val="20"/>
          <w:color w:val="auto"/>
        </w:rPr>
      </w:pPr>
      <w:r>
        <w:rPr>
          <w:rFonts w:ascii="Arial" w:cs="Arial" w:eastAsia="Arial" w:hAnsi="Arial"/>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2" w:lineRule="exact"/>
        <w:rPr>
          <w:sz w:val="20"/>
          <w:szCs w:val="20"/>
          <w:color w:val="auto"/>
        </w:rPr>
      </w:pPr>
    </w:p>
    <w:p>
      <w:pPr>
        <w:jc w:val="both"/>
        <w:ind w:left="10" w:right="44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and exemption from the auditor attestation requirements applicable to “emerging growth companies” will make our Class B common stock less attractive to investors.</w:t>
      </w:r>
    </w:p>
    <w:p>
      <w:pPr>
        <w:spacing w:after="0" w:line="154" w:lineRule="exact"/>
        <w:rPr>
          <w:sz w:val="20"/>
          <w:szCs w:val="20"/>
          <w:color w:val="auto"/>
        </w:rPr>
      </w:pPr>
    </w:p>
    <w:p>
      <w:pPr>
        <w:ind w:left="10" w:right="6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reduced regulatory and reporting requirements that are otherwise generally applicable to other public companies. As an emerging growth company: (i) we are exempt from the requirement to obtain an audit of our internal control over financial reporting pursuant to the Sarbanes-Oxley Act; (ii) we are permitted to provide less extensive disclosure about our executive compensation arrangements; and (iii) we are not required to hold non-binding advisory votes on executive compensation or golden parachute provisions.</w:t>
      </w:r>
    </w:p>
    <w:p>
      <w:pPr>
        <w:spacing w:after="0" w:line="153" w:lineRule="exact"/>
        <w:rPr>
          <w:sz w:val="20"/>
          <w:szCs w:val="20"/>
          <w:color w:val="auto"/>
        </w:rPr>
      </w:pPr>
    </w:p>
    <w:p>
      <w:pPr>
        <w:ind w:left="450"/>
        <w:spacing w:after="0"/>
        <w:rPr>
          <w:sz w:val="20"/>
          <w:szCs w:val="20"/>
          <w:color w:val="auto"/>
        </w:rPr>
      </w:pPr>
      <w:r>
        <w:rPr>
          <w:rFonts w:ascii="Arial" w:cs="Arial" w:eastAsia="Arial" w:hAnsi="Arial"/>
          <w:sz w:val="16"/>
          <w:szCs w:val="16"/>
          <w:color w:val="auto"/>
        </w:rPr>
        <w:t>We remain an emerging growth company and may continue to take advantage of these provisions until the earliest to occur of:</w:t>
      </w:r>
    </w:p>
    <w:p>
      <w:pPr>
        <w:spacing w:after="0" w:line="46" w:lineRule="exact"/>
        <w:rPr>
          <w:sz w:val="20"/>
          <w:szCs w:val="20"/>
          <w:color w:val="auto"/>
        </w:rPr>
      </w:pPr>
    </w:p>
    <w:p>
      <w:pPr>
        <w:ind w:left="10" w:right="80" w:hanging="10"/>
        <w:spacing w:after="0" w:line="281" w:lineRule="auto"/>
        <w:tabs>
          <w:tab w:leader="none" w:pos="2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last day of our fiscal year following the fifth anniversary of our IPO, which anniversary will occur on the last day of fiscal 2020; (ii) the date on which we are deemed to be a “large accelerated filer” (which means (a) the market value of our common stock that is held by non-affiliates exceeds $700 million as of the last business day of our most recently completed second fiscal quarter,</w:t>
      </w:r>
    </w:p>
    <w:p>
      <w:pPr>
        <w:spacing w:after="0" w:line="2" w:lineRule="exact"/>
        <w:rPr>
          <w:rFonts w:ascii="Arial" w:cs="Arial" w:eastAsia="Arial" w:hAnsi="Arial"/>
          <w:sz w:val="16"/>
          <w:szCs w:val="16"/>
          <w:color w:val="auto"/>
        </w:rPr>
      </w:pPr>
    </w:p>
    <w:p>
      <w:pPr>
        <w:jc w:val="both"/>
        <w:ind w:left="10" w:right="660" w:hanging="10"/>
        <w:spacing w:after="0" w:line="281" w:lineRule="auto"/>
        <w:tabs>
          <w:tab w:leader="none" w:pos="2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filed at least one annual report on Form 10-K, and (c) we have been subject to the reporting requirements of the Exchange Act for at least twelve months); (iii) the last day of our fiscal year during which our annual gross revenue exceeds</w:t>
      </w:r>
    </w:p>
    <w:p>
      <w:pPr>
        <w:spacing w:after="0" w:line="1"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6"/>
          <w:szCs w:val="16"/>
          <w:color w:val="auto"/>
        </w:rPr>
        <w:t>$1.0 billion; and (iv) the date on which we issue more than $1.0 billion of non-convertible debt during the previous three-year period.</w:t>
      </w:r>
    </w:p>
    <w:p>
      <w:pPr>
        <w:spacing w:after="0" w:line="193" w:lineRule="exact"/>
        <w:rPr>
          <w:sz w:val="20"/>
          <w:szCs w:val="20"/>
          <w:color w:val="auto"/>
        </w:rPr>
      </w:pPr>
    </w:p>
    <w:p>
      <w:pPr>
        <w:ind w:left="10" w:right="20" w:firstLine="441"/>
        <w:spacing w:after="0" w:line="297" w:lineRule="auto"/>
        <w:rPr>
          <w:sz w:val="20"/>
          <w:szCs w:val="20"/>
          <w:color w:val="auto"/>
        </w:rPr>
      </w:pPr>
      <w:r>
        <w:rPr>
          <w:rFonts w:ascii="Arial" w:cs="Arial" w:eastAsia="Arial" w:hAnsi="Arial"/>
          <w:sz w:val="16"/>
          <w:szCs w:val="16"/>
          <w:color w:val="auto"/>
        </w:rPr>
        <w:t>We cannot predict if investors will find our Class B common stock less attractive or our company less comparable to certain other public companies because we will rely on these exemptions. If some investors find our Class B common stock less attractive as a result of our reliance on these exemptions, there may be a less active trading market for our Class B common stock, and our stock price may be more volatile. We also cannot predict if the failure to seek independent auditor attestation of our internal control over financial reporting pursuant to Section 404 will cause certain inadequacies or weaknesses in our internal controls to go undetected.</w:t>
      </w:r>
    </w:p>
    <w:p>
      <w:pPr>
        <w:spacing w:after="0" w:line="131"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0" w:lineRule="exact"/>
        <w:rPr>
          <w:sz w:val="20"/>
          <w:szCs w:val="20"/>
          <w:color w:val="auto"/>
        </w:rPr>
      </w:pPr>
    </w:p>
    <w:p>
      <w:pPr>
        <w:ind w:left="10" w:right="60" w:firstLine="441"/>
        <w:spacing w:after="0" w:line="272"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w:t>
      </w:r>
    </w:p>
    <w:p>
      <w:pPr>
        <w:spacing w:after="0" w:line="174" w:lineRule="exact"/>
        <w:rPr>
          <w:sz w:val="20"/>
          <w:szCs w:val="20"/>
          <w:color w:val="auto"/>
        </w:rPr>
      </w:pPr>
    </w:p>
    <w:p>
      <w:pPr>
        <w:jc w:val="center"/>
        <w:ind w:right="-2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10"/>
          </w:cols>
          <w:pgMar w:left="1130" w:top="125" w:right="11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spacing w:after="0" w:line="161"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5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 connection with the preparation of our financial statements for fiscal 2013 and fiscal 2014, we identified a material weakness in our internal control over financial reporting. Any failure to maintain effective internal control over our financial reporting could materially adversely affect us.</w:t>
      </w:r>
    </w:p>
    <w:p>
      <w:pPr>
        <w:spacing w:after="0" w:line="154"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In connection with the preparation of our fiscal 2013 and fiscal 2014 consolidated financial statements, we identified a material weakness in our internal control over financial reporting relating to period cutoffs impacting revenue recognition and inventory receipts. Our practice with respect to revenue recognition had been to recognize revenue upon shipment of the product (for direct sales) or at the point of sale (for retail store transactions). This had been our practice because we believed that these were the points when the following four revenue recognition criteria were met: (a) persuasive evidence of an arrangement exists; (b) title has passed to the customer; (c) the sales price is fixed and determinable and no further obligations exist; and (d) collectability is reasonably assured. Upon further evaluation of the revenue guidance, we concluded that the appropriate time to recognize revenue with respect to our direct sales is upon receipt by the customer in accordance with U.S. GAAP. Accordingly, we have changed our revenue recognition policy for our direct business to recognize revenue upon receipt by the customer.</w:t>
      </w:r>
    </w:p>
    <w:p>
      <w:pPr>
        <w:spacing w:after="0" w:line="126"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With respect to inventory receipts, we have certain suppliers for whom we had recognized inventory and accounts payable upon receipt of invoice and proof of shipment from the supplier. The actual term for these shipments was FOB Shipping Point, indicating that we should have recognized inventory and accounts payable at the time of shipment by the suppliers. We have revised our accounting policy to record these transactions at the time of shipment.</w:t>
      </w:r>
    </w:p>
    <w:p>
      <w:pPr>
        <w:spacing w:after="0" w:line="14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We have remediated the identified material weakness as of January 31, 2016. Additional material weaknesses or significant deficiencies may be identified in the future. If we identify such issues or if we are unable to produce accurate and timely financial statements, our stock price may be adversely affected and we may be unable to maintain compliance with the NASDAQ Stock Market listing requirements.</w:t>
      </w:r>
    </w:p>
    <w:p>
      <w:pPr>
        <w:spacing w:after="0" w:line="1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41" w:lineRule="exact"/>
        <w:rPr>
          <w:sz w:val="20"/>
          <w:szCs w:val="20"/>
          <w:color w:val="auto"/>
        </w:rPr>
      </w:pPr>
    </w:p>
    <w:p>
      <w:pPr>
        <w:jc w:val="both"/>
        <w:ind w:right="440" w:firstLine="441"/>
        <w:spacing w:after="0" w:line="312" w:lineRule="auto"/>
        <w:rPr>
          <w:sz w:val="20"/>
          <w:szCs w:val="20"/>
          <w:color w:val="auto"/>
        </w:rPr>
      </w:pPr>
      <w:r>
        <w:rPr>
          <w:rFonts w:ascii="Arial" w:cs="Arial" w:eastAsia="Arial" w:hAnsi="Arial"/>
          <w:sz w:val="16"/>
          <w:szCs w:val="16"/>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28" w:name="page29"/>
    <w:bookmarkEnd w:id="2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8" w:lineRule="exact"/>
        <w:rPr>
          <w:sz w:val="20"/>
          <w:szCs w:val="20"/>
          <w:color w:val="auto"/>
        </w:rPr>
      </w:pPr>
    </w:p>
    <w:p>
      <w:pPr>
        <w:ind w:left="560" w:hanging="118"/>
        <w:spacing w:after="0"/>
        <w:tabs>
          <w:tab w:leader="none" w:pos="5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permit the board of directors to establish the number of directors and fill any vacancies and newly created directorships;</w:t>
      </w:r>
    </w:p>
    <w:p>
      <w:pPr>
        <w:spacing w:after="0" w:line="96" w:lineRule="exact"/>
        <w:rPr>
          <w:rFonts w:ascii="Arial" w:cs="Arial" w:eastAsia="Arial" w:hAnsi="Arial"/>
          <w:sz w:val="28"/>
          <w:szCs w:val="28"/>
          <w:color w:val="auto"/>
          <w:vertAlign w:val="superscript"/>
        </w:rPr>
      </w:pPr>
    </w:p>
    <w:p>
      <w:pPr>
        <w:ind w:left="560" w:right="420" w:hanging="118"/>
        <w:spacing w:after="0" w:line="191" w:lineRule="auto"/>
        <w:tabs>
          <w:tab w:leader="none" w:pos="56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authorize the issuance of “blank check” preferred stock that our board of directors could use to implement a shareholder rights plan;</w:t>
      </w:r>
    </w:p>
    <w:p>
      <w:pPr>
        <w:ind w:left="560" w:hanging="118"/>
        <w:spacing w:after="0" w:line="223" w:lineRule="auto"/>
        <w:tabs>
          <w:tab w:leader="none" w:pos="56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provide that the board of directors is expressly authorized to make, alter or repeal our bylaws; and</w:t>
      </w:r>
    </w:p>
    <w:p>
      <w:pPr>
        <w:spacing w:after="0" w:line="96" w:lineRule="exact"/>
        <w:rPr>
          <w:rFonts w:ascii="Arial" w:cs="Arial" w:eastAsia="Arial" w:hAnsi="Arial"/>
          <w:sz w:val="29"/>
          <w:szCs w:val="29"/>
          <w:color w:val="auto"/>
          <w:vertAlign w:val="superscript"/>
        </w:rPr>
      </w:pPr>
    </w:p>
    <w:p>
      <w:pPr>
        <w:ind w:left="560" w:right="80" w:hanging="118"/>
        <w:spacing w:after="0" w:line="191" w:lineRule="auto"/>
        <w:tabs>
          <w:tab w:leader="none" w:pos="56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62" w:lineRule="exact"/>
        <w:rPr>
          <w:sz w:val="20"/>
          <w:szCs w:val="20"/>
          <w:color w:val="auto"/>
        </w:rPr>
      </w:pPr>
    </w:p>
    <w:p>
      <w:pPr>
        <w:ind w:left="20" w:right="100" w:firstLine="441"/>
        <w:spacing w:after="0" w:line="255"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sets forth the location, primary use and size of our leased and owned facilities as of January 31,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Approximate</w:t>
            </w:r>
          </w:p>
        </w:tc>
        <w:tc>
          <w:tcPr>
            <w:tcW w:w="66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6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Square</w:t>
            </w:r>
          </w:p>
        </w:tc>
        <w:tc>
          <w:tcPr>
            <w:tcW w:w="660" w:type="dxa"/>
            <w:vAlign w:val="bottom"/>
          </w:tcPr>
          <w:p>
            <w:pPr>
              <w:spacing w:after="0"/>
              <w:rPr>
                <w:sz w:val="20"/>
                <w:szCs w:val="20"/>
                <w:color w:val="auto"/>
              </w:rPr>
            </w:pPr>
            <w:r>
              <w:rPr>
                <w:rFonts w:ascii="Arial" w:cs="Arial" w:eastAsia="Arial" w:hAnsi="Arial"/>
                <w:sz w:val="14"/>
                <w:szCs w:val="14"/>
                <w:b w:val="1"/>
                <w:bCs w:val="1"/>
                <w:color w:val="auto"/>
              </w:rPr>
              <w:t>Leased /</w:t>
            </w:r>
          </w:p>
        </w:tc>
      </w:tr>
      <w:tr>
        <w:trPr>
          <w:trHeight w:val="188"/>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Primary Use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Footage</w:t>
            </w:r>
          </w:p>
        </w:tc>
        <w:tc>
          <w:tcPr>
            <w:tcW w:w="660" w:type="dxa"/>
            <w:vAlign w:val="bottom"/>
          </w:tcPr>
          <w:p>
            <w:pPr>
              <w:spacing w:after="0"/>
              <w:rPr>
                <w:sz w:val="20"/>
                <w:szCs w:val="20"/>
                <w:color w:val="auto"/>
              </w:rPr>
            </w:pPr>
            <w:r>
              <w:rPr>
                <w:rFonts w:ascii="Arial" w:cs="Arial" w:eastAsia="Arial" w:hAnsi="Arial"/>
                <w:sz w:val="14"/>
                <w:szCs w:val="14"/>
                <w:b w:val="1"/>
                <w:bCs w:val="1"/>
                <w:color w:val="auto"/>
              </w:rPr>
              <w:t>Owned</w:t>
            </w:r>
          </w:p>
        </w:tc>
      </w:tr>
      <w:tr>
        <w:trPr>
          <w:trHeight w:val="210"/>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Belleville, Wisconsin</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w:t>
            </w:r>
          </w:p>
        </w:tc>
        <w:tc>
          <w:tcPr>
            <w:tcW w:w="18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Corporate headquarters and distribution center</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Mt. Horeb,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Direct</w:t>
            </w:r>
          </w:p>
        </w:tc>
        <w:tc>
          <w:tcPr>
            <w:tcW w:w="3860" w:type="dxa"/>
            <w:vAlign w:val="bottom"/>
            <w:gridSpan w:val="2"/>
          </w:tcPr>
          <w:p>
            <w:pPr>
              <w:spacing w:after="0"/>
              <w:rPr>
                <w:sz w:val="20"/>
                <w:szCs w:val="20"/>
                <w:color w:val="auto"/>
              </w:rPr>
            </w:pPr>
            <w:r>
              <w:rPr>
                <w:rFonts w:ascii="Arial" w:cs="Arial" w:eastAsia="Arial" w:hAnsi="Arial"/>
                <w:sz w:val="18"/>
                <w:szCs w:val="18"/>
                <w:color w:val="auto"/>
              </w:rPr>
              <w:t>Innovation center</w:t>
            </w:r>
          </w:p>
        </w:tc>
        <w:tc>
          <w:tcPr>
            <w:tcW w:w="104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Mt. Horeb,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Flagship 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Port Washington,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Duluth, Minnesota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Bloomington, Minnesota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Fridley, Minnesota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Ankeny, Iowa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p>
        </w:tc>
        <w:tc>
          <w:tcPr>
            <w:tcW w:w="104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Sioux Falls, South Dakota</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Hoffman Estates, Illinois</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Downers Grove, Illinois</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Omaha, Nebraska</w:t>
            </w:r>
          </w:p>
        </w:tc>
        <w:tc>
          <w:tcPr>
            <w:tcW w:w="1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LaCrosse,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w:t>
            </w:r>
            <w:r>
              <w:rPr>
                <w:rFonts w:ascii="Arial" w:cs="Arial" w:eastAsia="Arial" w:hAnsi="Arial"/>
                <w:sz w:val="7"/>
                <w:szCs w:val="7"/>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Belleville, Wisconsin</w:t>
            </w:r>
          </w:p>
        </w:tc>
        <w:tc>
          <w:tcPr>
            <w:tcW w:w="1200" w:type="dxa"/>
            <w:vAlign w:val="bottom"/>
            <w:gridSpan w:val="2"/>
          </w:tcPr>
          <w:p>
            <w:pPr>
              <w:spacing w:after="0"/>
              <w:rPr>
                <w:sz w:val="20"/>
                <w:szCs w:val="20"/>
                <w:color w:val="auto"/>
              </w:rPr>
            </w:pPr>
            <w:r>
              <w:rPr>
                <w:rFonts w:ascii="Arial" w:cs="Arial" w:eastAsia="Arial" w:hAnsi="Arial"/>
                <w:sz w:val="18"/>
                <w:szCs w:val="18"/>
                <w:color w:val="auto"/>
              </w:rPr>
              <w:t>Direct/Retail</w:t>
            </w:r>
          </w:p>
        </w:tc>
        <w:tc>
          <w:tcPr>
            <w:tcW w:w="3860" w:type="dxa"/>
            <w:vAlign w:val="bottom"/>
            <w:gridSpan w:val="2"/>
          </w:tcPr>
          <w:p>
            <w:pPr>
              <w:spacing w:after="0"/>
              <w:rPr>
                <w:sz w:val="20"/>
                <w:szCs w:val="20"/>
                <w:color w:val="auto"/>
              </w:rPr>
            </w:pPr>
            <w:r>
              <w:rPr>
                <w:rFonts w:ascii="Arial" w:cs="Arial" w:eastAsia="Arial" w:hAnsi="Arial"/>
                <w:sz w:val="18"/>
                <w:szCs w:val="18"/>
                <w:color w:val="auto"/>
              </w:rPr>
              <w:t>Outlet store and call center</w:t>
            </w:r>
          </w:p>
        </w:tc>
        <w:tc>
          <w:tcPr>
            <w:tcW w:w="104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Owned</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Oshkosh, Wisconsin</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Direct/Retail</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Outlet store and call center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1000" w:hanging="990"/>
        <w:spacing w:after="0"/>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Leased to open new store.</w:t>
      </w:r>
    </w:p>
    <w:p>
      <w:pPr>
        <w:spacing w:after="0" w:line="181" w:lineRule="exact"/>
        <w:rPr>
          <w:sz w:val="20"/>
          <w:szCs w:val="20"/>
          <w:color w:val="auto"/>
        </w:rPr>
      </w:pPr>
    </w:p>
    <w:p>
      <w:pPr>
        <w:jc w:val="both"/>
        <w:ind w:left="20" w:right="320" w:firstLine="441"/>
        <w:spacing w:after="0" w:line="264" w:lineRule="auto"/>
        <w:rPr>
          <w:sz w:val="20"/>
          <w:szCs w:val="20"/>
          <w:color w:val="auto"/>
        </w:rPr>
      </w:pPr>
      <w:r>
        <w:rPr>
          <w:rFonts w:ascii="Arial" w:cs="Arial" w:eastAsia="Arial" w:hAnsi="Arial"/>
          <w:sz w:val="18"/>
          <w:szCs w:val="18"/>
          <w:color w:val="auto"/>
        </w:rPr>
        <w:t>The leases on our innovation center and retail stores expire at various times, subject to renewal options. We consider these properties to be in good condition and believe that our facilities are adequate for our operations and provide sufficient capacity to meet our anticipated requirements.</w:t>
      </w:r>
    </w:p>
    <w:p>
      <w:pPr>
        <w:spacing w:after="0" w:line="39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52" w:lineRule="exact"/>
        <w:rPr>
          <w:sz w:val="20"/>
          <w:szCs w:val="20"/>
          <w:color w:val="auto"/>
        </w:rPr>
      </w:pPr>
    </w:p>
    <w:p>
      <w:pPr>
        <w:ind w:left="20" w:right="580" w:firstLine="441"/>
        <w:spacing w:after="0" w:line="342" w:lineRule="auto"/>
        <w:rPr>
          <w:sz w:val="20"/>
          <w:szCs w:val="20"/>
          <w:color w:val="auto"/>
        </w:rPr>
      </w:pPr>
      <w:r>
        <w:rPr>
          <w:rFonts w:ascii="Arial" w:cs="Arial" w:eastAsia="Arial" w:hAnsi="Arial"/>
          <w:sz w:val="16"/>
          <w:szCs w:val="16"/>
          <w:color w:val="auto"/>
        </w:rPr>
        <w:t>From time to time, we are subject to certain legal proceedings and claims in the ordinary course of business. We are not presently party to any legal proceedings the resolution of which we believe would have a material adverse effect on our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business, financial condition, operating results or cash flows. We establish reserves for specific legal matters when we determine that the likelihood of an unfavorable outcome is probable and the loss is reasonably estimable.</w:t>
      </w:r>
    </w:p>
    <w:p>
      <w:pPr>
        <w:spacing w:after="0" w:line="37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60"/>
          </w:cols>
          <w:pgMar w:left="1140" w:top="125" w:right="1199"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Officers of Duluth Holdings Inc.</w:t>
      </w:r>
    </w:p>
    <w:p>
      <w:pPr>
        <w:spacing w:after="0" w:line="202" w:lineRule="exact"/>
        <w:rPr>
          <w:sz w:val="20"/>
          <w:szCs w:val="20"/>
          <w:color w:val="auto"/>
        </w:rPr>
      </w:pPr>
    </w:p>
    <w:p>
      <w:pPr>
        <w:ind w:left="20" w:right="180" w:firstLine="441"/>
        <w:spacing w:after="0" w:line="297" w:lineRule="auto"/>
        <w:rPr>
          <w:sz w:val="20"/>
          <w:szCs w:val="20"/>
          <w:color w:val="auto"/>
        </w:rPr>
      </w:pPr>
      <w:r>
        <w:rPr>
          <w:rFonts w:ascii="Arial" w:cs="Arial" w:eastAsia="Arial" w:hAnsi="Arial"/>
          <w:sz w:val="16"/>
          <w:szCs w:val="16"/>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nor any arrangement or understanding between any officer and any other person pursuant to which the officer was selected. The information presented below is as of April 8, 2016.</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p>
        </w:tc>
        <w:tc>
          <w:tcPr>
            <w:tcW w:w="71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Office</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Stephen L. Schlecht</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68</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8"/>
              </w:rPr>
              <w:t>Mr. Schlecht is the founder of our Company and has served as Executive Chairman of the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Board since February 2012. Mr. Schlecht has served on our board of directors since our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founding in 1986. Mr. Schlecht previously served as our Chief Executive Officer from February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2003 to February 2015, as President from February 2003 to February 2012 and as President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Chief Executive Officer of GEMPLER’S, Inc., which he founded in 1986, until February 2003.</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Mr. Schlecht holds a B.S.B.A. degree and an M.B.A. from Northwestern University.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Mr. Schlecht has over 45 years of experience in the direct marketing and retail industries and</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has extensive leadership experience and strategic vision.</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Stephanie L. Pugliese</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45</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Ms. Pugliese has served as President of the Company since February 2012 and as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Executive Officer since February 2015. Ms. Pugliese has previously served as our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Operating Officer from February 2014 to February 2015, as our Senior Vice President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Chief Merchandising Officer from July 2010 to February 2012, and as our Vice President of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Product Development from November 2008 to July 2010. Ms. Pugliese previously served as a</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senior executive in several positions with Lands’ End, Inc. from November 2005 to October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2008, including General Merchandising Manager of Women’s Apparel, Men’s Apparel, and the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Home Division. She also previously held the position of Vice President of Merchandising at</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Ann Inc. from March 2000 to May 2003. Ms. Pugliese holds a B.A. degree in marketing from</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New York University Stern School of Business. Ms. Pugliese is a seasoned executive with over</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24 years of experience in the retail apparel industry.</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Mark M. DeOrio</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62</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3"/>
              </w:rPr>
              <w:t>Mr. DeOrio has been our Chief Financial Officer since August 2010. Mr. DeOrio has previously</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served as our Senior Vice President of Operations from August 2010 to January 2015.</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Mr. DeOrio previously held the positions of Chief Financial Officer and Vice President of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Operations at eBags, Inc. from November 2004 to December 2009 and Vice President and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Financial Officer of Case Logic, Inc. from September 1996 to March 2004. Mr. DeOrio has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held multiple senior financial positions during his 39 year career in the consumer products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industry, including nine years with KPMG and four years at Huffy Bicycle Company as a</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divisional head of finance. Mr. DeOrio holds a B.B.A. degree in accounting from the University</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of Notre Dame, Mendoza School of Business and is a CPA (inactive).</w:t>
            </w:r>
          </w:p>
        </w:tc>
      </w:tr>
      <w:tr>
        <w:trPr>
          <w:trHeight w:val="195"/>
        </w:trPr>
        <w:tc>
          <w:tcPr>
            <w:tcW w:w="19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Allen L. Dittrich</w:t>
            </w:r>
          </w:p>
        </w:tc>
        <w:tc>
          <w:tcPr>
            <w:tcW w:w="5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61</w:t>
            </w:r>
          </w:p>
        </w:tc>
        <w:tc>
          <w:tcPr>
            <w:tcW w:w="71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2"/>
              </w:rPr>
              <w:t>Mr. Dittrich has served as our Senior Vice President of Omnichannel Customer Experience and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Operations since February 2015. He has previously served as Senior Vice President of Retail at</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Allen-Edmonds Shoe Corporation from November 2009 until February 2015 and Chief</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Executive Officer of Retail Associates Ltd. from February 2006 to October 2008. Mr. Dittrich</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has also previously served as Executive Vice President and Chief Operating Officer of Gander</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Mountain from 2003 to August 2005 and Chief Merchandising and Marketing Officer from</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April 1998 to 2003. Prior thereto, Mr. Dittrich served as a senior executive in several positions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with the Department Store Division at Dayton Hudson where he was employed from 1977 to</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1998, including Senior Vice President General Merchandising Manager Home and Cosmetics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and Senior Vice President General Merchandising Manager of Men’s and Children’s.</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Mr. Dittrich also served on our advisory board for fiscal 2014. Mr. Dittrich holds a B.A. degree</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in Business Administration and Marketing from Winona State University. Mr. Dittrich has held</w:t>
            </w: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multiple senior executive roles and has over 38 years of experience in the direct marketing and</w:t>
            </w:r>
          </w:p>
        </w:tc>
      </w:tr>
      <w:tr>
        <w:trPr>
          <w:trHeight w:val="23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retail industries.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1" w:name="page32"/>
    <w:bookmarkEnd w:id="3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ind w:left="1080" w:right="580" w:hanging="1066"/>
        <w:spacing w:after="0" w:line="277" w:lineRule="auto"/>
        <w:tabs>
          <w:tab w:leader="none" w:pos="10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REGISTRANT’S COMMON EQUITY, RELATED SHAREHOLDER MATTERS AND ISSUER PURCHASES OF EQUITY SECURITIES</w:t>
      </w:r>
    </w:p>
    <w:p>
      <w:pPr>
        <w:spacing w:after="0" w:line="170"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Our Class B common stock has traded on the NASDAQ Global Select Market under the symbol “DLTH,” since our initial public offering on November 19, 2015. The following table sets forth the reported high and low sales prices of our Class B common stock as reported by the NASDAQ Global Select Market, for the fiscal period indicated. On April 5, 2016, the last reported sale price of our Class B common stock was $17.27.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quarter ended:</w:t>
            </w:r>
          </w:p>
        </w:tc>
        <w:tc>
          <w:tcPr>
            <w:tcW w:w="32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Low</w:t>
            </w: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31, 2016 (commencing November 20, 2015)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432"/>
        </w:trPr>
        <w:tc>
          <w:tcPr>
            <w:tcW w:w="6640" w:type="dxa"/>
            <w:vAlign w:val="bottom"/>
            <w:gridSpan w:val="2"/>
          </w:tcPr>
          <w:p>
            <w:pPr>
              <w:ind w:left="460"/>
              <w:spacing w:after="0"/>
              <w:rPr>
                <w:sz w:val="20"/>
                <w:szCs w:val="20"/>
                <w:color w:val="auto"/>
              </w:rPr>
            </w:pPr>
            <w:r>
              <w:rPr>
                <w:rFonts w:ascii="Arial" w:cs="Arial" w:eastAsia="Arial" w:hAnsi="Arial"/>
                <w:sz w:val="18"/>
                <w:szCs w:val="18"/>
                <w:color w:val="auto"/>
              </w:rPr>
              <w:t>Our Class A common stock is neither listed nor traded on an exchange.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8" w:lineRule="exact"/>
        <w:rPr>
          <w:sz w:val="20"/>
          <w:szCs w:val="20"/>
          <w:color w:val="auto"/>
        </w:rPr>
      </w:pPr>
    </w:p>
    <w:p>
      <w:pPr>
        <w:ind w:left="20" w:right="80" w:firstLine="441"/>
        <w:spacing w:after="0" w:line="257" w:lineRule="auto"/>
        <w:rPr>
          <w:sz w:val="20"/>
          <w:szCs w:val="20"/>
          <w:color w:val="auto"/>
        </w:rPr>
      </w:pPr>
      <w:r>
        <w:rPr>
          <w:rFonts w:ascii="Arial" w:cs="Arial" w:eastAsia="Arial" w:hAnsi="Arial"/>
          <w:sz w:val="18"/>
          <w:szCs w:val="18"/>
          <w:color w:val="auto"/>
        </w:rPr>
        <w:t>As of April 5, 2016, there were approximately five holders of record based upon data provided by the transfer agent, one of whom was holder of our Class A common stock and four of whom were holders of our Class B common stock. The number of shareholders of record is based upon the actual number of shareholders registered at such date and does not include holders of shares in “street name” or persons, partnerships, associates, corporations or other entities identified in security position listings maintained by depositories.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left="20" w:right="360" w:firstLine="441"/>
        <w:spacing w:after="0" w:line="308" w:lineRule="auto"/>
        <w:rPr>
          <w:sz w:val="20"/>
          <w:szCs w:val="20"/>
          <w:color w:val="auto"/>
        </w:rPr>
      </w:pPr>
      <w:r>
        <w:rPr>
          <w:rFonts w:ascii="Arial" w:cs="Arial" w:eastAsia="Arial" w:hAnsi="Arial"/>
          <w:sz w:val="17"/>
          <w:szCs w:val="17"/>
          <w:color w:val="auto"/>
        </w:rPr>
        <w:t>Our Class B common stock began trading on November 20, 2015, following our initial public offering. Since that time, we have not declared any cash dividends, and we do not anticipate declaring any cash dividends in the foreseeable future.</w:t>
      </w:r>
    </w:p>
    <w:p>
      <w:pPr>
        <w:spacing w:after="0" w:line="120" w:lineRule="exact"/>
        <w:rPr>
          <w:sz w:val="20"/>
          <w:szCs w:val="20"/>
          <w:color w:val="auto"/>
        </w:rPr>
      </w:pPr>
    </w:p>
    <w:p>
      <w:pPr>
        <w:ind w:left="20" w:right="20" w:firstLine="441"/>
        <w:spacing w:after="0" w:line="289" w:lineRule="auto"/>
        <w:rPr>
          <w:sz w:val="20"/>
          <w:szCs w:val="20"/>
          <w:color w:val="auto"/>
        </w:rPr>
      </w:pPr>
      <w:r>
        <w:rPr>
          <w:rFonts w:ascii="Arial" w:cs="Arial" w:eastAsia="Arial" w:hAnsi="Arial"/>
          <w:sz w:val="16"/>
          <w:szCs w:val="16"/>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2014, we paid distributions of $15.1 million to our shareholders. During fiscal 2015, we paid distributions of $60.1 million to our shareholders, which included $46.3 million for a portion of the currently estimated final distribution of $46.6 million (resulting from the termination of our “S” corporation status) of 100% of the cumulative undistributed taxable earnings from the date of our formation through November 25, 2015. The final “S” corporation distribution includes an amount of income based on our results of operations for the full 2015 calendar year, which is our 2015 tax year, prorated from January 1, 2015 through the date of our conversion to a “C” corporation. The remaining $0.3 million of our final “S” corporation distribution will be paid in the first quarter of fiscal 2016.</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Information regarding our equity compensation plans is set forth in Item 12. Security Ownership of Certain Beneficial Owners and Management and Related Shareholder Matters.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left="20" w:right="20" w:firstLine="441"/>
        <w:spacing w:after="0" w:line="255" w:lineRule="auto"/>
        <w:rPr>
          <w:sz w:val="20"/>
          <w:szCs w:val="20"/>
          <w:color w:val="auto"/>
        </w:rPr>
      </w:pPr>
      <w:r>
        <w:rPr>
          <w:rFonts w:ascii="Arial" w:cs="Arial" w:eastAsia="Arial" w:hAnsi="Arial"/>
          <w:sz w:val="18"/>
          <w:szCs w:val="18"/>
          <w:color w:val="auto"/>
        </w:rPr>
        <w:t>The following graph compares the cumulative total return to shareholders on Duluth Holdings Inc. Class B common stock from November 20, 2015, the first day our Class B common stock began trading on the NASDAQ Global Select Market, through January 29, 2016, the last day of fiscal 2015, for which trading occurred, with the NASDAQ Global Select Market Index and the NASDAQ Global Retail Index for the same period. The graph assumes an initial investment of $100 on November 20, 2015 in our Class B common stock, the NASDAQ Global Select Market and the NASDAQ Global Retail Index. The graph also assumes that the initial prices of our Class B common stock, the NASDAQ Global Select Market and the NASDAQ Global Retail Index on November 20, 2015 were the closing prices on that trading day.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2" w:name="page33"/>
    <w:bookmarkEnd w:id="3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263525</wp:posOffset>
            </wp:positionV>
            <wp:extent cx="4347845"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4784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Company/Market/Peer Group</w:t>
            </w:r>
          </w:p>
        </w:tc>
        <w:tc>
          <w:tcPr>
            <w:tcW w:w="1240" w:type="dxa"/>
            <w:vAlign w:val="bottom"/>
          </w:tcPr>
          <w:p>
            <w:pPr>
              <w:spacing w:after="0"/>
              <w:rPr>
                <w:sz w:val="20"/>
                <w:szCs w:val="20"/>
                <w:color w:val="auto"/>
              </w:rPr>
            </w:pPr>
          </w:p>
        </w:tc>
        <w:tc>
          <w:tcPr>
            <w:tcW w:w="100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11/20/2015</w:t>
            </w:r>
          </w:p>
        </w:tc>
        <w:tc>
          <w:tcPr>
            <w:tcW w:w="460" w:type="dxa"/>
            <w:vAlign w:val="bottom"/>
          </w:tcPr>
          <w:p>
            <w:pPr>
              <w:spacing w:after="0"/>
              <w:rPr>
                <w:sz w:val="20"/>
                <w:szCs w:val="20"/>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b w:val="1"/>
                <w:bCs w:val="1"/>
                <w:color w:val="auto"/>
              </w:rPr>
              <w:t>11/27/2015</w:t>
            </w:r>
          </w:p>
        </w:tc>
        <w:tc>
          <w:tcPr>
            <w:tcW w:w="46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12/31/2015</w:t>
            </w:r>
          </w:p>
        </w:tc>
        <w:tc>
          <w:tcPr>
            <w:tcW w:w="4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1/29/2016</w:t>
            </w:r>
          </w:p>
        </w:tc>
      </w:tr>
      <w:tr>
        <w:trPr>
          <w:trHeight w:val="210"/>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DLTH</w:t>
            </w: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104.10</w:t>
            </w: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106.89</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20" w:type="dxa"/>
            <w:vAlign w:val="bottom"/>
          </w:tcPr>
          <w:p>
            <w:pPr>
              <w:spacing w:after="0"/>
              <w:rPr>
                <w:sz w:val="18"/>
                <w:szCs w:val="18"/>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NASDAQ Global Select Market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100.36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98.07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90.57</w:t>
            </w:r>
          </w:p>
        </w:tc>
        <w:tc>
          <w:tcPr>
            <w:tcW w:w="20" w:type="dxa"/>
            <w:vAlign w:val="bottom"/>
          </w:tcPr>
          <w:p>
            <w:pPr>
              <w:spacing w:after="0"/>
              <w:rPr>
                <w:sz w:val="19"/>
                <w:szCs w:val="19"/>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Global Retail Index</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99.28</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97.76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 from Public Offering of Class B Common Stock</w:t>
      </w:r>
    </w:p>
    <w:p>
      <w:pPr>
        <w:spacing w:after="0" w:line="202" w:lineRule="exact"/>
        <w:rPr>
          <w:sz w:val="20"/>
          <w:szCs w:val="20"/>
          <w:color w:val="auto"/>
        </w:rPr>
      </w:pPr>
    </w:p>
    <w:p>
      <w:pPr>
        <w:ind w:left="20" w:right="60" w:firstLine="441"/>
        <w:spacing w:after="0" w:line="255" w:lineRule="auto"/>
        <w:rPr>
          <w:sz w:val="20"/>
          <w:szCs w:val="20"/>
          <w:color w:val="auto"/>
        </w:rPr>
      </w:pPr>
      <w:r>
        <w:rPr>
          <w:rFonts w:ascii="Arial" w:cs="Arial" w:eastAsia="Arial" w:hAnsi="Arial"/>
          <w:sz w:val="18"/>
          <w:szCs w:val="18"/>
          <w:color w:val="auto"/>
        </w:rPr>
        <w:t>On November 25, 2015, we closed our IPO, in which we registered and sold 7,666,667 shares of Class B common stock at a price of $12.00 per share. The aggregate offering price for shares sold in the offering was approximately $92.0 million. The offer and sale of all of the shares in the IPO were registered under the Securities Act pursuant to a registration statement on Form S-1 (File No. 333-207300), which was declared effective by the SEC on November 19, 2015. We raised approximately $83.9 million in net proceeds after deducting underwriting discounts and commissions of approximately $6.4 million and other offering expenses of approximately $1.7 million.</w:t>
      </w:r>
    </w:p>
    <w:p>
      <w:pPr>
        <w:spacing w:after="0" w:line="153" w:lineRule="exact"/>
        <w:rPr>
          <w:sz w:val="20"/>
          <w:szCs w:val="20"/>
          <w:color w:val="auto"/>
        </w:rPr>
      </w:pPr>
    </w:p>
    <w:p>
      <w:pPr>
        <w:ind w:left="20" w:right="20" w:firstLine="441"/>
        <w:spacing w:after="0" w:line="264" w:lineRule="auto"/>
        <w:rPr>
          <w:sz w:val="20"/>
          <w:szCs w:val="20"/>
          <w:color w:val="auto"/>
        </w:rPr>
      </w:pPr>
      <w:r>
        <w:rPr>
          <w:rFonts w:ascii="Arial" w:cs="Arial" w:eastAsia="Arial" w:hAnsi="Arial"/>
          <w:sz w:val="18"/>
          <w:szCs w:val="18"/>
          <w:color w:val="auto"/>
        </w:rPr>
        <w:t>We used $46.3 million of the net proceeds from the offering to pay in full a short term note previously borrowed from a bank to pay a portion of the distribution of 100% of the cumulative undistributed taxable earnings to our then existing shareholders from the date of our formation through the date of termination of our “S” corporation status.</w:t>
      </w:r>
    </w:p>
    <w:p>
      <w:pPr>
        <w:spacing w:after="0" w:line="141" w:lineRule="exact"/>
        <w:rPr>
          <w:sz w:val="20"/>
          <w:szCs w:val="20"/>
          <w:color w:val="auto"/>
        </w:rPr>
      </w:pPr>
    </w:p>
    <w:p>
      <w:pPr>
        <w:ind w:left="20" w:right="40" w:firstLine="441"/>
        <w:spacing w:after="0" w:line="264" w:lineRule="auto"/>
        <w:rPr>
          <w:sz w:val="20"/>
          <w:szCs w:val="20"/>
          <w:color w:val="auto"/>
        </w:rPr>
      </w:pPr>
      <w:r>
        <w:rPr>
          <w:rFonts w:ascii="Arial" w:cs="Arial" w:eastAsia="Arial" w:hAnsi="Arial"/>
          <w:sz w:val="18"/>
          <w:szCs w:val="18"/>
          <w:color w:val="auto"/>
        </w:rPr>
        <w:t>With respect to the remaining $37.6 million in net proceeds from the offering, there has been no material change in the planned use of proceeds from the Company’s IPO as described in the final prospectus filed with the Securities and Exchange Commission pursuant to Rule 424(b)(4).</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33" w:name="page34"/>
    <w:bookmarkEnd w:id="3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239" w:lineRule="exact"/>
        <w:rPr>
          <w:sz w:val="20"/>
          <w:szCs w:val="20"/>
          <w:color w:val="auto"/>
        </w:rPr>
      </w:pPr>
    </w:p>
    <w:p>
      <w:pPr>
        <w:ind w:left="20" w:right="20" w:firstLine="441"/>
        <w:spacing w:after="0" w:line="276" w:lineRule="auto"/>
        <w:rPr>
          <w:sz w:val="20"/>
          <w:szCs w:val="20"/>
          <w:color w:val="auto"/>
        </w:rPr>
      </w:pPr>
      <w:r>
        <w:rPr>
          <w:rFonts w:ascii="Arial" w:cs="Arial" w:eastAsia="Arial" w:hAnsi="Arial"/>
          <w:sz w:val="17"/>
          <w:szCs w:val="17"/>
          <w:color w:val="auto"/>
        </w:rPr>
        <w:t>The following selected financial data is derived from Duluth Trading’s audited consolidated financial statements, with the exception of the information presented in the pro forma net income information, which was unaudited, and should be read in conjunction with the consolidated financial statements and the notes thereto in Item 8. Financial Statements and Supplementary Data, and the information contained in Item 7. Management’s Discussion and Analysis of Financial Condition and Results of Operations included elsewhere herein. Historical results are not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2864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49" w:lineRule="exact"/>
        <w:rPr>
          <w:sz w:val="20"/>
          <w:szCs w:val="20"/>
          <w:color w:val="auto"/>
        </w:rPr>
      </w:pPr>
    </w:p>
    <w:p>
      <w:pPr>
        <w:ind w:left="5320"/>
        <w:spacing w:after="0"/>
        <w:tabs>
          <w:tab w:leader="none" w:pos="6840" w:val="left"/>
          <w:tab w:leader="none" w:pos="8400" w:val="left"/>
        </w:tabs>
        <w:rPr>
          <w:sz w:val="20"/>
          <w:szCs w:val="20"/>
          <w:color w:val="auto"/>
        </w:rPr>
      </w:pPr>
      <w:r>
        <w:rPr>
          <w:rFonts w:ascii="Arial" w:cs="Arial" w:eastAsia="Arial" w:hAnsi="Arial"/>
          <w:sz w:val="14"/>
          <w:szCs w:val="14"/>
          <w:b w:val="1"/>
          <w:bCs w:val="1"/>
          <w:color w:val="auto"/>
        </w:rPr>
        <w:t>January 31, 2016</w:t>
      </w:r>
      <w:r>
        <w:rPr>
          <w:sz w:val="20"/>
          <w:szCs w:val="20"/>
          <w:color w:val="auto"/>
        </w:rPr>
        <w:tab/>
      </w:r>
      <w:r>
        <w:rPr>
          <w:rFonts w:ascii="Arial" w:cs="Arial" w:eastAsia="Arial" w:hAnsi="Arial"/>
          <w:sz w:val="14"/>
          <w:szCs w:val="14"/>
          <w:b w:val="1"/>
          <w:bCs w:val="1"/>
          <w:color w:val="auto"/>
        </w:rPr>
        <w:t>February 1, 2015</w:t>
      </w:r>
      <w:r>
        <w:rPr>
          <w:sz w:val="20"/>
          <w:szCs w:val="20"/>
          <w:color w:val="auto"/>
        </w:rPr>
        <w:tab/>
      </w:r>
      <w:r>
        <w:rPr>
          <w:rFonts w:ascii="Arial" w:cs="Arial" w:eastAsia="Arial" w:hAnsi="Arial"/>
          <w:sz w:val="13"/>
          <w:szCs w:val="13"/>
          <w:b w:val="1"/>
          <w:bCs w:val="1"/>
          <w:color w:val="auto"/>
        </w:rPr>
        <w:t>February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28644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and number of stores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12330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304,157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231,867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163,089</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27,439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23,647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(Class A and Class B):</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25,250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23,815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Net income per share attributable to controlling interest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(Class A and Class B):</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shares and equivalents outstanding</w:t>
            </w:r>
          </w:p>
        </w:tc>
        <w:tc>
          <w:tcPr>
            <w:tcW w:w="9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25,978</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24,002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23,703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controlling interest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Pro forma net income information (Unaudited)</w:t>
            </w:r>
            <w:r>
              <w:rPr>
                <w:rFonts w:ascii="Arial" w:cs="Arial" w:eastAsia="Arial" w:hAnsi="Arial"/>
                <w:sz w:val="18"/>
                <w:szCs w:val="18"/>
                <w:b w:val="1"/>
                <w:bCs w:val="1"/>
                <w:color w:val="auto"/>
                <w:vertAlign w:val="superscript"/>
              </w:rPr>
              <w:t>(1)</w:t>
            </w:r>
            <w:r>
              <w:rPr>
                <w:rFonts w:ascii="Arial" w:cs="Arial" w:eastAsia="Arial" w:hAnsi="Arial"/>
                <w:sz w:val="18"/>
                <w:szCs w:val="18"/>
                <w:b w:val="1"/>
                <w:bCs w:val="1"/>
                <w:color w:val="auto"/>
              </w:rPr>
              <w: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attributable to controlling interest</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14,188</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r>
      <w:tr>
        <w:trPr>
          <w:trHeight w:val="202"/>
        </w:trPr>
        <w:tc>
          <w:tcPr>
            <w:tcW w:w="4580" w:type="dxa"/>
            <w:vAlign w:val="bottom"/>
          </w:tcPr>
          <w:p>
            <w:pPr>
              <w:ind w:left="20"/>
              <w:spacing w:after="0" w:line="201" w:lineRule="exact"/>
              <w:rPr>
                <w:sz w:val="20"/>
                <w:szCs w:val="20"/>
                <w:color w:val="auto"/>
              </w:rPr>
            </w:pPr>
            <w:r>
              <w:rPr>
                <w:rFonts w:ascii="Arial" w:cs="Arial" w:eastAsia="Arial" w:hAnsi="Arial"/>
                <w:sz w:val="18"/>
                <w:szCs w:val="18"/>
                <w:color w:val="auto"/>
              </w:rPr>
              <w:t>Pro forma basic net income per share attributable</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diluted net income per share attributable</w:t>
            </w: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37,873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120,620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70,949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55,463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current portion</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5,683</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73,700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25,714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22,035</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Number of stores</w:t>
            </w:r>
            <w:r>
              <w:rPr>
                <w:rFonts w:ascii="Arial" w:cs="Arial" w:eastAsia="Arial" w:hAnsi="Arial"/>
                <w:sz w:val="7"/>
                <w:szCs w:val="7"/>
                <w:color w:val="auto"/>
              </w:rPr>
              <w:t>(2)</w:t>
            </w:r>
          </w:p>
        </w:tc>
        <w:tc>
          <w:tcPr>
            <w:tcW w:w="9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7"/>
                <w:szCs w:val="7"/>
                <w:color w:val="auto"/>
              </w:rPr>
              <w:t>(3)</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32,168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26,269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17,548</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7"/>
                <w:szCs w:val="7"/>
                <w:color w:val="auto"/>
              </w:rPr>
              <w:t>(3)</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34,003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26,661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w:t>
            </w: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180" w:right="80" w:hanging="170"/>
        <w:spacing w:after="0" w:line="256" w:lineRule="auto"/>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unaudited pro forma net income information for all years presented gives effect to an adjustment for income tax expense on the income attributable to controlling interest as if we had been a “C” corporation at an assumed combined federal, state and local effective income tax rate, which approximate our statutory income tax rate, of 40%. No pro forma income tax expense was calculated on the income attributable to noncontrolling interest because this entity did not convert to “C” corporation.</w:t>
      </w:r>
    </w:p>
    <w:p>
      <w:pPr>
        <w:spacing w:after="0" w:line="64" w:lineRule="exact"/>
        <w:rPr>
          <w:rFonts w:ascii="Arial" w:cs="Arial" w:eastAsia="Arial" w:hAnsi="Arial"/>
          <w:sz w:val="13"/>
          <w:szCs w:val="13"/>
          <w:color w:val="auto"/>
        </w:rPr>
      </w:pPr>
    </w:p>
    <w:p>
      <w:pPr>
        <w:ind w:left="260" w:hanging="250"/>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two outlet stores as of January 31, 2016 and one outlet store as of February 1, 2015 and February 2, 2014.</w:t>
      </w:r>
    </w:p>
    <w:p>
      <w:pPr>
        <w:spacing w:after="0" w:line="95" w:lineRule="exact"/>
        <w:rPr>
          <w:rFonts w:ascii="Arial" w:cs="Arial" w:eastAsia="Arial" w:hAnsi="Arial"/>
          <w:sz w:val="14"/>
          <w:szCs w:val="14"/>
          <w:color w:val="auto"/>
        </w:rPr>
      </w:pPr>
    </w:p>
    <w:p>
      <w:pPr>
        <w:ind w:left="180" w:right="420" w:hanging="170"/>
        <w:spacing w:after="0" w:line="264" w:lineRule="auto"/>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See “Management’s Discussion and Analysis of Financial Condition and Results of Operations – How We Assess the Performance of Our Business and Reconciliation of Net Income to Adjusted EBITDA” for our definition of Adjusted EBITDA and a reconciliation of net income to EBITDA and EBITDA to Adjusted EBITDA.</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060" w:right="800" w:hanging="1066"/>
        <w:spacing w:after="0" w:line="277" w:lineRule="auto"/>
        <w:tabs>
          <w:tab w:leader="none" w:pos="10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184"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6"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i w:val="1"/>
          <w:iCs w:val="1"/>
          <w:color w:val="auto"/>
        </w:rPr>
        <w:t>Effective February 2013, we changed our fiscal year end from December 31 to the Sunday nearest to January 31. The following discussion contains references to fiscal years 2015, 2014 and 2013, which refer to our fiscal years ended January 31, 2016, February 1, 2015 and February 2, 2014, respectively. Fiscal years 2015, 2014 and 2013 were 52-week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60" w:firstLine="441"/>
        <w:spacing w:after="0" w:line="297"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87.6% of our fiscal 2015 consolidated net sales. In 2010, we added retail to our omnichannel platform with the opening of our first store. Since then, we expanded our retail presence, and as of January 31, 2016, we operated seven retail stores and two outlet stores. Net sales for our retail segment represented 12.4% of our fiscal 2015 consolidated net sales.</w:t>
      </w:r>
    </w:p>
    <w:p>
      <w:pPr>
        <w:spacing w:after="0" w:line="118"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60" w:hanging="138"/>
        <w:spacing w:after="0" w:line="230" w:lineRule="auto"/>
        <w:tabs>
          <w:tab w:leader="none" w:pos="5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24 consecutive quarters through January 31, 2016;</w:t>
      </w:r>
    </w:p>
    <w:p>
      <w:pPr>
        <w:spacing w:after="0" w:line="97" w:lineRule="exact"/>
        <w:rPr>
          <w:rFonts w:ascii="Arial" w:cs="Arial" w:eastAsia="Arial" w:hAnsi="Arial"/>
          <w:sz w:val="29"/>
          <w:szCs w:val="29"/>
          <w:color w:val="auto"/>
          <w:vertAlign w:val="superscript"/>
        </w:rPr>
      </w:pPr>
    </w:p>
    <w:p>
      <w:pPr>
        <w:ind w:left="560" w:hanging="138"/>
        <w:spacing w:after="0" w:line="186" w:lineRule="auto"/>
        <w:tabs>
          <w:tab w:leader="none" w:pos="56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2015 increased by 31.2% over the prior year to $304.2 million;</w:t>
      </w:r>
    </w:p>
    <w:p>
      <w:pPr>
        <w:spacing w:after="0" w:line="96"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Adjusted EBITDA in fiscal 2015 increased by 27.5% over the prior year to $34.0 million;</w:t>
      </w:r>
    </w:p>
    <w:p>
      <w:pPr>
        <w:spacing w:after="0" w:line="96"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 average payback of less than two years.</w:t>
      </w:r>
    </w:p>
    <w:p>
      <w:pPr>
        <w:spacing w:after="0" w:line="175" w:lineRule="exact"/>
        <w:rPr>
          <w:sz w:val="20"/>
          <w:szCs w:val="20"/>
          <w:color w:val="auto"/>
        </w:rPr>
      </w:pPr>
    </w:p>
    <w:p>
      <w:pPr>
        <w:ind w:right="240" w:firstLine="441"/>
        <w:spacing w:after="0" w:line="312" w:lineRule="auto"/>
        <w:rPr>
          <w:sz w:val="20"/>
          <w:szCs w:val="20"/>
          <w:color w:val="auto"/>
        </w:rPr>
      </w:pPr>
      <w:r>
        <w:rPr>
          <w:rFonts w:ascii="Arial" w:cs="Arial" w:eastAsia="Arial" w:hAnsi="Arial"/>
          <w:sz w:val="16"/>
          <w:szCs w:val="16"/>
          <w:color w:val="auto"/>
        </w:rPr>
        <w:t>See “Reconciliation of Net Income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0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8"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customer receipt of the product, while retail sales are recognized at the point of sale.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85"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20"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While we have experienced strong comparable store sales growth to date, we have excluded comparable store sales data from this Annual Report on Form 10-K due to the limited number of comparable retail stores as of January 31, 2016. Although retail store expansion is part of our growth strategy, we expect a significant percentage of our net sales to come from our direct segment for the foreseeable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expenses of our distribution network.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3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feel Adjusted EBITDA is less susceptible to variances in actual performance resulting from depreciation, amortization and other items.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6" w:name="page37"/>
    <w:bookmarkEnd w:id="3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20" w:right="560" w:firstLine="441"/>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periods indicated, both in dollars and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4"/>
              </w:rPr>
              <w:t>January 31, 2016</w:t>
            </w:r>
          </w:p>
        </w:tc>
        <w:tc>
          <w:tcPr>
            <w:tcW w:w="100" w:type="dxa"/>
            <w:vAlign w:val="bottom"/>
          </w:tcPr>
          <w:p>
            <w:pPr>
              <w:spacing w:after="0"/>
              <w:rPr>
                <w:sz w:val="18"/>
                <w:szCs w:val="18"/>
                <w:color w:val="auto"/>
              </w:rPr>
            </w:pPr>
          </w:p>
        </w:tc>
        <w:tc>
          <w:tcPr>
            <w:tcW w:w="15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9"/>
              </w:rPr>
              <w:t>February 1, 2015</w:t>
            </w:r>
          </w:p>
        </w:tc>
        <w:tc>
          <w:tcPr>
            <w:tcW w:w="140" w:type="dxa"/>
            <w:vAlign w:val="bottom"/>
          </w:tcPr>
          <w:p>
            <w:pPr>
              <w:spacing w:after="0"/>
              <w:rPr>
                <w:sz w:val="18"/>
                <w:szCs w:val="18"/>
                <w:color w:val="auto"/>
              </w:rPr>
            </w:pPr>
          </w:p>
        </w:tc>
        <w:tc>
          <w:tcPr>
            <w:tcW w:w="14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5"/>
              </w:rPr>
              <w:t>February 2, 2014</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130,636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144,371</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24,107</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27,439</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Direct net sales</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87.6 %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90.1 %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93.8 %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net sales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43.5 %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46.1 %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Pro Forma Net Income Information</w:t>
            </w:r>
            <w:r>
              <w:rPr>
                <w:rFonts w:ascii="Arial" w:cs="Arial" w:eastAsia="Arial" w:hAnsi="Arial"/>
                <w:sz w:val="7"/>
                <w:szCs w:val="7"/>
                <w:b w:val="1"/>
                <w:bCs w:val="1"/>
                <w:color w:val="auto"/>
              </w:rPr>
              <w:t>(1)</w:t>
            </w: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Income attributable to controlling interest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before provision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provision for income taxes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Pro forma net income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2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2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180" w:right="80" w:hanging="170"/>
        <w:spacing w:after="0" w:line="256" w:lineRule="auto"/>
        <w:tabs>
          <w:tab w:leader="none" w:pos="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unaudited pro forma net income information for all years presented gives effect to an adjustment for income tax expense on the income attributable to controlling interest as if we had been a “C” corporation at an assumed combined federal, state and local effective income tax rate, which approximate our statutory income tax rate, of 40%. No pro forma income tax expense was calculated on the income attributable to noncontrolling interest because this entity did not convert to “C” corporation.</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2015 Compared to Fiscal 2014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w:t>
      </w:r>
    </w:p>
    <w:p>
      <w:pPr>
        <w:spacing w:after="0" w:line="198" w:lineRule="exact"/>
        <w:rPr>
          <w:sz w:val="20"/>
          <w:szCs w:val="20"/>
          <w:color w:val="auto"/>
        </w:rPr>
      </w:pPr>
    </w:p>
    <w:p>
      <w:pPr>
        <w:ind w:left="20" w:right="60" w:firstLine="441"/>
        <w:spacing w:after="0" w:line="286" w:lineRule="auto"/>
        <w:rPr>
          <w:sz w:val="20"/>
          <w:szCs w:val="20"/>
          <w:color w:val="auto"/>
        </w:rPr>
      </w:pPr>
      <w:r>
        <w:rPr>
          <w:rFonts w:ascii="Arial" w:cs="Arial" w:eastAsia="Arial" w:hAnsi="Arial"/>
          <w:sz w:val="17"/>
          <w:szCs w:val="17"/>
          <w:color w:val="auto"/>
        </w:rPr>
        <w:t>Net sales increased $72.3 million, or 31.2%, to $304.2 million in fiscal 2015 compared to $231.9 million in fiscal 2014, driven by gains in both the direct and retail segments of $57.4 million, or 27.5%, and $14.9 million, or 64.7%, respectively, across the majority of all product categories. The direct net sales gains were largely attributable to our marketing efforts, which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resulted in greater e-commerce traffic to our website and sales through our call center. Our website visits increased 28.1% in fiscal 2015 compared to fiscal 2014. The increase in retail net sales was primarily attributable to the opening of two new retail stores and an outlet store during fiscal 2015 and having two existing retail stores being opened for the full year fiscal 2015 versus a partial year in fiscal 2014, coupled with net sales growth in comparable stores.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Gross profit increased $42.5 million, or 32.5%, to $173.5 million in fiscal 2015 compared to $131.0 million in fiscal 2014. As a percentage of net sales, gross margin increased 50 basis points to 57.0% of net sales in fiscal 2015, compared to 56.5% of net sales in fiscal 2014. The increase in gross profit of $42.5 million was primarily driven by an increase in net sales as discussed above. The increase in gross margin rate was primarily attributable to product mix, with a shift into higher margin products in fiscal 2015 compared to fiscal 2014, coupled with improved cost.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Selling, general and administrative expenses increased $37.4 million, or 35.0%, to $144.4 million in fiscal 2015 compared to $107.0 million in fiscal 2014. Selling, general and administrative expenses as a percentage of net sales were 47.5% and 46.1% during fiscal 2015 and fiscal 2014, respectively. The increase in selling, general and administrative expenses of $37.4 million was attributable to an increase of $15.8 million in advertising and marketing costs, $11.1 million in selling expenses and $10.5 million in general and administrative expenses.</w:t>
      </w:r>
    </w:p>
    <w:p>
      <w:pPr>
        <w:spacing w:after="0" w:line="14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$15.8 million increase in advertising and marketing costs was primarily driven by our continued marketing efforts. As a percentage of net of sales, advertising and marketing costs increased slightly by 10 basis points to 21.4% in fiscal 2015, compared to 21.3% in fiscal 2014.</w:t>
      </w:r>
    </w:p>
    <w:p>
      <w:pPr>
        <w:spacing w:after="0" w:line="141"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The $11.1 million increase in selling expense was primarily due to an increase in distribution labor as a result of increased net sales coupled with expenses incurred in the implementation of our warehouse management system and third party logistics (“3PL”) infrastructure to support the continued growth of our business and an increased in shipping expense due to increased net sales. As a percentage of net sales, selling expense increased 50 basis points to 14.0% in fiscal 2015 compared to 13.5% in fiscal 2014. The 50 basis point increase in selling expense as a percentage of net sales was primarily driven by an increase in distribution labor of 80 basis points as discussed above, partially offset by a decrease in shipping expense of 40 basis points due to favorable shipping rates, coupled with having our two 3PL’s closer to our customers, which reduced the cost of a delivered package.</w:t>
      </w:r>
    </w:p>
    <w:p>
      <w:pPr>
        <w:spacing w:after="0" w:line="14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$10.5 million increase in general and administrative expenses was primarily due to an increase in personnel expense due to the growth of our business, an increase in consulting and professional fees and an increase in depreciation expense due to retail stores, information technology and infrastructure investments. The increased consulting-related fees were primarily attributable to the implementation of our new warehouse management system and the increased professional fees were primarily due to us becoming a public company. As a percentage of net sales, general and administrative expenses increased 80 basis points to 12.1% in fiscal 2015, compared to 11.3% in fiscal 2014, primarily due to the factors discussed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$0.3 million for both fiscal 2015 and fiscal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Income tax expense was $1.3 million in fiscal 2015, which consisted of $1.2 million for a one-time deferred tax expense recognized upon the conversion to a “C” corporation and $0.1 million of expense related to activity during the portion of fiscal 2015 that we were a “C” corporation (November 25, 2015 through January 31, 2016).</w:t>
      </w:r>
    </w:p>
    <w:p>
      <w:pPr>
        <w:spacing w:after="0" w:line="14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Prior to November 25, 2015, we had been classified as an “S” corporation for federal and state income tax purposes and therefore, we had not been subject to income taxes. Prior to that date, our shareholders had been subject to income tax on their distributive share of our earnings. In connection with our IPO, we converted to a “C” corporation. On a pro forma basis, if we had been taxed as a “C” corporation at an estimated 40% effective tax rate, income taxes would have increased $2.1 million, or 21.7%, to $11.5 million in fiscal 2015 from $9.5 million in fiscal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Net income increased $3.8 million, or 16.0% to $27.4 million in fiscal 2015 compared to $23.6 million in fiscal 2014, primarily due to the factors discussed above. Applying a pro forma 40% “C” corporation effective tax rate to both fiscal 2015 and fiscal 2014, rather than the “S” corporation tax rate that actually applied to us prior to our IPO, pro forma net income increased $3.1 million, or 21.7%, to $17.3 million in fiscal 2015 from $14.2 million in fiscal 2014.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to Fiscal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Net sales increased $68.8 million, or 42.2%, to $231.9 million in fiscal 2014 compared to $163.1 million in fiscal 2013, driven by gains in both direct and retail segments of $56.0 million, or 36.6%, and $12.8 million, or 125.2%, respectively, across virtually all product categories. The direct net sales gains were largely attributable to our marketing efforts and increased catalog circulation, which resulted in greater e-commerce traffic to our website and sales through our call center. The $12.8 million increase in retail net sales was primarily attributable to the opening of two new stores during fiscal year 2014 coupled with full fiscal year sales related to our Bloomington store, which opened in October 2013. The two new stores contributed net sales of $7.3 million in fiscal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Gross profit increased $39.0 million, or 42.4%, to $131.0 million in fiscal 2014 compared to $92.0 million in fiscal 2013. As a percentage of net sales, gross margin increased slightly to 56.5% of net sales in fiscal 2014 compared to 56.4% of net sales in fiscal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Selling, general and administrative expenses increased $31.2 million, or 41.1%, to $107.0 million in fiscal 2014 compared to $75.8 million in fiscal 2013. Selling, general and administrative expenses as percentage of net sales were 46.1% and 46.5% during fiscal 2014 and fiscal 2013, respectively. The increase in selling, general and administrative expenses of $31.2 million was primarily attributable to increases of $12.1 million in advertising and marketing costs, $10.3 million in selling expenses and $8.8 million in general and administrative expenses. The increase in selling expenses was consistent with the corresponding increase in net sales. The increase in general and administrative expenses was primarily due to an increase in personnel expenses and consulting services to support our growth. The increase in advertising and marketing costs was driven by an expansion of our national advertising campaign, coupled with an increase in catalog expenses primarily due to increased circulation. The increase in selling expenses was primarily driven by increased sales.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Interest expense increased $0.1 million to $0.3 million in fiscal 2014 compared to $0.2 million in fiscal 2013. The increase in interest expense was primarily due to a higher average balance drawn on the line of credit during fiscal 2014 as compared to fiscal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Prior to November 25, 2015, we had been classified as an “S” corporation for federal and state income tax purposes and therefore, we had not been subject to income taxes. Prior to that date, our shareholders had been subject to income tax on their distributive share of our earnings. In connection with our IPO, we converted to a “C” corporation. On a pro forma basis, if we had been taxed as a “C” corporation at an estimated 40% effective tax rate, income taxes would have increased $3.3 million, or 52.4%, to $9.5 million in fiscal 2014 from $6.2 million in fiscal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Net income increased $8.1 million, or 52.4%, to $23.6 million in fiscal 2014 compared to $15.5 million in fiscal 2013, primarily due to the factors discussed above. Applying a pro forma 40% “C” corporation effective tax rate to both fiscal years, rather than the “S” corporation tax rate that actually applied to us, pro forma net income increased $4.9 million, or 52.4%, to $14.2 million in fiscal 2014 from $9.3 million in fiscal 2013.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39" w:name="page40"/>
    <w:bookmarkEnd w:id="3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02" w:lineRule="exact"/>
        <w:rPr>
          <w:sz w:val="20"/>
          <w:szCs w:val="20"/>
          <w:color w:val="auto"/>
        </w:rPr>
      </w:pPr>
    </w:p>
    <w:p>
      <w:pPr>
        <w:jc w:val="both"/>
        <w:ind w:left="20" w:right="20" w:firstLine="441"/>
        <w:spacing w:after="0" w:line="264" w:lineRule="auto"/>
        <w:rPr>
          <w:sz w:val="20"/>
          <w:szCs w:val="20"/>
          <w:color w:val="auto"/>
        </w:rPr>
      </w:pPr>
      <w:r>
        <w:rPr>
          <w:rFonts w:ascii="Arial" w:cs="Arial" w:eastAsia="Arial" w:hAnsi="Arial"/>
          <w:sz w:val="18"/>
          <w:szCs w:val="18"/>
          <w:color w:val="auto"/>
        </w:rPr>
        <w:t>The following table represents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8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February 1, 2015</w:t>
            </w:r>
          </w:p>
        </w:tc>
        <w:tc>
          <w:tcPr>
            <w:tcW w:w="18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rPr>
              <w:t>February 2, 2014</w:t>
            </w: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Non-cash stock based compensation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2"/>
        </w:trPr>
        <w:tc>
          <w:tcPr>
            <w:tcW w:w="4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Payment of grantees' tax liabilities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associated with grant of</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restricted stock awards</w:t>
            </w: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17,624</w:t>
            </w:r>
          </w:p>
        </w:tc>
      </w:tr>
    </w:tbl>
    <w:p>
      <w:pPr>
        <w:spacing w:after="0" w:line="202" w:lineRule="exact"/>
        <w:rPr>
          <w:sz w:val="20"/>
          <w:szCs w:val="20"/>
          <w:color w:val="auto"/>
        </w:rPr>
      </w:pPr>
    </w:p>
    <w:p>
      <w:pPr>
        <w:ind w:left="20" w:right="140" w:firstLine="441"/>
        <w:spacing w:after="0" w:line="312"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$7.3 million, or 27.5%, to $34.0 million in fiscal 2015 compared to $26.7 million in fiscal 2014. As a percentage of net sales, Adjusted EBITDA decreased 30 basis points to 11.2% of net sales in fiscal 2015 compared to 11.5% of net sales in fiscal 2014.</w:t>
      </w:r>
    </w:p>
    <w:p>
      <w:pPr>
        <w:spacing w:after="0" w:line="106" w:lineRule="exact"/>
        <w:rPr>
          <w:sz w:val="20"/>
          <w:szCs w:val="20"/>
          <w:color w:val="auto"/>
        </w:rPr>
      </w:pPr>
    </w:p>
    <w:p>
      <w:pPr>
        <w:ind w:left="20" w:right="140" w:firstLine="441"/>
        <w:spacing w:after="0" w:line="286"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$9.0 million, or 51.3%, to $26.7 million in fiscal 2014 compared to $17.6 million in fiscal 2013. As a percentage of net sales, Adjusted EBITDA increased 70 basis points to 11.5% of net sales in fiscal 2014 compared to 10.8% of net sales in fiscal 2013.</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20" w:right="220" w:firstLine="441"/>
        <w:spacing w:after="0" w:line="259" w:lineRule="auto"/>
        <w:rPr>
          <w:sz w:val="20"/>
          <w:szCs w:val="20"/>
          <w:color w:val="auto"/>
        </w:rPr>
      </w:pPr>
      <w:r>
        <w:rPr>
          <w:rFonts w:ascii="Arial" w:cs="Arial" w:eastAsia="Arial" w:hAnsi="Arial"/>
          <w:sz w:val="18"/>
          <w:szCs w:val="18"/>
          <w:color w:val="auto"/>
        </w:rPr>
        <w:t>Our business relies on cash from operating activities as well as cash on hand and a $40 million revolving line of credit as our primary sources of liquidity. Our primary cash needs have been for inventory, payroll, store leases, and capital expenditures associated with opening new stores, infrastructure and information technology. The most significant components of our working capital are cash, inventory, accounts payable and other current liabilities.</w:t>
      </w:r>
    </w:p>
    <w:p>
      <w:pPr>
        <w:spacing w:after="0" w:line="160" w:lineRule="exact"/>
        <w:rPr>
          <w:sz w:val="20"/>
          <w:szCs w:val="20"/>
          <w:color w:val="auto"/>
        </w:rPr>
      </w:pPr>
    </w:p>
    <w:p>
      <w:pPr>
        <w:ind w:left="20" w:firstLine="441"/>
        <w:spacing w:after="0" w:line="253" w:lineRule="auto"/>
        <w:rPr>
          <w:sz w:val="20"/>
          <w:szCs w:val="20"/>
          <w:color w:val="auto"/>
        </w:rPr>
      </w:pPr>
      <w:r>
        <w:rPr>
          <w:rFonts w:ascii="Arial" w:cs="Arial" w:eastAsia="Arial" w:hAnsi="Arial"/>
          <w:sz w:val="18"/>
          <w:szCs w:val="18"/>
          <w:color w:val="auto"/>
        </w:rPr>
        <w:t>We expect to spend approximately $24.0 million to $25.0 million in fiscal 2016 on capital expenditures, including a total of approximately $10.0 million to $11.0 million for new retail store expansion. We expect it will take approximately $2.0 million to $2.6 million in capital expenditures and starting inventory to open a new store. At January 31, 2016, our working capital was $73.7 million, which includes cash of $37.9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 During the first three quarters of our fiscal year, we utilize our revolving line of credit facility to finance these cash requirements.</w:t>
      </w:r>
    </w:p>
    <w:p>
      <w:pPr>
        <w:spacing w:after="0" w:line="157" w:lineRule="exact"/>
        <w:rPr>
          <w:sz w:val="20"/>
          <w:szCs w:val="20"/>
          <w:color w:val="auto"/>
        </w:rPr>
      </w:pPr>
    </w:p>
    <w:p>
      <w:pPr>
        <w:jc w:val="both"/>
        <w:ind w:left="20" w:right="20" w:firstLine="441"/>
        <w:spacing w:after="0" w:line="264" w:lineRule="auto"/>
        <w:rPr>
          <w:sz w:val="20"/>
          <w:szCs w:val="20"/>
          <w:color w:val="auto"/>
        </w:rPr>
      </w:pPr>
      <w:r>
        <w:rPr>
          <w:rFonts w:ascii="Arial" w:cs="Arial" w:eastAsia="Arial" w:hAnsi="Arial"/>
          <w:sz w:val="18"/>
          <w:szCs w:val="18"/>
          <w:color w:val="auto"/>
        </w:rPr>
        <w:t>We believe that our cash balance as of January 31, 2016,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0" w:name="page41"/>
    <w:bookmarkEnd w:id="4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2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February 1, 2015</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2014</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14,214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(7,147)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(4,214)</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23,140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0" w:type="dxa"/>
            <w:vAlign w:val="bottom"/>
          </w:tcPr>
          <w:p>
            <w:pPr>
              <w:spacing w:after="0"/>
              <w:rPr>
                <w:sz w:val="18"/>
                <w:szCs w:val="18"/>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Increase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0"/>
              </w:rPr>
              <w:t>29,992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20" w:type="dxa"/>
            <w:vAlign w:val="bottom"/>
          </w:tcPr>
          <w:p>
            <w:pPr>
              <w:spacing w:after="0"/>
              <w:rPr>
                <w:sz w:val="18"/>
                <w:szCs w:val="18"/>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85" w:lineRule="exact"/>
        <w:rPr>
          <w:sz w:val="20"/>
          <w:szCs w:val="20"/>
          <w:color w:val="auto"/>
        </w:rPr>
      </w:pPr>
    </w:p>
    <w:p>
      <w:pPr>
        <w:jc w:val="both"/>
        <w:ind w:left="20" w:right="20" w:firstLine="441"/>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97"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For fiscal 2015, net cash provided by operating activities was $14.2 million, which consisted of net income of $27.7 million, non-cash depreciation and amortization of $2.8 million and amortization of stock-based compensation of $0.7 million, offset by cash used in operating assets and liabilities of $17.1 million. The cash used in operating assets and liabilities of $17.1 million primarily consisted of $14.6 million increase in inventory and prepaid expenses due to growth, coupled with a $5.5 million decrease in trade accounts payable due to timing of payments, which was partially offset by an increase in income taxes payable of $1.3 million due to our conversion from a “S” corporation to a “C” corporation.</w:t>
      </w:r>
    </w:p>
    <w:p>
      <w:pPr>
        <w:spacing w:after="0" w:line="153"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For fiscal 2014, net cash provided by operating activities was $22.6 million, which consisted of net income of $24.1 million, non-cash depreciation and amortization of $1.8 million and other of $0.1 million, offset by cash used in operating assets and liabilities of $3.4 million. The cash used in operating assets and liabilities of $3.4 million primarily consisted of $11.8 million increase in inventory and prepaid expenses due to growth and opening of new stores, partially offset by $7.9 million increase in trade accounts payable and accrued expenses due to timing of payments.</w:t>
      </w:r>
    </w:p>
    <w:p>
      <w:pPr>
        <w:spacing w:after="0" w:line="148" w:lineRule="exact"/>
        <w:rPr>
          <w:sz w:val="20"/>
          <w:szCs w:val="20"/>
          <w:color w:val="auto"/>
        </w:rPr>
      </w:pPr>
    </w:p>
    <w:p>
      <w:pPr>
        <w:ind w:left="20" w:right="60" w:firstLine="441"/>
        <w:spacing w:after="0" w:line="257" w:lineRule="auto"/>
        <w:rPr>
          <w:sz w:val="20"/>
          <w:szCs w:val="20"/>
          <w:color w:val="auto"/>
        </w:rPr>
      </w:pPr>
      <w:r>
        <w:rPr>
          <w:rFonts w:ascii="Arial" w:cs="Arial" w:eastAsia="Arial" w:hAnsi="Arial"/>
          <w:sz w:val="18"/>
          <w:szCs w:val="18"/>
          <w:color w:val="auto"/>
        </w:rPr>
        <w:t>For fiscal 2013, net cash provided by operating activities was $16.4 million, which consisted of net income of $16.1 million, non-cash depreciation and amortization of $1.2 million and other of $0.1 million, offset by cash used in operating assets and liabilities of $1.0 million. The cash used in operating assets and liabilities of $1.0 million primarily consisted of $8.6 million increase in inventory and prepaid expenses due to growth, partially offset by $7.5 million increase in trade accounts payable and accrued expense due to timing of payments.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left="20" w:right="160" w:firstLine="441"/>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For fiscal 2015, net cash used in investing activities was $7.4 million, primarily driven by capital expenditures related to the opening of three new stores, coupled with the implementation of our warehouse management system.</w:t>
      </w:r>
    </w:p>
    <w:p>
      <w:pPr>
        <w:spacing w:after="0" w:line="143"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For fiscal 2014, net cash used in investing activities was $7.1 million, primarily driven by capital expenditures of $5.3 million, due mainly to the opening of new corporate office facilities and two new stores, coupled with cash used of $1.8 million for the deconsolidation of Schlecht Enterprises, as discussed above.</w:t>
      </w:r>
    </w:p>
    <w:p>
      <w:pPr>
        <w:spacing w:after="0" w:line="141" w:lineRule="exact"/>
        <w:rPr>
          <w:sz w:val="20"/>
          <w:szCs w:val="20"/>
          <w:color w:val="auto"/>
        </w:rPr>
      </w:pPr>
    </w:p>
    <w:p>
      <w:pPr>
        <w:ind w:left="20" w:right="140" w:firstLine="441"/>
        <w:spacing w:after="0" w:line="264" w:lineRule="auto"/>
        <w:rPr>
          <w:sz w:val="20"/>
          <w:szCs w:val="20"/>
          <w:color w:val="auto"/>
        </w:rPr>
      </w:pPr>
      <w:r>
        <w:rPr>
          <w:rFonts w:ascii="Arial" w:cs="Arial" w:eastAsia="Arial" w:hAnsi="Arial"/>
          <w:sz w:val="18"/>
          <w:szCs w:val="18"/>
          <w:color w:val="auto"/>
        </w:rPr>
        <w:t>For fiscal 2013, net cash used in investing activities was $4.2 million, primarily driven by capital expenditures of $4.0 million for the opening of one new store, the acquisition of new corporate office facilities and technology related improvements at our existing corporate office facilities.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98" w:lineRule="exact"/>
        <w:rPr>
          <w:sz w:val="20"/>
          <w:szCs w:val="20"/>
          <w:color w:val="auto"/>
        </w:rPr>
      </w:pPr>
    </w:p>
    <w:p>
      <w:pPr>
        <w:ind w:left="20" w:right="40" w:firstLine="441"/>
        <w:spacing w:after="0" w:line="312" w:lineRule="auto"/>
        <w:rPr>
          <w:sz w:val="20"/>
          <w:szCs w:val="20"/>
          <w:color w:val="auto"/>
        </w:rPr>
      </w:pPr>
      <w:r>
        <w:rPr>
          <w:rFonts w:ascii="Arial" w:cs="Arial" w:eastAsia="Arial" w:hAnsi="Arial"/>
          <w:sz w:val="16"/>
          <w:szCs w:val="16"/>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entities and capital contributions to Schlecht Enterprises LLC and Schlecht Retail Ventures LLC.</w:t>
      </w:r>
    </w:p>
    <w:p>
      <w:pPr>
        <w:spacing w:after="0" w:line="106" w:lineRule="exact"/>
        <w:rPr>
          <w:sz w:val="20"/>
          <w:szCs w:val="20"/>
          <w:color w:val="auto"/>
        </w:rPr>
      </w:pPr>
    </w:p>
    <w:p>
      <w:pPr>
        <w:ind w:left="20" w:right="180" w:firstLine="441"/>
        <w:spacing w:after="0" w:line="286" w:lineRule="auto"/>
        <w:rPr>
          <w:sz w:val="20"/>
          <w:szCs w:val="20"/>
          <w:color w:val="auto"/>
        </w:rPr>
      </w:pPr>
      <w:r>
        <w:rPr>
          <w:rFonts w:ascii="Arial" w:cs="Arial" w:eastAsia="Arial" w:hAnsi="Arial"/>
          <w:sz w:val="17"/>
          <w:szCs w:val="17"/>
          <w:color w:val="auto"/>
        </w:rPr>
        <w:t>For fiscal 2015, net cash provided by financing activities was $23.1 million, primarily consisting of $83.9 million in net proceeds from our IPO, which was consummated during the fourth quarter, proceeds of $47.1 million from long term debt and $0.3 million for capital contributions to variable interest entities, partially offset by uses of $60.1 million for distributions to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1" w:name="page42"/>
    <w:bookmarkEnd w:id="4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20" w:right="240"/>
        <w:spacing w:after="0" w:line="342" w:lineRule="auto"/>
        <w:rPr>
          <w:sz w:val="20"/>
          <w:szCs w:val="20"/>
          <w:color w:val="auto"/>
        </w:rPr>
      </w:pPr>
      <w:r>
        <w:rPr>
          <w:rFonts w:ascii="Arial" w:cs="Arial" w:eastAsia="Arial" w:hAnsi="Arial"/>
          <w:sz w:val="16"/>
          <w:szCs w:val="16"/>
          <w:color w:val="auto"/>
        </w:rPr>
        <w:t>then shareholders due to our “S” corporation status prior to our IPO, $0.6 million net payment on our revolving line of credit, $0.4 million in distributions to holders of noncontrolling interest in variable interest entities and $0.3 million of capital lease payments.</w:t>
      </w:r>
    </w:p>
    <w:p>
      <w:pPr>
        <w:spacing w:after="0" w:line="97" w:lineRule="exact"/>
        <w:rPr>
          <w:sz w:val="20"/>
          <w:szCs w:val="20"/>
          <w:color w:val="auto"/>
        </w:rPr>
      </w:pPr>
    </w:p>
    <w:p>
      <w:pPr>
        <w:ind w:left="20" w:right="180" w:firstLine="441"/>
        <w:spacing w:after="0" w:line="257" w:lineRule="auto"/>
        <w:rPr>
          <w:sz w:val="20"/>
          <w:szCs w:val="20"/>
          <w:color w:val="auto"/>
        </w:rPr>
      </w:pPr>
      <w:r>
        <w:rPr>
          <w:rFonts w:ascii="Arial" w:cs="Arial" w:eastAsia="Arial" w:hAnsi="Arial"/>
          <w:sz w:val="18"/>
          <w:szCs w:val="18"/>
          <w:color w:val="auto"/>
        </w:rPr>
        <w:t>For fiscal 2014, net cash used in financing activities was $15.1 million, primarily consisting of uses of $15.1 million in tax distributions to our shareholders due to our “S” corporation status, driven by our higher net income in fiscal 2014 and the timing of distributions relating to net income generated in fiscal 2013, $0.9 million for payments on mortgage notes and $0.3 million in distributions to holders of noncontrolling interest in variable interest entities, offset by proceeds of $0.6 million, net from our revolving line of credit and $0.6 million from long-term obligations.</w:t>
      </w:r>
    </w:p>
    <w:p>
      <w:pPr>
        <w:spacing w:after="0" w:line="148" w:lineRule="exact"/>
        <w:rPr>
          <w:sz w:val="20"/>
          <w:szCs w:val="20"/>
          <w:color w:val="auto"/>
        </w:rPr>
      </w:pPr>
    </w:p>
    <w:p>
      <w:pPr>
        <w:ind w:left="20" w:right="120" w:firstLine="441"/>
        <w:spacing w:after="0" w:line="259" w:lineRule="auto"/>
        <w:rPr>
          <w:sz w:val="20"/>
          <w:szCs w:val="20"/>
          <w:color w:val="auto"/>
        </w:rPr>
      </w:pPr>
      <w:r>
        <w:rPr>
          <w:rFonts w:ascii="Arial" w:cs="Arial" w:eastAsia="Arial" w:hAnsi="Arial"/>
          <w:sz w:val="18"/>
          <w:szCs w:val="18"/>
          <w:color w:val="auto"/>
        </w:rPr>
        <w:t>For fiscal 2013, net cash used in financing activities was $4.9 million, primarily consisting of uses of $4.4 million in tax distributions to our shareholders due to our “S” corporation status, $0.4 million for payments on mortgage notes, $0.5 million in distributions to holders of noncontrolling interest in variable interest entities and a $0.4 million change in bank overdrafts, offset by proceeds of $0.7 million for capital contributions to variable interest entities.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 of Credit</w:t>
      </w:r>
    </w:p>
    <w:p>
      <w:pPr>
        <w:spacing w:after="0" w:line="198" w:lineRule="exact"/>
        <w:rPr>
          <w:sz w:val="20"/>
          <w:szCs w:val="20"/>
          <w:color w:val="auto"/>
        </w:rPr>
      </w:pPr>
    </w:p>
    <w:p>
      <w:pPr>
        <w:ind w:left="20" w:right="60" w:firstLine="441"/>
        <w:spacing w:after="0" w:line="272" w:lineRule="auto"/>
        <w:rPr>
          <w:sz w:val="20"/>
          <w:szCs w:val="20"/>
          <w:color w:val="auto"/>
        </w:rPr>
      </w:pPr>
      <w:r>
        <w:rPr>
          <w:rFonts w:ascii="Arial" w:cs="Arial" w:eastAsia="Arial" w:hAnsi="Arial"/>
          <w:sz w:val="17"/>
          <w:szCs w:val="17"/>
          <w:color w:val="auto"/>
        </w:rPr>
        <w:t>We have a $40.0 million revolving line of credit from BMO Harris Bank N.A., subject to certain borrowing base limits, which expires July 2018 and bears interest, payable monthly, at a rate equal to the one-month LIBOR rate plus 1.25 percentage points. The revolving line of credit agreement is secured by essentially all Company assets and requires that we maintain certain financial and non-financial covenants, including a minimum tangible net worth and a minimum trailing twelve month EBITDA. As of January 31, 2016, we had no borrowings on our revolving line of credit and the undrawn borrowing availability under the revolving line of credit was $27.7 million, as funds are limited by borrowing base constraints. As of and for the fiscal year ended January 31, 2016, we were in compliance with all financial and non-financial covenants.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We enter into long term contractual obligations and commitments in the normal course of business. As of January 31, 2016, our contractual cash obligations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Maturing in:</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98"/>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2021</w:t>
            </w:r>
          </w:p>
        </w:tc>
      </w:tr>
      <w:tr>
        <w:trPr>
          <w:trHeight w:val="203"/>
        </w:trPr>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w:t>
            </w:r>
          </w:p>
        </w:tc>
        <w:tc>
          <w:tcPr>
            <w:tcW w:w="280" w:type="dxa"/>
            <w:vAlign w:val="bottom"/>
          </w:tcPr>
          <w:p>
            <w:pPr>
              <w:spacing w:after="0"/>
              <w:rPr>
                <w:sz w:val="17"/>
                <w:szCs w:val="17"/>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b w:val="1"/>
                <w:bCs w:val="1"/>
                <w:color w:val="auto"/>
              </w:rPr>
              <w:t>and</w:t>
            </w:r>
          </w:p>
        </w:tc>
      </w:tr>
      <w:tr>
        <w:trPr>
          <w:trHeight w:val="188"/>
        </w:trPr>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after</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r>
              <w:rPr>
                <w:rFonts w:ascii="Arial" w:cs="Arial" w:eastAsia="Arial" w:hAnsi="Arial"/>
                <w:sz w:val="7"/>
                <w:szCs w:val="7"/>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7"/>
                <w:szCs w:val="7"/>
                <w:color w:val="auto"/>
              </w:rPr>
              <w:t>(2)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7"/>
                <w:szCs w:val="7"/>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r>
      <w:tr>
        <w:trPr>
          <w:trHeight w:val="217"/>
        </w:trPr>
        <w:tc>
          <w:tcPr>
            <w:tcW w:w="28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25,585</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w:t>
            </w: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_____________________________</w:t>
      </w:r>
    </w:p>
    <w:p>
      <w:pPr>
        <w:spacing w:after="0" w:line="96" w:lineRule="exact"/>
        <w:rPr>
          <w:sz w:val="20"/>
          <w:szCs w:val="20"/>
          <w:color w:val="auto"/>
        </w:rPr>
      </w:pPr>
    </w:p>
    <w:p>
      <w:pPr>
        <w:ind w:left="960" w:hanging="950"/>
        <w:spacing w:after="0"/>
        <w:tabs>
          <w:tab w:leader="none" w:pos="9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mortgage notes.</w:t>
      </w:r>
    </w:p>
    <w:p>
      <w:pPr>
        <w:spacing w:after="0" w:line="95" w:lineRule="exact"/>
        <w:rPr>
          <w:rFonts w:ascii="Arial" w:cs="Arial" w:eastAsia="Arial" w:hAnsi="Arial"/>
          <w:sz w:val="14"/>
          <w:szCs w:val="14"/>
          <w:color w:val="auto"/>
        </w:rPr>
      </w:pPr>
    </w:p>
    <w:p>
      <w:pPr>
        <w:ind w:left="180" w:right="200" w:hanging="170"/>
        <w:spacing w:after="0" w:line="291" w:lineRule="auto"/>
        <w:tabs>
          <w:tab w:leader="none" w:pos="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capital leases represent minimum lease payments, including imputed interest not reflected in the Consolidated Statements of Financial Position and Notes to Consolidated Financial Statements included elsewhere in this Annual Report.</w:t>
      </w:r>
    </w:p>
    <w:p>
      <w:pPr>
        <w:spacing w:after="0" w:line="42" w:lineRule="exact"/>
        <w:rPr>
          <w:rFonts w:ascii="Arial" w:cs="Arial" w:eastAsia="Arial" w:hAnsi="Arial"/>
          <w:sz w:val="13"/>
          <w:szCs w:val="13"/>
          <w:color w:val="auto"/>
        </w:rPr>
      </w:pPr>
    </w:p>
    <w:p>
      <w:pPr>
        <w:ind w:left="180" w:right="160" w:hanging="170"/>
        <w:spacing w:after="0" w:line="291" w:lineRule="auto"/>
        <w:tabs>
          <w:tab w:leader="none" w:pos="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store leases generally have initial lease terms of 5-10 years and include renewal options on substantially the same terms and conditions as the original leases. Includes related party leases.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We are not a party to any off balance sheet arrangements, except for operating leases, as discussed in “Contractual Obligations” section above.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20" w:right="240" w:firstLine="441"/>
        <w:spacing w:after="0" w:line="29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evaluated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recognize revenue from direct sales generally upon customer receipt of the product and from retail sales at the point of sale. This represents the point at which all risks and rewards of ownership of the product are passed, there is persuasive evidence that an arrangement exists, title has passed to the customer, the price to the buyer is fixed or determinable and collectability is reasonably assured.</w:t>
      </w:r>
    </w:p>
    <w:p>
      <w:pPr>
        <w:spacing w:after="0" w:line="146" w:lineRule="exact"/>
        <w:rPr>
          <w:sz w:val="20"/>
          <w:szCs w:val="20"/>
          <w:color w:val="auto"/>
        </w:rPr>
      </w:pPr>
    </w:p>
    <w:p>
      <w:pPr>
        <w:jc w:val="both"/>
        <w:ind w:right="680" w:firstLine="441"/>
        <w:spacing w:after="0" w:line="342" w:lineRule="auto"/>
        <w:rPr>
          <w:sz w:val="20"/>
          <w:szCs w:val="20"/>
          <w:color w:val="auto"/>
        </w:rPr>
      </w:pPr>
      <w:r>
        <w:rPr>
          <w:rFonts w:ascii="Arial" w:cs="Arial" w:eastAsia="Arial" w:hAnsi="Arial"/>
          <w:sz w:val="16"/>
          <w:szCs w:val="16"/>
          <w:color w:val="auto"/>
        </w:rPr>
        <w:t>We recognize shipping and handling fees as revenue included in net sales when generated from a customer order upon customer receipt of the product. Costs of shipping and handling are included in selling, general and administrative expenses.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tax collected is not recognized as revenue as it is ultimately remitted to governmental authorities.</w:t>
      </w:r>
    </w:p>
    <w:p>
      <w:pPr>
        <w:spacing w:after="0" w:line="18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9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inventories are composed of finished goods and are stated at the lower of cost or market, with cost determined using the first-in, first-out method. Market is determined based on net realizable value, which includes the cost to dispose. To determine if the value of inventory should be marked down below original cost, we consider current and anticipated demand, customer preference and the inventory’s age. The inventory value is adjusted periodically to reflect current market conditions, which requires our judgments that may significantly affect the ending inventory valuation, as well as gross margin. The significant estimates used in inventory valuation are obsolescence (including excess and slow-moving inventory and lower of cost or market reserves) and estimates of inventory shrinkage. We adjust our inventory for obsolescence based on historical trends, aging reports, specific identification and our estimates of future retail sales prices.</w:t>
      </w:r>
    </w:p>
    <w:p>
      <w:pPr>
        <w:spacing w:after="0" w:line="138"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Conditions that may indicate impairment include, but are not limited to, a significant adverse change in customer demand or business climate that could affect the value of an asset, a product recall or an adverse action or an assessment by a regulator.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Impairment charges are included in selling, general and administrative expenses.</w:t>
      </w:r>
    </w:p>
    <w:p>
      <w:pPr>
        <w:spacing w:after="0" w:line="149"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We evaluate long-lived tangible assets at an individual store level, which is the lowest level at which independent cash flows can be identified. We evaluate corporate assets or other long-lived assets that are not store-specific at the consolidated level.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Since there is typically no active market for our long-lived tangible assets, we estimate fair values based on the expected future cash flows. We estimate future cash flows based on store-level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Private Company Equity Grants</w:t>
      </w:r>
    </w:p>
    <w:p>
      <w:pPr>
        <w:spacing w:after="0" w:line="185"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have issued restricted shares of our Class B common stock to key employees, executives and board members under restricted stock agreements. These issuances generally vest evenly over a period ranging from two to five years from the grant date and become fully vested on the applicable anniversary date of each restricted stock agreement, unless otherwise stated in the terms of each individual award. Prior to November 19, 2015, we were a private company with no active public market for our Class B common stock. The fair value of our Class B common stock was measured on September 30, 2014, December 31, 2013 and December 31, 2012 for our fiscal years 2015, 2014 and 2013, respectively. The restricted stock value is based on the estimated fair value of our Class B common stock on the grant date, which may differ from the fair value measure dates above. In the absence of a public trading market, we considered numerous objective and subjective factors to determine our best estimate of the fair value of the restricted shares of our Class B common stock on the grant date. Our estimate of this stock-based compensation is equivalent to the fair value of our Class B common stock that is ultimately expected to vest. The stock-based compensation is recognized as compensation expense over the requisite service period or a sale or change in control of our Company if such event occurs prior to the completion of the service period.</w:t>
      </w:r>
    </w:p>
    <w:p>
      <w:pPr>
        <w:spacing w:after="0" w:line="13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estimate of pre-vesting forfeitures, or forfeiture rate, was based on our internal analysis, which included the award recipients’ positions within the company and the vesting period of the awards. As such, we estimated the forfeiture rate was zero, which resulted in our recording the gross value of the awards as stock-based compensation expense in our consolidated statements of income. We will reassess the forfeiture rate assumption in future periods.</w:t>
      </w:r>
    </w:p>
    <w:p>
      <w:pPr>
        <w:spacing w:after="0" w:line="16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Determination of Fair Value of Class B Common Stock on Grant Date. </w:t>
      </w:r>
      <w:r>
        <w:rPr>
          <w:rFonts w:ascii="Arial" w:cs="Arial" w:eastAsia="Arial" w:hAnsi="Arial"/>
          <w:sz w:val="17"/>
          <w:szCs w:val="17"/>
          <w:color w:val="auto"/>
        </w:rPr>
        <w:t>When we were a private company with no active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our Class B common stock, we determined the estimated per share fair value of our Class B common stock on the valuation date using a valuation consistent with the requirements of the IRS (Revenue Ruling 59-60), the Department of Labor (Proposed Regulation—2510.3-18(b)(4)(ii)(B)) and Uniform Standards of Professional Appraisal Practice. In conducting this valuation, we considered all objective and subjective factors that we believed to be relevant, including our best estimate of our business condition, prospects and operating performance. Within this contemporaneous valuation performed by us, a range of factors, assumptions and methodologies were used. The significant factors included:</w:t>
      </w:r>
    </w:p>
    <w:p>
      <w:pPr>
        <w:ind w:left="580" w:hanging="158"/>
        <w:spacing w:after="0" w:line="196" w:lineRule="auto"/>
        <w:tabs>
          <w:tab w:leader="none" w:pos="5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outlook and condition of the economy, the industry and our company;</w:t>
      </w:r>
    </w:p>
    <w:p>
      <w:pPr>
        <w:spacing w:after="0" w:line="97" w:lineRule="exact"/>
        <w:rPr>
          <w:rFonts w:ascii="Arial" w:cs="Arial" w:eastAsia="Arial" w:hAnsi="Arial"/>
          <w:sz w:val="29"/>
          <w:szCs w:val="29"/>
          <w:color w:val="auto"/>
          <w:vertAlign w:val="superscript"/>
        </w:rPr>
      </w:pPr>
    </w:p>
    <w:p>
      <w:pPr>
        <w:ind w:left="700" w:hanging="278"/>
        <w:spacing w:after="0" w:line="186" w:lineRule="auto"/>
        <w:tabs>
          <w:tab w:leader="none" w:pos="70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our financial condition;</w:t>
      </w:r>
    </w:p>
    <w:p>
      <w:pPr>
        <w:spacing w:after="0" w:line="96" w:lineRule="exact"/>
        <w:rPr>
          <w:rFonts w:ascii="Arial" w:cs="Arial" w:eastAsia="Arial" w:hAnsi="Arial"/>
          <w:sz w:val="24"/>
          <w:szCs w:val="24"/>
          <w:color w:val="auto"/>
          <w:vertAlign w:val="superscript"/>
        </w:rPr>
      </w:pPr>
    </w:p>
    <w:p>
      <w:pPr>
        <w:ind w:left="620" w:hanging="198"/>
        <w:spacing w:after="0" w:line="186" w:lineRule="auto"/>
        <w:tabs>
          <w:tab w:leader="none" w:pos="62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our earnings capacity and future prospects;</w:t>
      </w:r>
    </w:p>
    <w:p>
      <w:pPr>
        <w:spacing w:after="0" w:line="96" w:lineRule="exact"/>
        <w:rPr>
          <w:rFonts w:ascii="Arial" w:cs="Arial" w:eastAsia="Arial" w:hAnsi="Arial"/>
          <w:sz w:val="24"/>
          <w:szCs w:val="24"/>
          <w:color w:val="auto"/>
          <w:vertAlign w:val="superscript"/>
        </w:rPr>
      </w:pPr>
    </w:p>
    <w:p>
      <w:pPr>
        <w:ind w:left="660" w:hanging="238"/>
        <w:spacing w:after="0" w:line="186"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our dividend paying capacity;</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historic sales of our Class B common stock and size of the block of Class B common stock to be valued;</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market prices of publicly traded securities of companies engaged in the same or similar industry classification;</w:t>
      </w:r>
    </w:p>
    <w:p>
      <w:pPr>
        <w:spacing w:after="0" w:line="96" w:lineRule="exact"/>
        <w:rPr>
          <w:rFonts w:ascii="Arial" w:cs="Arial" w:eastAsia="Arial" w:hAnsi="Arial"/>
          <w:sz w:val="24"/>
          <w:szCs w:val="24"/>
          <w:color w:val="auto"/>
          <w:vertAlign w:val="superscript"/>
        </w:rPr>
      </w:pPr>
    </w:p>
    <w:p>
      <w:pPr>
        <w:ind w:left="560" w:hanging="138"/>
        <w:spacing w:after="0" w:line="186" w:lineRule="auto"/>
        <w:tabs>
          <w:tab w:leader="none" w:pos="5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prices, terms and conditions affecting past sales of similar Class B common stock;</w:t>
      </w:r>
    </w:p>
    <w:p>
      <w:pPr>
        <w:spacing w:after="0" w:line="96" w:lineRule="exact"/>
        <w:rPr>
          <w:rFonts w:ascii="Arial" w:cs="Arial" w:eastAsia="Arial" w:hAnsi="Arial"/>
          <w:sz w:val="24"/>
          <w:szCs w:val="24"/>
          <w:color w:val="auto"/>
          <w:vertAlign w:val="superscript"/>
        </w:rPr>
      </w:pPr>
    </w:p>
    <w:p>
      <w:pPr>
        <w:ind w:left="580" w:hanging="158"/>
        <w:spacing w:after="0" w:line="186" w:lineRule="auto"/>
        <w:tabs>
          <w:tab w:leader="none" w:pos="5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marketability and liquidity considerations of our Class B common stock;</w:t>
      </w:r>
    </w:p>
    <w:p>
      <w:pPr>
        <w:spacing w:after="0" w:line="96" w:lineRule="exact"/>
        <w:rPr>
          <w:rFonts w:ascii="Arial" w:cs="Arial" w:eastAsia="Arial" w:hAnsi="Arial"/>
          <w:sz w:val="24"/>
          <w:szCs w:val="24"/>
          <w:color w:val="auto"/>
          <w:vertAlign w:val="superscript"/>
        </w:rPr>
      </w:pPr>
    </w:p>
    <w:p>
      <w:pPr>
        <w:ind w:left="540" w:hanging="118"/>
        <w:spacing w:after="0" w:line="186" w:lineRule="auto"/>
        <w:tabs>
          <w:tab w:leader="none" w:pos="5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physical condition, remaining life expectancy and functional and economic utility of our property and equipment; and</w:t>
      </w:r>
    </w:p>
    <w:p>
      <w:pPr>
        <w:spacing w:after="0" w:line="96" w:lineRule="exact"/>
        <w:rPr>
          <w:rFonts w:ascii="Arial" w:cs="Arial" w:eastAsia="Arial" w:hAnsi="Arial"/>
          <w:sz w:val="24"/>
          <w:szCs w:val="24"/>
          <w:color w:val="auto"/>
          <w:vertAlign w:val="superscript"/>
        </w:rPr>
      </w:pPr>
    </w:p>
    <w:p>
      <w:pPr>
        <w:ind w:left="660" w:hanging="238"/>
        <w:spacing w:after="0" w:line="186"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relative risk of the investment.</w:t>
      </w:r>
    </w:p>
    <w:p>
      <w:pPr>
        <w:spacing w:after="0" w:line="175"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After considering the information presented by our management, our board of directors rendered its final fair value determination.</w:t>
      </w:r>
    </w:p>
    <w:p>
      <w:pPr>
        <w:spacing w:after="0" w:line="13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 xml:space="preserve">Class B Common Stock Valuation Methodologies. </w:t>
      </w:r>
      <w:r>
        <w:rPr>
          <w:rFonts w:ascii="Arial" w:cs="Arial" w:eastAsia="Arial" w:hAnsi="Arial"/>
          <w:sz w:val="18"/>
          <w:szCs w:val="18"/>
          <w:color w:val="auto"/>
        </w:rPr>
        <w:t>For the valuation of our Class B common stock, management estimated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valuation date, our common equity value on a continuing operations basis, primarily using the income and market comparable approaches. The common equity value is the difference between the business enterprise value and debt value after adjustment for a marketability and liquidity discount of five percent.</w:t>
      </w:r>
    </w:p>
    <w:p>
      <w:pPr>
        <w:spacing w:after="0" w:line="16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The income approach utilized the discounted cash flow (“DCF”) methodology by discounting the anticipated cash flow stream from business operations. This valuation analysis involved a discrete projection of operating cash flow and a residual value calculation at the end of the projection. The discounted cash flow was based on a detailed projection of sales, cost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4" w:name="page45"/>
    <w:bookmarkEnd w:id="44"/>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 w:right="220"/>
        <w:spacing w:after="0" w:line="308" w:lineRule="auto"/>
        <w:rPr>
          <w:sz w:val="20"/>
          <w:szCs w:val="20"/>
          <w:color w:val="auto"/>
        </w:rPr>
      </w:pPr>
      <w:r>
        <w:rPr>
          <w:rFonts w:ascii="Arial" w:cs="Arial" w:eastAsia="Arial" w:hAnsi="Arial"/>
          <w:sz w:val="17"/>
          <w:szCs w:val="17"/>
          <w:color w:val="auto"/>
        </w:rPr>
        <w:t>sales, operating expenses, depreciation, taxes, capital expenditures and working capital changes. Both the projected cash flows and residual value were discounted to present value based on a weighted average cost of capital calculation.</w:t>
      </w:r>
    </w:p>
    <w:p>
      <w:pPr>
        <w:spacing w:after="0" w:line="120" w:lineRule="exact"/>
        <w:rPr>
          <w:sz w:val="20"/>
          <w:szCs w:val="20"/>
          <w:color w:val="auto"/>
        </w:rPr>
      </w:pPr>
    </w:p>
    <w:p>
      <w:pPr>
        <w:ind w:left="10" w:right="160" w:firstLine="441"/>
        <w:spacing w:after="0" w:line="291" w:lineRule="auto"/>
        <w:rPr>
          <w:sz w:val="20"/>
          <w:szCs w:val="20"/>
          <w:color w:val="auto"/>
        </w:rPr>
      </w:pPr>
      <w:r>
        <w:rPr>
          <w:rFonts w:ascii="Arial" w:cs="Arial" w:eastAsia="Arial" w:hAnsi="Arial"/>
          <w:sz w:val="16"/>
          <w:szCs w:val="16"/>
          <w:color w:val="auto"/>
        </w:rPr>
        <w:t>The market comparable approach utilizes earnings, sales and equity price ratios from comparable transactions. This was a process of collecting relevant market data, adjusting for comparability differences and applying price multipliers to the earnings, sales and operating equity of the company. Our market comparable analysis derived values based on stock transactions involving publicly traded companies because of the availability of complete and consistent information. Comparable companies were selected after a database search based on standard industrial codes of publicly traded companies. Earnings multipliers are a function of earnings growth and earnings volatility. Earnings multipliers derived for us were below the averages for the comparable companies because of our higher asset utilization, smaller size and higher return on assets.</w:t>
      </w:r>
    </w:p>
    <w:p>
      <w:pPr>
        <w:spacing w:after="0" w:line="127" w:lineRule="exact"/>
        <w:rPr>
          <w:sz w:val="20"/>
          <w:szCs w:val="20"/>
          <w:color w:val="auto"/>
        </w:rPr>
      </w:pPr>
    </w:p>
    <w:p>
      <w:pPr>
        <w:ind w:left="10" w:right="280" w:firstLine="441"/>
        <w:spacing w:after="0" w:line="277" w:lineRule="auto"/>
        <w:rPr>
          <w:sz w:val="20"/>
          <w:szCs w:val="20"/>
          <w:color w:val="auto"/>
        </w:rPr>
      </w:pPr>
      <w:r>
        <w:rPr>
          <w:rFonts w:ascii="Arial" w:cs="Arial" w:eastAsia="Arial" w:hAnsi="Arial"/>
          <w:sz w:val="18"/>
          <w:szCs w:val="18"/>
          <w:color w:val="auto"/>
        </w:rPr>
        <w:t>We believe that the procedures employed in the DCF and market comparable methodologies were reasonable and consistent with generally accepted practices.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10" w:right="200" w:firstLine="441"/>
        <w:spacing w:after="0" w:line="312" w:lineRule="auto"/>
        <w:rPr>
          <w:sz w:val="20"/>
          <w:szCs w:val="20"/>
          <w:color w:val="auto"/>
        </w:rPr>
      </w:pPr>
      <w:r>
        <w:rPr>
          <w:rFonts w:ascii="Arial" w:cs="Arial" w:eastAsia="Arial" w:hAnsi="Arial"/>
          <w:sz w:val="16"/>
          <w:szCs w:val="16"/>
          <w:color w:val="auto"/>
        </w:rPr>
        <w:t>Prior to November 25, 2015, we were taxed as an “S” corporation for income tax purposes under section 1362 of the Internal Revenue Code and therefore were not subject to federal and state income taxes. On November 25, 2015, our “S” corporation status terminated and we became subject to corporate-level federal and state income taxes at prevailing “C” corporation rates.</w:t>
      </w:r>
    </w:p>
    <w:p>
      <w:pPr>
        <w:spacing w:after="0" w:line="106" w:lineRule="exact"/>
        <w:rPr>
          <w:sz w:val="20"/>
          <w:szCs w:val="20"/>
          <w:color w:val="auto"/>
        </w:rPr>
      </w:pPr>
    </w:p>
    <w:p>
      <w:pPr>
        <w:jc w:val="both"/>
        <w:ind w:left="10" w:right="140" w:firstLine="441"/>
        <w:spacing w:after="0" w:line="257" w:lineRule="auto"/>
        <w:rPr>
          <w:sz w:val="20"/>
          <w:szCs w:val="20"/>
          <w:color w:val="auto"/>
        </w:rPr>
      </w:pPr>
      <w:r>
        <w:rPr>
          <w:rFonts w:ascii="Arial" w:cs="Arial" w:eastAsia="Arial" w:hAnsi="Arial"/>
          <w:sz w:val="18"/>
          <w:szCs w:val="18"/>
          <w:color w:val="auto"/>
        </w:rPr>
        <w:t xml:space="preserve">We account for income taxes and the related accounts using the liability method in accordance with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Under this method, we accrue income taxes payable or refundable and recognize deferred tax assets and liabilities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8" w:lineRule="exact"/>
        <w:rPr>
          <w:sz w:val="20"/>
          <w:szCs w:val="20"/>
          <w:color w:val="auto"/>
        </w:rPr>
      </w:pPr>
    </w:p>
    <w:p>
      <w:pPr>
        <w:jc w:val="both"/>
        <w:ind w:left="10" w:right="340" w:firstLine="441"/>
        <w:spacing w:after="0" w:line="28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w:t>
      </w:r>
    </w:p>
    <w:p>
      <w:pPr>
        <w:spacing w:after="0" w:line="139" w:lineRule="exact"/>
        <w:rPr>
          <w:sz w:val="20"/>
          <w:szCs w:val="20"/>
          <w:color w:val="auto"/>
        </w:rPr>
      </w:pPr>
    </w:p>
    <w:p>
      <w:pPr>
        <w:ind w:left="10" w:right="80" w:firstLine="441"/>
        <w:spacing w:after="0" w:line="342" w:lineRule="auto"/>
        <w:rPr>
          <w:sz w:val="20"/>
          <w:szCs w:val="20"/>
          <w:color w:val="auto"/>
        </w:rPr>
      </w:pPr>
      <w:r>
        <w:rPr>
          <w:rFonts w:ascii="Arial" w:cs="Arial" w:eastAsia="Arial" w:hAnsi="Arial"/>
          <w:sz w:val="16"/>
          <w:szCs w:val="16"/>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83" w:lineRule="exact"/>
        <w:rPr>
          <w:sz w:val="20"/>
          <w:szCs w:val="20"/>
          <w:color w:val="auto"/>
        </w:rPr>
      </w:pPr>
    </w:p>
    <w:p>
      <w:pPr>
        <w:ind w:left="10" w:right="400" w:firstLine="441"/>
        <w:spacing w:after="0" w:line="311" w:lineRule="exact"/>
        <w:rPr>
          <w:sz w:val="20"/>
          <w:szCs w:val="20"/>
          <w:color w:val="auto"/>
        </w:rPr>
      </w:pPr>
      <w:r>
        <w:rPr>
          <w:rFonts w:ascii="Arial" w:cs="Arial" w:eastAsia="Arial" w:hAnsi="Arial"/>
          <w:sz w:val="18"/>
          <w:szCs w:val="18"/>
          <w:color w:val="auto"/>
        </w:rPr>
        <w:t>See Note 8 “Income Taxes,” of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w:t>
      </w:r>
      <w:r>
        <w:rPr>
          <w:rFonts w:ascii="Arial" w:cs="Arial" w:eastAsia="Arial" w:hAnsi="Arial"/>
          <w:sz w:val="18"/>
          <w:szCs w:val="18"/>
          <w:b w:val="1"/>
          <w:bCs w:val="1"/>
          <w:color w:val="auto"/>
        </w:rPr>
        <w:t>Recently Issued Accounting Pronouncements</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85"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10" w:hanging="10"/>
        <w:spacing w:after="0" w:line="285" w:lineRule="auto"/>
        <w:tabs>
          <w:tab w:leader="none" w:pos="384"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 xml:space="preserve">(“ASU 2014-09”), which supersedes the revenue recognition requirements in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and early adoption is not permitted. Accordingly, we will adopt ASU 2014-09 on January 29, 2018, the first day of our first quarter for the fiscal year ending February 3, 2019, our fiscal year 2018. We have not selected a method for adoption nor determined the potential effects on our consolidated financial statements.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98"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left="10" w:right="80" w:hanging="10"/>
        <w:spacing w:after="0" w:line="290" w:lineRule="auto"/>
        <w:tabs>
          <w:tab w:leader="none" w:pos="384"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25" w:right="11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we will adopt ASU 2015-11 on January 30, 2017, the first day of our first quarter for the fiscal year ending January 28, 2018, our fiscal year 2017. We have not determined the impact of this new accounting guidance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8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In November 2015, the FASB issued Accounting Standards Update No. 2015-17, </w:t>
      </w:r>
      <w:r>
        <w:rPr>
          <w:rFonts w:ascii="Arial" w:cs="Arial" w:eastAsia="Arial" w:hAnsi="Arial"/>
          <w:sz w:val="17"/>
          <w:szCs w:val="17"/>
          <w:i w:val="1"/>
          <w:iCs w:val="1"/>
          <w:color w:val="auto"/>
        </w:rPr>
        <w:t>Balance Sheet Classification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(Topic 740) </w:t>
      </w:r>
      <w:r>
        <w:rPr>
          <w:rFonts w:ascii="Arial" w:cs="Arial" w:eastAsia="Arial" w:hAnsi="Arial"/>
          <w:sz w:val="17"/>
          <w:szCs w:val="17"/>
          <w:color w:val="auto"/>
        </w:rPr>
        <w:t>(“ASU 2015-17”), which requires the classification of all deferred tax assets and liabilities as noncurrent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have adopted ASU 2015-17 as of January 31, 2016 and have reported deferred tax assets and liabilities as noncurrent on the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we will adopt ASU 2016-02 on February 4, 2019, the first day of our first quarter for the fiscal year ending February 2, 2020, our fiscal year 2019. We have not determined the impact of this new accounting guidance on our consolidated financial statements.</w:t>
      </w:r>
    </w:p>
    <w:p>
      <w:pPr>
        <w:spacing w:after="0" w:line="200" w:lineRule="exact"/>
        <w:rPr>
          <w:sz w:val="20"/>
          <w:szCs w:val="20"/>
          <w:color w:val="auto"/>
        </w:rPr>
      </w:pP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Risk Factors</w:t>
      </w:r>
    </w:p>
    <w:p>
      <w:pPr>
        <w:spacing w:after="0" w:line="185"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We are subject to interest rate risk in connection with borrowings under our revolving line of credit, which bears interest at a rate equal to the one-month LIBOR rate plus 1.25 percentage points as of January 31, 2016. As of January 31, 2016, there was no balance outstanding under the revolving line of credit. As of January 31, 2016, the undrawn borrowing availability under the revolving line of credit was $27.7 million, as funds are limited by borrowing base constraints. Based on the average interest rate on the revolving line of credit during fiscal 2015, and to the extent that borrowings were outstanding, we do not believe that a 10% change in the interest rate would have a material effect on our consolidated results of operations or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9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167005</wp:posOffset>
            </wp:positionV>
            <wp:extent cx="612330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255" w:lineRule="exact"/>
        <w:rPr>
          <w:sz w:val="20"/>
          <w:szCs w:val="20"/>
          <w:color w:val="auto"/>
        </w:rPr>
      </w:pPr>
    </w:p>
    <w:p>
      <w:pPr>
        <w:ind w:left="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Balance Sheets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Operations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Comprehensive Income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Shareholders’ Equity</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612330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23305" cy="163195"/>
                    </a:xfrm>
                    <a:prstGeom prst="rect">
                      <a:avLst/>
                    </a:prstGeom>
                    <a:noFill/>
                  </pic:spPr>
                </pic:pic>
              </a:graphicData>
            </a:graphic>
          </wp:anchor>
        </w:drawing>
      </w:r>
    </w:p>
    <w:p>
      <w:pPr>
        <w:spacing w:after="0" w:line="30" w:lineRule="exact"/>
        <w:rPr>
          <w:sz w:val="20"/>
          <w:szCs w:val="20"/>
          <w:color w:val="auto"/>
        </w:rPr>
      </w:pPr>
    </w:p>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Notes to Consolidated Financial Statements</w:t>
        </w:r>
      </w:hyperlink>
    </w:p>
    <w:p>
      <w:pPr>
        <w:spacing w:after="0" w:line="50" w:lineRule="exact"/>
        <w:rPr>
          <w:sz w:val="20"/>
          <w:szCs w:val="20"/>
          <w:color w:val="auto"/>
        </w:rPr>
      </w:pPr>
    </w:p>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Schedule II Valuation and Qualifying Accounts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0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47</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48</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49</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50</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52</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53</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8600" w:space="720"/>
            <w:col w:w="300"/>
          </w:cols>
          <w:pgMar w:left="1140" w:top="125" w:right="11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Duluth Holdings Inc.</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Duluth Holdings Inc. (a Wisconsin corporation) and subsidiary and affiliates (the “Company”) as of January 31, 2016 and February 1, 2015, and the related consolidated statements of operations, comprehensive income, shareholders’ equity and cash flows for each of the three years in the period ended January 31, 2016. Our audits of the basic consolidated financial statements included the financial statement schedule listed in the index appearing under Item 8. These financial statements and financial statement schedule are the responsibility of the Company’s management. Our responsibility is to express an opinion on these financial statements and financial statement schedule based on our audits.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Duluth Holdings Inc. and subsidiary and affiliates as of January 31, 2016 and February 1, 2015, and the results of their operations and their cash flows for each of the three years in the period ended January 31, 2016,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14 to the consolidated financial statements, the Company adopted new accounting guidance in fiscal 2015 and 2014, related to the presentation of deferred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48" w:name="page49"/>
    <w:bookmarkEnd w:id="4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2015</w:t>
            </w:r>
          </w:p>
        </w:tc>
      </w:tr>
      <w:tr>
        <w:trPr>
          <w:trHeight w:val="196"/>
        </w:trPr>
        <w:tc>
          <w:tcPr>
            <w:tcW w:w="6640" w:type="dxa"/>
            <w:vAlign w:val="bottom"/>
            <w:tcBorders>
              <w:top w:val="single" w:sz="8" w:color="CCEEFF"/>
            </w:tcBorders>
            <w:shd w:val="clear" w:color="auto" w:fill="CCEEFF"/>
          </w:tcPr>
          <w:p>
            <w:pPr>
              <w:ind w:left="290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of $1,404 and $1,290, respectively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41,363</w:t>
            </w:r>
          </w:p>
        </w:tc>
        <w:tc>
          <w:tcPr>
            <w:tcW w:w="20" w:type="dxa"/>
            <w:vAlign w:val="bottom"/>
          </w:tcPr>
          <w:p>
            <w:pPr>
              <w:spacing w:after="0"/>
              <w:rPr>
                <w:sz w:val="20"/>
                <w:szCs w:val="20"/>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catalog costs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53,351</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16,880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r>
      <w:tr>
        <w:trPr>
          <w:trHeight w:val="23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70,949</w:t>
            </w:r>
          </w:p>
        </w:tc>
        <w:tc>
          <w:tcPr>
            <w:tcW w:w="20" w:type="dxa"/>
            <w:vAlign w:val="bottom"/>
          </w:tcPr>
          <w:p>
            <w:pPr>
              <w:spacing w:after="0"/>
              <w:rPr>
                <w:sz w:val="19"/>
                <w:szCs w:val="19"/>
                <w:color w:val="auto"/>
              </w:rPr>
            </w:pPr>
          </w:p>
        </w:tc>
      </w:tr>
      <w:tr>
        <w:trPr>
          <w:trHeight w:val="190"/>
        </w:trPr>
        <w:tc>
          <w:tcPr>
            <w:tcW w:w="6640" w:type="dxa"/>
            <w:vAlign w:val="bottom"/>
          </w:tcPr>
          <w:p>
            <w:pPr>
              <w:ind w:left="1300"/>
              <w:spacing w:after="0" w:line="189"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14,199</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0" w:type="dxa"/>
            <w:vAlign w:val="bottom"/>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Freight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Product returns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r>
      <w:tr>
        <w:trPr>
          <w:trHeight w:val="210"/>
        </w:trPr>
        <w:tc>
          <w:tcPr>
            <w:tcW w:w="66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27,637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Deferred rent obligations, less current maturities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32,687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no par value; 10,000 shares authorized; no shares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January 31, 2016 and February 1, 2015</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Common stock (Class A), no par value; 10,000 shares authorized;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640" w:type="dxa"/>
            <w:vAlign w:val="bottom"/>
          </w:tcPr>
          <w:p>
            <w:pPr>
              <w:ind w:left="140"/>
              <w:spacing w:after="0"/>
              <w:rPr>
                <w:sz w:val="20"/>
                <w:szCs w:val="20"/>
                <w:color w:val="auto"/>
              </w:rPr>
            </w:pPr>
            <w:r>
              <w:rPr>
                <w:rFonts w:ascii="Arial" w:cs="Arial" w:eastAsia="Arial" w:hAnsi="Arial"/>
                <w:sz w:val="18"/>
                <w:szCs w:val="18"/>
                <w:color w:val="auto"/>
              </w:rPr>
              <w:t>3,364 and 3,626 shares issued and outstanding as of January 31, 2016 and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February 1, 2015, respectively</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(Class B), no par value; 200,000 shares authorized;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28,952 and 20,436 shares issued and outstanding as of January 31, 2016 and</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February 1, 2015, respectively</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Capital stock</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36,025</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 of Duluth Holdings Inc.</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36,782</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38,262</w:t>
            </w:r>
          </w:p>
        </w:tc>
        <w:tc>
          <w:tcPr>
            <w:tcW w:w="20" w:type="dxa"/>
            <w:vAlign w:val="bottom"/>
          </w:tcPr>
          <w:p>
            <w:pPr>
              <w:spacing w:after="0"/>
              <w:rPr>
                <w:sz w:val="18"/>
                <w:szCs w:val="18"/>
                <w:color w:val="auto"/>
              </w:rPr>
            </w:pPr>
          </w:p>
        </w:tc>
      </w:tr>
      <w:tr>
        <w:trPr>
          <w:trHeight w:val="217"/>
        </w:trPr>
        <w:tc>
          <w:tcPr>
            <w:tcW w:w="664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49" w:name="page50"/>
    <w:bookmarkEnd w:id="4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February 1, 2015</w:t>
            </w:r>
          </w:p>
        </w:tc>
        <w:tc>
          <w:tcPr>
            <w:tcW w:w="140" w:type="dxa"/>
            <w:vAlign w:val="bottom"/>
          </w:tcPr>
          <w:p>
            <w:pPr>
              <w:spacing w:after="0"/>
              <w:rPr>
                <w:sz w:val="18"/>
                <w:szCs w:val="18"/>
                <w:color w:val="auto"/>
              </w:rPr>
            </w:pPr>
          </w:p>
        </w:tc>
        <w:tc>
          <w:tcPr>
            <w:tcW w:w="128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February 2, 2014</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163,089</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92,001</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75,786</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(Class A and Class B):</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of</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outstanding</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Diluted earnings per share (Class A and Class B):</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shares and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equivalents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line="182" w:lineRule="exact"/>
              <w:rPr>
                <w:sz w:val="20"/>
                <w:szCs w:val="20"/>
                <w:color w:val="auto"/>
              </w:rPr>
            </w:pPr>
            <w:r>
              <w:rPr>
                <w:rFonts w:ascii="Arial" w:cs="Arial" w:eastAsia="Arial" w:hAnsi="Arial"/>
                <w:sz w:val="18"/>
                <w:szCs w:val="18"/>
                <w:color w:val="auto"/>
              </w:rPr>
              <w:t>Net income per share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income information (Unaudited) (Note 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Income attributable to controlling interest</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before 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28,778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23,647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line="182" w:lineRule="exact"/>
              <w:rPr>
                <w:sz w:val="20"/>
                <w:szCs w:val="20"/>
                <w:color w:val="auto"/>
              </w:rPr>
            </w:pPr>
            <w:r>
              <w:rPr>
                <w:rFonts w:ascii="Arial" w:cs="Arial" w:eastAsia="Arial" w:hAnsi="Arial"/>
                <w:sz w:val="18"/>
                <w:szCs w:val="18"/>
                <w:color w:val="auto"/>
              </w:rPr>
              <w:t>Pro forma net income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17,267</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14,188</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 forma basic net income per share attributable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20"/>
              <w:spacing w:after="0" w:line="176" w:lineRule="exact"/>
              <w:rPr>
                <w:sz w:val="20"/>
                <w:szCs w:val="20"/>
                <w:color w:val="auto"/>
              </w:rPr>
            </w:pPr>
            <w:r>
              <w:rPr>
                <w:rFonts w:ascii="Arial" w:cs="Arial" w:eastAsia="Arial" w:hAnsi="Arial"/>
                <w:sz w:val="18"/>
                <w:szCs w:val="18"/>
                <w:color w:val="auto"/>
              </w:rPr>
              <w:t>Pro forma diluted net income per share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to controlling interest (Class A and Class B)</w:t>
            </w: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0" w:name="page51"/>
    <w:bookmarkEnd w:id="5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1, 2015</w:t>
            </w:r>
          </w:p>
        </w:tc>
        <w:tc>
          <w:tcPr>
            <w:tcW w:w="140" w:type="dxa"/>
            <w:vAlign w:val="bottom"/>
          </w:tcPr>
          <w:p>
            <w:pPr>
              <w:spacing w:after="0"/>
              <w:rPr>
                <w:sz w:val="15"/>
                <w:szCs w:val="15"/>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February 2, 2014</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interest rate swap agreement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Comprehensive income attributable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noncontrolling interest</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182"/>
        </w:trPr>
        <w:tc>
          <w:tcPr>
            <w:tcW w:w="514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 attributable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27,457</w:t>
            </w:r>
          </w:p>
        </w:tc>
        <w:tc>
          <w:tcPr>
            <w:tcW w:w="1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23,602</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to controlling interest</w:t>
            </w:r>
          </w:p>
        </w:tc>
        <w:tc>
          <w:tcPr>
            <w:tcW w:w="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1" w:name="page52"/>
    <w:bookmarkEnd w:id="5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interest in</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3540" w:type="dxa"/>
            <w:vAlign w:val="bottom"/>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r>
      <w:tr>
        <w:trPr>
          <w:trHeight w:val="183"/>
        </w:trPr>
        <w:tc>
          <w:tcPr>
            <w:tcW w:w="35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entities</w:t>
            </w:r>
          </w:p>
        </w:tc>
        <w:tc>
          <w:tcPr>
            <w:tcW w:w="12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equity</w:t>
            </w: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4, 2013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19,225</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Amortization of stock-based compensation</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contributions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(4,884)</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20" w:type="dxa"/>
            <w:vAlign w:val="bottom"/>
          </w:tcPr>
          <w:p>
            <w:pPr>
              <w:spacing w:after="0"/>
              <w:rPr>
                <w:sz w:val="18"/>
                <w:szCs w:val="18"/>
                <w:color w:val="auto"/>
              </w:rPr>
            </w:pPr>
          </w:p>
        </w:tc>
      </w:tr>
      <w:tr>
        <w:trPr>
          <w:trHeight w:val="229"/>
        </w:trPr>
        <w:tc>
          <w:tcPr>
            <w:tcW w:w="3540" w:type="dxa"/>
            <w:vAlign w:val="bottom"/>
          </w:tcPr>
          <w:p>
            <w:pPr>
              <w:ind w:left="120"/>
              <w:spacing w:after="0"/>
              <w:rPr>
                <w:sz w:val="20"/>
                <w:szCs w:val="20"/>
                <w:color w:val="auto"/>
              </w:rPr>
            </w:pPr>
            <w:r>
              <w:rPr>
                <w:rFonts w:ascii="Arial" w:cs="Arial" w:eastAsia="Arial" w:hAnsi="Arial"/>
                <w:sz w:val="18"/>
                <w:szCs w:val="18"/>
                <w:color w:val="auto"/>
                <w:w w:val="99"/>
              </w:rPr>
              <w:t>Other comprehensive income from change</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in value of interest rate swap agreement</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31,229</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stock-based compensation</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20" w:type="dxa"/>
            <w:vAlign w:val="bottom"/>
          </w:tcPr>
          <w:p>
            <w:pPr>
              <w:spacing w:after="0"/>
              <w:rPr>
                <w:sz w:val="18"/>
                <w:szCs w:val="18"/>
                <w:color w:val="auto"/>
              </w:rPr>
            </w:pPr>
          </w:p>
        </w:tc>
      </w:tr>
      <w:tr>
        <w:trPr>
          <w:trHeight w:val="229"/>
        </w:trPr>
        <w:tc>
          <w:tcPr>
            <w:tcW w:w="3540" w:type="dxa"/>
            <w:vAlign w:val="bottom"/>
          </w:tcPr>
          <w:p>
            <w:pPr>
              <w:ind w:left="120"/>
              <w:spacing w:after="0"/>
              <w:rPr>
                <w:sz w:val="20"/>
                <w:szCs w:val="20"/>
                <w:color w:val="auto"/>
              </w:rPr>
            </w:pPr>
            <w:r>
              <w:rPr>
                <w:rFonts w:ascii="Arial" w:cs="Arial" w:eastAsia="Arial" w:hAnsi="Arial"/>
                <w:sz w:val="18"/>
                <w:szCs w:val="18"/>
                <w:color w:val="auto"/>
              </w:rPr>
              <w:t>Unrecognized gain (loss) on</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intercompany property transfer</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Deconsolidation of</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Schlecht Enterprises, LLC</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tcPr>
          <w:p>
            <w:pPr>
              <w:spacing w:after="0"/>
              <w:rPr>
                <w:sz w:val="20"/>
                <w:szCs w:val="20"/>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24,107</w:t>
            </w:r>
          </w:p>
        </w:tc>
        <w:tc>
          <w:tcPr>
            <w:tcW w:w="20" w:type="dxa"/>
            <w:vAlign w:val="bottom"/>
          </w:tcPr>
          <w:p>
            <w:pPr>
              <w:spacing w:after="0"/>
              <w:rPr>
                <w:sz w:val="18"/>
                <w:szCs w:val="18"/>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Other comprehensive income from change</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 value of interest rate swap agreement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8"/>
                <w:szCs w:val="18"/>
                <w:color w:val="auto"/>
              </w:rPr>
              <w:t>Balance at February 1, 2015</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24,062</w:t>
            </w:r>
          </w:p>
        </w:tc>
        <w:tc>
          <w:tcPr>
            <w:tcW w:w="6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36,025</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38,262</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9"/>
        </w:trPr>
        <w:tc>
          <w:tcPr>
            <w:tcW w:w="3540" w:type="dxa"/>
            <w:vAlign w:val="bottom"/>
          </w:tcPr>
          <w:p>
            <w:pPr>
              <w:ind w:left="120"/>
              <w:spacing w:after="0"/>
              <w:rPr>
                <w:sz w:val="20"/>
                <w:szCs w:val="20"/>
                <w:color w:val="auto"/>
              </w:rPr>
            </w:pPr>
            <w:r>
              <w:rPr>
                <w:rFonts w:ascii="Arial" w:cs="Arial" w:eastAsia="Arial" w:hAnsi="Arial"/>
                <w:sz w:val="18"/>
                <w:szCs w:val="18"/>
                <w:color w:val="auto"/>
              </w:rPr>
              <w:t>Issuance of common stock in initial</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public offering, net of costs</w:t>
            </w:r>
          </w:p>
        </w:tc>
        <w:tc>
          <w:tcPr>
            <w:tcW w:w="640" w:type="dxa"/>
            <w:vAlign w:val="bottom"/>
          </w:tcPr>
          <w:p>
            <w:pPr>
              <w:jc w:val="right"/>
              <w:spacing w:after="0"/>
              <w:rPr>
                <w:sz w:val="20"/>
                <w:szCs w:val="20"/>
                <w:color w:val="auto"/>
              </w:rPr>
            </w:pPr>
            <w:r>
              <w:rPr>
                <w:rFonts w:ascii="Arial" w:cs="Arial" w:eastAsia="Arial" w:hAnsi="Arial"/>
                <w:sz w:val="18"/>
                <w:szCs w:val="18"/>
                <w:color w:val="auto"/>
              </w:rPr>
              <w:t>7,667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83,923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83,923</w:t>
            </w:r>
          </w:p>
        </w:tc>
        <w:tc>
          <w:tcPr>
            <w:tcW w:w="20" w:type="dxa"/>
            <w:vAlign w:val="bottom"/>
          </w:tcPr>
          <w:p>
            <w:pPr>
              <w:spacing w:after="0"/>
              <w:rPr>
                <w:sz w:val="20"/>
                <w:szCs w:val="20"/>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stock-based compensation</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(60,467)</w:t>
            </w:r>
          </w:p>
        </w:tc>
        <w:tc>
          <w:tcPr>
            <w:tcW w:w="20" w:type="dxa"/>
            <w:vAlign w:val="bottom"/>
          </w:tcPr>
          <w:p>
            <w:pPr>
              <w:spacing w:after="0"/>
              <w:rPr>
                <w:sz w:val="18"/>
                <w:szCs w:val="18"/>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27,686</w:t>
            </w:r>
          </w:p>
        </w:tc>
        <w:tc>
          <w:tcPr>
            <w:tcW w:w="20" w:type="dxa"/>
            <w:vAlign w:val="bottom"/>
          </w:tcPr>
          <w:p>
            <w:pPr>
              <w:spacing w:after="0"/>
              <w:rPr>
                <w:sz w:val="18"/>
                <w:szCs w:val="18"/>
                <w:color w:val="auto"/>
              </w:rPr>
            </w:pPr>
          </w:p>
        </w:tc>
      </w:tr>
      <w:tr>
        <w:trPr>
          <w:trHeight w:val="202"/>
        </w:trPr>
        <w:tc>
          <w:tcPr>
            <w:tcW w:w="3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Other comprehensive income from change</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 value of interest rate swap agreement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7"/>
        </w:trPr>
        <w:tc>
          <w:tcPr>
            <w:tcW w:w="3540" w:type="dxa"/>
            <w:vAlign w:val="bottom"/>
          </w:tcPr>
          <w:p>
            <w:pPr>
              <w:ind w:left="20"/>
              <w:spacing w:after="0"/>
              <w:rPr>
                <w:sz w:val="20"/>
                <w:szCs w:val="20"/>
                <w:color w:val="auto"/>
              </w:rPr>
            </w:pPr>
            <w:r>
              <w:rPr>
                <w:rFonts w:ascii="Arial" w:cs="Arial" w:eastAsia="Arial" w:hAnsi="Arial"/>
                <w:sz w:val="18"/>
                <w:szCs w:val="18"/>
                <w:color w:val="auto"/>
              </w:rPr>
              <w:t>Balance at January 31, 2016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32,316</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90,486</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2" w:name="page53"/>
    <w:bookmarkEnd w:id="5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February 1, 2015</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February 2, 2014</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27,686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16,053</w:t>
            </w:r>
          </w:p>
        </w:tc>
        <w:tc>
          <w:tcPr>
            <w:tcW w:w="20" w:type="dxa"/>
            <w:vAlign w:val="bottom"/>
          </w:tcPr>
          <w:p>
            <w:pPr>
              <w:spacing w:after="0"/>
              <w:rPr>
                <w:sz w:val="18"/>
                <w:szCs w:val="18"/>
                <w:color w:val="auto"/>
              </w:rPr>
            </w:pPr>
          </w:p>
        </w:tc>
      </w:tr>
      <w:tr>
        <w:trPr>
          <w:trHeight w:val="202"/>
        </w:trPr>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operating activities: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stock-based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Prepaid expense</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catalog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4,119</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0" w:type="dxa"/>
            <w:vAlign w:val="bottom"/>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Purchases of other assets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Deconsolidation of Schlecht Enterprises, LLC</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proceeds from initial public offering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83,923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line of credit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34,033</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Payments on line of credit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(103,462)</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(56,015)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(34,033)</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 term debt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Payments on long term debt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(46,899)</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Change in bank overdrafts</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shareholders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(60,077)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(15,078)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8"/>
                <w:szCs w:val="18"/>
                <w:color w:val="auto"/>
              </w:rPr>
            </w:pPr>
          </w:p>
        </w:tc>
      </w:tr>
      <w:tr>
        <w:trPr>
          <w:trHeight w:val="202"/>
        </w:trPr>
        <w:tc>
          <w:tcPr>
            <w:tcW w:w="5140" w:type="dxa"/>
            <w:vAlign w:val="bottom"/>
          </w:tcPr>
          <w:p>
            <w:pPr>
              <w:ind w:left="20"/>
              <w:spacing w:after="0" w:line="201" w:lineRule="exact"/>
              <w:rPr>
                <w:sz w:val="20"/>
                <w:szCs w:val="20"/>
                <w:color w:val="auto"/>
              </w:rPr>
            </w:pPr>
            <w:r>
              <w:rPr>
                <w:rFonts w:ascii="Arial" w:cs="Arial" w:eastAsia="Arial" w:hAnsi="Arial"/>
                <w:sz w:val="18"/>
                <w:szCs w:val="18"/>
                <w:color w:val="auto"/>
              </w:rPr>
              <w:t>Distributions to holders of noncontrolling interest in</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40" w:type="dxa"/>
            <w:vAlign w:val="bottom"/>
          </w:tcPr>
          <w:p>
            <w:pPr>
              <w:ind w:left="200"/>
              <w:spacing w:after="0"/>
              <w:rPr>
                <w:sz w:val="20"/>
                <w:szCs w:val="20"/>
                <w:color w:val="auto"/>
              </w:rPr>
            </w:pPr>
            <w:r>
              <w:rPr>
                <w:rFonts w:ascii="Arial" w:cs="Arial" w:eastAsia="Arial" w:hAnsi="Arial"/>
                <w:sz w:val="18"/>
                <w:szCs w:val="18"/>
                <w:color w:val="auto"/>
              </w:rPr>
              <w:t>variable interest entities</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to variable interest entities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0" w:type="dxa"/>
            <w:vAlign w:val="bottom"/>
          </w:tcPr>
          <w:p>
            <w:pPr>
              <w:spacing w:after="0"/>
              <w:rPr>
                <w:sz w:val="18"/>
                <w:szCs w:val="18"/>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0" w:type="dxa"/>
            <w:vAlign w:val="bottom"/>
          </w:tcPr>
          <w:p>
            <w:pPr>
              <w:spacing w:after="0"/>
              <w:rPr>
                <w:sz w:val="18"/>
                <w:szCs w:val="18"/>
                <w:color w:val="auto"/>
              </w:rPr>
            </w:pP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Property and equipment acquired under 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20" w:right="80"/>
        <w:spacing w:after="0" w:line="264" w:lineRule="auto"/>
        <w:rPr>
          <w:sz w:val="20"/>
          <w:szCs w:val="20"/>
          <w:color w:val="auto"/>
        </w:rPr>
      </w:pPr>
      <w:r>
        <w:rPr>
          <w:rFonts w:ascii="Arial" w:cs="Arial" w:eastAsia="Arial" w:hAnsi="Arial"/>
          <w:sz w:val="18"/>
          <w:szCs w:val="18"/>
          <w:color w:val="auto"/>
        </w:rPr>
        <w:t>During fiscal 2014, the Company deconsolidated the accounts of Schlecht Enterprises, LLC (see Note 5 “Variable Interest Entities”). As a result, the Company recognized a decrease of $1.8 million to cash, a decrease of $1.8 million to noncontrolling interest in variable interest entities, and an increase of $0.03 million to accounts payable.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4400"/>
        <w:spacing w:after="0" w:line="464"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Nature of Operations</w:t>
      </w:r>
    </w:p>
    <w:p>
      <w:pPr>
        <w:ind w:right="160" w:firstLine="441"/>
        <w:spacing w:after="0" w:line="272"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January 31, 2016, the Company operated seven retail stores and two outlet stores across South Dakota, Minnesota, Iowa and Wisconsin. The Company’s products are marketed under the Duluth Trading Company brand, with the majority being exclusively developed and sold as Duluth Trading branded merchandise.</w:t>
      </w:r>
    </w:p>
    <w:p>
      <w:pPr>
        <w:spacing w:after="0" w:line="13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November 25, 2015, the Company converted from an “S” corporation to a “C” corporation for federal income tax purposes under Section 1362 of the Internal Revenue Code, as amended (the “Code”), and the Company completed its initial public offering (“IPO”). The Company issued and sold 7,666,667 shares of its Class B common stock, which includes 1,000,000 shares of Class B common stock issued pursuant to the underwriters’ option to purchase additional shares, at a price of $12.00 per share, less the underwriting discount. The Company received net proceeds of approximately $83.9 million after deducting the underwriting discount of $6.4 million and related fees and expenses of approximately $1.7 million. The Company used $46.3 million of the net proceeds from the IPO to pay in full the amount previously borrowed from a bank to pay a portion of the distribution of 100% of the cumulative undistributed taxable earnings to its then existing shareholders from the date of its formation through the date of termination of its “S” corporation status.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are prepared in accordance with U.S. Generally Accepted Accounting Principles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All intercompany balances and transactions have been eliminated.</w:t>
      </w:r>
    </w:p>
    <w:p>
      <w:pPr>
        <w:spacing w:after="0" w:line="170"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The Company’s fiscal year ends on the Sunday nearest to January 31 of the following year. Fiscal 2015, 2014 and 2013 ended on January 31, 2016, February 1, 2015 and February 2, 2014, respectively, and were all 52-week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8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Income Information</w:t>
      </w:r>
    </w:p>
    <w:p>
      <w:pPr>
        <w:spacing w:after="0" w:line="19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unaudited pro forma net income information gives effect to the conversion of the Company to a “C” corporation on November 25, 2015. Prior to such conversion, the Company was an “S” corporation and generally not subject to income taxes. The pro forma net income, therefore, includes an adjustment for income tax expense on the income attributable to controlling interest as if the Company had been a “C” corporation as of February 4, 2013 at an 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3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unaudited pro forma basic and diluted net income per share of Class A and Class B common stock is computed using the unaudited pro forma net income, as discussed above.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parent, Duluth Holdings Inc., and its wholly-owned subsidiary, Duluth Trading Company, LLC. The Company also consolidates Schlecht Retail Ventures LLC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4" w:name="page55"/>
    <w:bookmarkEnd w:id="5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jc w:val="both"/>
        <w:ind w:left="20" w:right="440"/>
        <w:spacing w:after="0" w:line="264" w:lineRule="auto"/>
        <w:rPr>
          <w:sz w:val="20"/>
          <w:szCs w:val="20"/>
          <w:color w:val="auto"/>
        </w:rPr>
      </w:pPr>
      <w:r>
        <w:rPr>
          <w:rFonts w:ascii="Arial" w:cs="Arial" w:eastAsia="Arial" w:hAnsi="Arial"/>
          <w:sz w:val="18"/>
          <w:szCs w:val="18"/>
          <w:color w:val="auto"/>
        </w:rPr>
        <w:t>(“SRV”) as a variable interest entity (see Note 5 “Variable Interest Entities”). Prior to May 21, 2014, the Company consolidated Schlecht Enterprises, LLC (“SE”) as a variable interest entity. Effective May 21, 2014, SE was no longer considered a variable interest entity and was not consolidated after that date.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20" w:right="18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revenue when the following four criteria are met:</w:t>
      </w:r>
    </w:p>
    <w:p>
      <w:pPr>
        <w:ind w:left="640" w:hanging="198"/>
        <w:spacing w:after="0" w:line="230" w:lineRule="auto"/>
        <w:tabs>
          <w:tab w:leader="none" w:pos="64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persuasive evidence of an arrangement exists;</w:t>
      </w:r>
    </w:p>
    <w:p>
      <w:pPr>
        <w:spacing w:after="0" w:line="97" w:lineRule="exact"/>
        <w:rPr>
          <w:rFonts w:ascii="Arial" w:cs="Arial" w:eastAsia="Arial" w:hAnsi="Arial"/>
          <w:sz w:val="29"/>
          <w:szCs w:val="29"/>
          <w:color w:val="auto"/>
          <w:vertAlign w:val="superscript"/>
        </w:rPr>
      </w:pPr>
    </w:p>
    <w:p>
      <w:pPr>
        <w:ind w:left="680" w:hanging="238"/>
        <w:spacing w:after="0" w:line="186" w:lineRule="auto"/>
        <w:tabs>
          <w:tab w:leader="none" w:pos="68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title has passed to the customer;</w:t>
      </w:r>
    </w:p>
    <w:p>
      <w:pPr>
        <w:spacing w:after="0" w:line="96" w:lineRule="exact"/>
        <w:rPr>
          <w:rFonts w:ascii="Arial" w:cs="Arial" w:eastAsia="Arial" w:hAnsi="Arial"/>
          <w:sz w:val="24"/>
          <w:szCs w:val="24"/>
          <w:color w:val="auto"/>
          <w:vertAlign w:val="superscript"/>
        </w:rPr>
      </w:pPr>
    </w:p>
    <w:p>
      <w:pPr>
        <w:ind w:left="580" w:hanging="138"/>
        <w:spacing w:after="0" w:line="186" w:lineRule="auto"/>
        <w:tabs>
          <w:tab w:leader="none" w:pos="58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the sales price is fixed and determinable and no further obligation exists; and</w:t>
      </w:r>
    </w:p>
    <w:p>
      <w:pPr>
        <w:spacing w:after="0" w:line="96" w:lineRule="exact"/>
        <w:rPr>
          <w:rFonts w:ascii="Arial" w:cs="Arial" w:eastAsia="Arial" w:hAnsi="Arial"/>
          <w:sz w:val="24"/>
          <w:szCs w:val="24"/>
          <w:color w:val="auto"/>
          <w:vertAlign w:val="superscript"/>
        </w:rPr>
      </w:pPr>
    </w:p>
    <w:p>
      <w:pPr>
        <w:ind w:left="660" w:hanging="218"/>
        <w:spacing w:after="0" w:line="186" w:lineRule="auto"/>
        <w:tabs>
          <w:tab w:leader="none" w:pos="660" w:val="left"/>
        </w:tabs>
        <w:numPr>
          <w:ilvl w:val="0"/>
          <w:numId w:val="30"/>
        </w:numPr>
        <w:rPr>
          <w:rFonts w:ascii="Arial" w:cs="Arial" w:eastAsia="Arial" w:hAnsi="Arial"/>
          <w:sz w:val="24"/>
          <w:szCs w:val="24"/>
          <w:color w:val="auto"/>
          <w:vertAlign w:val="superscript"/>
        </w:rPr>
      </w:pPr>
      <w:r>
        <w:rPr>
          <w:rFonts w:ascii="Arial" w:cs="Arial" w:eastAsia="Arial" w:hAnsi="Arial"/>
          <w:sz w:val="15"/>
          <w:szCs w:val="15"/>
          <w:color w:val="auto"/>
        </w:rPr>
        <w:t>collectability is reasonably assured.</w:t>
      </w:r>
    </w:p>
    <w:p>
      <w:pPr>
        <w:spacing w:after="0" w:line="175" w:lineRule="exact"/>
        <w:rPr>
          <w:sz w:val="20"/>
          <w:szCs w:val="20"/>
          <w:color w:val="auto"/>
        </w:rPr>
      </w:pPr>
    </w:p>
    <w:p>
      <w:pPr>
        <w:ind w:left="20" w:firstLine="441"/>
        <w:spacing w:after="0" w:line="259" w:lineRule="auto"/>
        <w:rPr>
          <w:sz w:val="20"/>
          <w:szCs w:val="20"/>
          <w:color w:val="auto"/>
        </w:rPr>
      </w:pPr>
      <w:r>
        <w:rPr>
          <w:rFonts w:ascii="Arial" w:cs="Arial" w:eastAsia="Arial" w:hAnsi="Arial"/>
          <w:sz w:val="18"/>
          <w:szCs w:val="18"/>
          <w:color w:val="auto"/>
        </w:rPr>
        <w:t>These criteria are met upon customer receipt of the product (for direct sales) or at the point of sale (for retail store transactions). At the time of revenue recognition, the Company provides for estimated costs that may be incurred for product warranties and sales returns. A liability is recognized at the time a gift card is sold, and revenue is recognized at the time the gift card is redeemed for merchandise.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Goods Sold and Selling, General and Administrative Expenses</w:t>
      </w:r>
    </w:p>
    <w:p>
      <w:pPr>
        <w:spacing w:after="0" w:line="198" w:lineRule="exact"/>
        <w:rPr>
          <w:sz w:val="20"/>
          <w:szCs w:val="20"/>
          <w:color w:val="auto"/>
        </w:rPr>
      </w:pPr>
    </w:p>
    <w:p>
      <w:pPr>
        <w:ind w:left="20" w:right="660" w:firstLine="441"/>
        <w:spacing w:after="0" w:line="277" w:lineRule="auto"/>
        <w:rPr>
          <w:sz w:val="20"/>
          <w:szCs w:val="20"/>
          <w:color w:val="auto"/>
        </w:rPr>
      </w:pPr>
      <w:r>
        <w:rPr>
          <w:rFonts w:ascii="Arial" w:cs="Arial" w:eastAsia="Arial" w:hAnsi="Arial"/>
          <w:sz w:val="18"/>
          <w:szCs w:val="18"/>
          <w:color w:val="auto"/>
        </w:rPr>
        <w:t>The following table illustrates the primary costs classified in cost of goods sold and selling, general and administrative expenses: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2"/>
          </w:tcPr>
          <w:p>
            <w:pPr>
              <w:ind w:left="1780"/>
              <w:spacing w:after="0"/>
              <w:rPr>
                <w:sz w:val="20"/>
                <w:szCs w:val="20"/>
                <w:color w:val="auto"/>
              </w:rPr>
            </w:pPr>
            <w:r>
              <w:rPr>
                <w:rFonts w:ascii="Arial" w:cs="Arial" w:eastAsia="Arial" w:hAnsi="Arial"/>
                <w:sz w:val="14"/>
                <w:szCs w:val="14"/>
                <w:b w:val="1"/>
                <w:bCs w:val="1"/>
                <w:color w:val="auto"/>
              </w:rPr>
              <w:t>Cost of Goods Sold</w:t>
            </w:r>
          </w:p>
        </w:tc>
        <w:tc>
          <w:tcPr>
            <w:tcW w:w="4720" w:type="dxa"/>
            <w:vAlign w:val="bottom"/>
          </w:tcPr>
          <w:p>
            <w:pPr>
              <w:ind w:left="960"/>
              <w:spacing w:after="0"/>
              <w:rPr>
                <w:sz w:val="20"/>
                <w:szCs w:val="20"/>
                <w:color w:val="auto"/>
              </w:rPr>
            </w:pPr>
            <w:r>
              <w:rPr>
                <w:rFonts w:ascii="Arial" w:cs="Arial" w:eastAsia="Arial" w:hAnsi="Arial"/>
                <w:sz w:val="14"/>
                <w:szCs w:val="14"/>
                <w:b w:val="1"/>
                <w:bCs w:val="1"/>
                <w:color w:val="auto"/>
              </w:rPr>
              <w:t>Selling, General and Administrative Expenses</w:t>
            </w:r>
          </w:p>
        </w:tc>
      </w:tr>
      <w:tr>
        <w:trPr>
          <w:trHeight w:val="210"/>
        </w:trPr>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Direct cost of purchased merchandise</w:t>
            </w:r>
          </w:p>
        </w:tc>
        <w:tc>
          <w:tcPr>
            <w:tcW w:w="20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Payroll and payroll-related costs</w:t>
            </w:r>
          </w:p>
        </w:tc>
      </w:tr>
      <w:tr>
        <w:trPr>
          <w:trHeight w:val="202"/>
        </w:trPr>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Inventory shrinkage and inventory adjustments due to</w:t>
            </w: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Third party logistics ("3PL")</w:t>
            </w:r>
          </w:p>
        </w:tc>
      </w:tr>
      <w:tr>
        <w:trPr>
          <w:trHeight w:val="230"/>
        </w:trPr>
        <w:tc>
          <w:tcPr>
            <w:tcW w:w="4920" w:type="dxa"/>
            <w:vAlign w:val="bottom"/>
            <w:gridSpan w:val="2"/>
          </w:tcPr>
          <w:p>
            <w:pPr>
              <w:ind w:left="160"/>
              <w:spacing w:after="0"/>
              <w:rPr>
                <w:sz w:val="20"/>
                <w:szCs w:val="20"/>
                <w:color w:val="auto"/>
              </w:rPr>
            </w:pPr>
            <w:r>
              <w:rPr>
                <w:rFonts w:ascii="Arial" w:cs="Arial" w:eastAsia="Arial" w:hAnsi="Arial"/>
                <w:sz w:val="18"/>
                <w:szCs w:val="18"/>
                <w:color w:val="auto"/>
              </w:rPr>
              <w:t>obsolescence</w:t>
            </w:r>
          </w:p>
        </w:tc>
        <w:tc>
          <w:tcPr>
            <w:tcW w:w="4720" w:type="dxa"/>
            <w:vAlign w:val="bottom"/>
          </w:tcPr>
          <w:p>
            <w:pPr>
              <w:spacing w:after="0"/>
              <w:rPr>
                <w:sz w:val="20"/>
                <w:szCs w:val="20"/>
                <w:color w:val="auto"/>
              </w:rPr>
            </w:pPr>
          </w:p>
        </w:tc>
      </w:tr>
      <w:tr>
        <w:trPr>
          <w:trHeight w:val="202"/>
        </w:trPr>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Inbound freight</w:t>
            </w: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Occupancy expenses related to stores and operations at the</w:t>
            </w: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Company's headquarters, including utilities, depreciation and</w:t>
            </w:r>
          </w:p>
        </w:tc>
      </w:tr>
      <w:tr>
        <w:trPr>
          <w:trHeight w:val="230"/>
        </w:trPr>
        <w:tc>
          <w:tcPr>
            <w:tcW w:w="4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r>
      <w:tr>
        <w:trPr>
          <w:trHeight w:val="216"/>
        </w:trPr>
        <w:tc>
          <w:tcPr>
            <w:tcW w:w="4920" w:type="dxa"/>
            <w:vAlign w:val="bottom"/>
            <w:gridSpan w:val="2"/>
          </w:tcPr>
          <w:p>
            <w:pPr>
              <w:ind w:left="160"/>
              <w:spacing w:after="0"/>
              <w:rPr>
                <w:sz w:val="20"/>
                <w:szCs w:val="20"/>
                <w:color w:val="auto"/>
              </w:rPr>
            </w:pPr>
            <w:r>
              <w:rPr>
                <w:rFonts w:ascii="Arial" w:cs="Arial" w:eastAsia="Arial" w:hAnsi="Arial"/>
                <w:sz w:val="18"/>
                <w:szCs w:val="18"/>
                <w:color w:val="auto"/>
                <w:w w:val="99"/>
              </w:rPr>
              <w:t>Freight from the Company's distribution centers to its stores</w:t>
            </w:r>
          </w:p>
        </w:tc>
        <w:tc>
          <w:tcPr>
            <w:tcW w:w="4720" w:type="dxa"/>
            <w:vAlign w:val="bottom"/>
          </w:tcPr>
          <w:p>
            <w:pPr>
              <w:ind w:left="160"/>
              <w:spacing w:after="0"/>
              <w:rPr>
                <w:sz w:val="20"/>
                <w:szCs w:val="20"/>
                <w:color w:val="auto"/>
              </w:rPr>
            </w:pPr>
            <w:r>
              <w:rPr>
                <w:rFonts w:ascii="Arial" w:cs="Arial" w:eastAsia="Arial" w:hAnsi="Arial"/>
                <w:sz w:val="18"/>
                <w:szCs w:val="18"/>
                <w:color w:val="auto"/>
              </w:rPr>
              <w:t>Advertising expenses, including television and catalog</w:t>
            </w:r>
          </w:p>
        </w:tc>
      </w:tr>
      <w:tr>
        <w:trPr>
          <w:trHeight w:val="216"/>
        </w:trPr>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Freight associated with shipping product to customers</w:t>
            </w:r>
          </w:p>
        </w:tc>
      </w:t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Consulting and professional fees</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Catalog and Advertising Expenses</w:t>
      </w:r>
    </w:p>
    <w:p>
      <w:pPr>
        <w:spacing w:after="0" w:line="185" w:lineRule="exact"/>
        <w:rPr>
          <w:sz w:val="20"/>
          <w:szCs w:val="20"/>
          <w:color w:val="auto"/>
        </w:rPr>
      </w:pPr>
    </w:p>
    <w:p>
      <w:pPr>
        <w:ind w:left="20" w:right="240" w:firstLine="441"/>
        <w:spacing w:after="0" w:line="302" w:lineRule="auto"/>
        <w:rPr>
          <w:sz w:val="20"/>
          <w:szCs w:val="20"/>
          <w:color w:val="auto"/>
        </w:rPr>
      </w:pPr>
      <w:r>
        <w:rPr>
          <w:rFonts w:ascii="Arial" w:cs="Arial" w:eastAsia="Arial" w:hAnsi="Arial"/>
          <w:sz w:val="16"/>
          <w:szCs w:val="16"/>
          <w:color w:val="auto"/>
        </w:rPr>
        <w:t>The Company’s direct-response advertising consists of producing, printing and mailing catalogs, which are capitalized as deferred catalog costs and amortized over the expected term of the related revenue stream (generally three to five months from the date catalogs are mailed). The Company’s non-direct response advertising costs are expensed as they are incurred. Non-direct response advertising costs primarily consist of billboards, web marketing programs, and radio and television advertisements.</w:t>
      </w:r>
    </w:p>
    <w:p>
      <w:pPr>
        <w:spacing w:after="0" w:line="127"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Catalog and advertising expenses were $65.2 million, $49.4 million and $37.3 million for fiscal 2015, fiscal 2014 and fiscal 2013, respectively.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Shipping and Processing</w:t>
      </w:r>
    </w:p>
    <w:p>
      <w:pPr>
        <w:spacing w:after="0" w:line="185" w:lineRule="exact"/>
        <w:rPr>
          <w:sz w:val="20"/>
          <w:szCs w:val="20"/>
          <w:color w:val="auto"/>
        </w:rPr>
      </w:pPr>
    </w:p>
    <w:p>
      <w:pPr>
        <w:ind w:left="20" w:firstLine="441"/>
        <w:spacing w:after="0" w:line="279" w:lineRule="auto"/>
        <w:rPr>
          <w:sz w:val="20"/>
          <w:szCs w:val="20"/>
          <w:color w:val="auto"/>
        </w:rPr>
      </w:pPr>
      <w:r>
        <w:rPr>
          <w:rFonts w:ascii="Arial" w:cs="Arial" w:eastAsia="Arial" w:hAnsi="Arial"/>
          <w:sz w:val="17"/>
          <w:szCs w:val="17"/>
          <w:color w:val="auto"/>
        </w:rPr>
        <w:t>Shipping and processing revenue generated from customer orders has been classified as a component of net sales. Shipping and processing expense, including handling expense, for the Company’s direct business, has been classified as a component of selling, general and administrative expenses. The Company incurred shipping and processing expenses of $20.4 million, $16.3 million and $11.7 million for fiscal 2015, fiscal 2014 and fiscal 2013,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55" w:name="page56"/>
    <w:bookmarkEnd w:id="5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20" w:right="80" w:firstLine="441"/>
        <w:spacing w:after="0" w:line="312" w:lineRule="auto"/>
        <w:rPr>
          <w:sz w:val="20"/>
          <w:szCs w:val="20"/>
          <w:color w:val="auto"/>
        </w:rPr>
      </w:pPr>
      <w:r>
        <w:rPr>
          <w:rFonts w:ascii="Arial" w:cs="Arial" w:eastAsia="Arial" w:hAnsi="Arial"/>
          <w:sz w:val="16"/>
          <w:szCs w:val="16"/>
          <w:color w:val="auto"/>
        </w:rPr>
        <w:t>Prior to November 25, 2015, the Company was taxed as an “S” corporation for income tax purposes under section 1362 of the Code, and therefore was not subject to federal and state income taxes. On November 25, 2015, the Company’s “S” corporation status terminated and the Company became subject to corporate-level federal and state income taxes at prevailing corporate rates.</w:t>
      </w:r>
    </w:p>
    <w:p>
      <w:pPr>
        <w:spacing w:after="0" w:line="106" w:lineRule="exact"/>
        <w:rPr>
          <w:sz w:val="20"/>
          <w:szCs w:val="20"/>
          <w:color w:val="auto"/>
        </w:rPr>
      </w:pPr>
    </w:p>
    <w:p>
      <w:pPr>
        <w:ind w:left="20" w:right="20" w:firstLine="441"/>
        <w:spacing w:after="0" w:line="297" w:lineRule="auto"/>
        <w:rPr>
          <w:sz w:val="20"/>
          <w:szCs w:val="20"/>
          <w:color w:val="auto"/>
        </w:rPr>
      </w:pPr>
      <w:r>
        <w:rPr>
          <w:rFonts w:ascii="Arial" w:cs="Arial" w:eastAsia="Arial" w:hAnsi="Arial"/>
          <w:sz w:val="16"/>
          <w:szCs w:val="16"/>
          <w:color w:val="auto"/>
        </w:rPr>
        <w:t xml:space="preserve">As a result of the conversion, effective November 25, 2015, the Company accounts for income taxes and related accounts using the liability method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w:t>
      </w:r>
    </w:p>
    <w:p>
      <w:pPr>
        <w:spacing w:after="0" w:line="118" w:lineRule="exact"/>
        <w:rPr>
          <w:sz w:val="20"/>
          <w:szCs w:val="20"/>
          <w:color w:val="auto"/>
        </w:rPr>
      </w:pPr>
    </w:p>
    <w:p>
      <w:pPr>
        <w:jc w:val="both"/>
        <w:ind w:left="20" w:right="120" w:firstLine="441"/>
        <w:spacing w:after="0" w:line="264" w:lineRule="auto"/>
        <w:rPr>
          <w:sz w:val="20"/>
          <w:szCs w:val="20"/>
          <w:color w:val="auto"/>
        </w:rPr>
      </w:pPr>
      <w:r>
        <w:rPr>
          <w:rFonts w:ascii="Arial" w:cs="Arial" w:eastAsia="Arial" w:hAnsi="Arial"/>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Significant Suppliers</w:t>
      </w:r>
    </w:p>
    <w:p>
      <w:pPr>
        <w:spacing w:after="0" w:line="198" w:lineRule="exact"/>
        <w:rPr>
          <w:sz w:val="20"/>
          <w:szCs w:val="20"/>
          <w:color w:val="auto"/>
        </w:rPr>
      </w:pPr>
    </w:p>
    <w:p>
      <w:pPr>
        <w:ind w:left="20" w:right="200" w:firstLine="441"/>
        <w:spacing w:after="0" w:line="264" w:lineRule="auto"/>
        <w:rPr>
          <w:sz w:val="20"/>
          <w:szCs w:val="20"/>
          <w:color w:val="auto"/>
        </w:rPr>
      </w:pPr>
      <w:r>
        <w:rPr>
          <w:rFonts w:ascii="Arial" w:cs="Arial" w:eastAsia="Arial" w:hAnsi="Arial"/>
          <w:sz w:val="18"/>
          <w:szCs w:val="18"/>
          <w:color w:val="auto"/>
        </w:rPr>
        <w:t>The Company’s principal supplier of inventory accounted for 54%, 59% and 51% of total inventory expenditures in fiscal 2015, fiscal 2014 and fiscal 2013, respectively. The Company also had a second supplier that accounted for 17%, 16% and 15% of total inventory expenditures in fiscal 2015, fiscal 2014 and fiscal 2013, respectively.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85" w:lineRule="exact"/>
        <w:rPr>
          <w:sz w:val="20"/>
          <w:szCs w:val="20"/>
          <w:color w:val="auto"/>
        </w:rPr>
      </w:pPr>
    </w:p>
    <w:p>
      <w:pPr>
        <w:ind w:left="20" w:right="180" w:firstLine="441"/>
        <w:spacing w:after="0" w:line="277" w:lineRule="auto"/>
        <w:rPr>
          <w:sz w:val="20"/>
          <w:szCs w:val="20"/>
          <w:color w:val="auto"/>
        </w:rPr>
      </w:pPr>
      <w:r>
        <w:rPr>
          <w:rFonts w:ascii="Arial" w:cs="Arial" w:eastAsia="Arial" w:hAnsi="Arial"/>
          <w:sz w:val="18"/>
          <w:szCs w:val="18"/>
          <w:color w:val="auto"/>
        </w:rPr>
        <w:t>Inventory, consisting of purchased product, is valued at the lower cost or market with cost determined under the first-in, first-out method.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2015</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4,052</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Vehicles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0" w:type="dxa"/>
            <w:vAlign w:val="bottom"/>
          </w:tcPr>
          <w:p>
            <w:pPr>
              <w:spacing w:after="0"/>
              <w:rPr>
                <w:sz w:val="18"/>
                <w:szCs w:val="18"/>
                <w:color w:val="auto"/>
              </w:rPr>
            </w:pPr>
          </w:p>
        </w:tc>
      </w:tr>
      <w:tr>
        <w:trPr>
          <w:trHeight w:val="210"/>
        </w:trPr>
        <w:tc>
          <w:tcPr>
            <w:tcW w:w="6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24,910</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(10,907)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(8,144)</w:t>
            </w:r>
          </w:p>
        </w:tc>
        <w:tc>
          <w:tcPr>
            <w:tcW w:w="2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20" w:type="dxa"/>
            <w:vAlign w:val="bottom"/>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right="340" w:firstLine="441"/>
        <w:spacing w:after="0" w:line="277" w:lineRule="auto"/>
        <w:rPr>
          <w:sz w:val="20"/>
          <w:szCs w:val="20"/>
          <w:color w:val="auto"/>
        </w:rPr>
      </w:pPr>
      <w:r>
        <w:rPr>
          <w:rFonts w:ascii="Arial" w:cs="Arial" w:eastAsia="Arial" w:hAnsi="Arial"/>
          <w:sz w:val="18"/>
          <w:szCs w:val="18"/>
          <w:color w:val="auto"/>
        </w:rPr>
        <w:t>The Company recorded depreciation expense of $2.8 million, $1.8 million and $1.2 million for fiscal 2015, fiscal 2014 and fiscal 2013,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6" w:name="page57"/>
    <w:bookmarkEnd w:id="5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Years</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- 40</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Vehicles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- 15</w:t>
            </w: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- 10</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Software</w:t>
            </w:r>
          </w:p>
        </w:tc>
        <w:tc>
          <w:tcPr>
            <w:tcW w:w="64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3</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 xml:space="preserve">Goodwill represents the excess of purchase price over the fair value of net assets acquired.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requires that goodwill be tested for impairment annually, or more often if an event or circumstance indicates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18" w:lineRule="exact"/>
        <w:rPr>
          <w:sz w:val="20"/>
          <w:szCs w:val="20"/>
          <w:color w:val="auto"/>
        </w:rPr>
      </w:pPr>
    </w:p>
    <w:p>
      <w:pPr>
        <w:ind w:left="20" w:right="60" w:firstLine="441"/>
        <w:spacing w:after="0" w:line="259" w:lineRule="auto"/>
        <w:rPr>
          <w:sz w:val="20"/>
          <w:szCs w:val="20"/>
          <w:color w:val="auto"/>
        </w:rPr>
      </w:pPr>
      <w:r>
        <w:rPr>
          <w:rFonts w:ascii="Arial" w:cs="Arial" w:eastAsia="Arial" w:hAnsi="Arial"/>
          <w:sz w:val="18"/>
          <w:szCs w:val="18"/>
          <w:color w:val="auto"/>
        </w:rPr>
        <w:t>Total goodwill is reported in the Company’s direct segment. Management performed a qualitative assessment of goodwill as of December 31, 2015, 2014 and 2013, and determined that it was more likely than not that the fair value of the Company was greater than its carrying amount; as such, no further evaluation of goodwill was deemed necessary. No impairment was recognized for the years ended January 31, 2016, February 1, 2015 or February 2, 2014.</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Assets</w:t>
      </w:r>
    </w:p>
    <w:p>
      <w:pPr>
        <w:spacing w:after="0" w:line="198" w:lineRule="exact"/>
        <w:rPr>
          <w:sz w:val="20"/>
          <w:szCs w:val="20"/>
          <w:color w:val="auto"/>
        </w:rPr>
      </w:pPr>
    </w:p>
    <w:p>
      <w:pPr>
        <w:ind w:left="20" w:right="100" w:firstLine="441"/>
        <w:spacing w:after="0" w:line="297" w:lineRule="auto"/>
        <w:rPr>
          <w:sz w:val="20"/>
          <w:szCs w:val="20"/>
          <w:color w:val="auto"/>
        </w:rPr>
      </w:pPr>
      <w:r>
        <w:rPr>
          <w:rFonts w:ascii="Arial" w:cs="Arial" w:eastAsia="Arial" w:hAnsi="Arial"/>
          <w:sz w:val="16"/>
          <w:szCs w:val="16"/>
          <w:color w:val="auto"/>
        </w:rPr>
        <w:t>Other assets include loan origination fees, trade names and other non-current assets which are amortized over their estimated useful lives ranging from four to fifteen years. Other assets also include security deposits required by certain of the Company’s lease agreements and prepaid expenses which are not expected to be amortized within the next 12 months. The Company recorded amortization expense of $0.1 million, $0.1 million and $0.01 million during fiscal 2015, fiscal 2014 and fiscal 2013, respectively. At January 31, 2016 and February 1, 2015, total accumulated amortization of other assets is $0.2 million and $0.1 million,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future amortization of amortizable other assets are as follows as of January 31,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8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8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left="20" w:right="200" w:firstLine="441"/>
        <w:spacing w:after="0" w:line="259"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60" w:lineRule="exact"/>
        <w:rPr>
          <w:sz w:val="20"/>
          <w:szCs w:val="20"/>
          <w:color w:val="auto"/>
        </w:rPr>
      </w:pPr>
    </w:p>
    <w:p>
      <w:pPr>
        <w:ind w:left="20" w:right="20" w:firstLine="441"/>
        <w:spacing w:after="0" w:line="277" w:lineRule="auto"/>
        <w:rPr>
          <w:sz w:val="20"/>
          <w:szCs w:val="20"/>
          <w:color w:val="auto"/>
        </w:rPr>
      </w:pPr>
      <w:r>
        <w:rPr>
          <w:rFonts w:ascii="Arial" w:cs="Arial" w:eastAsia="Arial" w:hAnsi="Arial"/>
          <w:sz w:val="18"/>
          <w:szCs w:val="18"/>
          <w:color w:val="auto"/>
        </w:rPr>
        <w:t>For fiscal 2015, fiscal 2014 and fiscal 2013, management did not identify any events or changes in circumstances that indicated the potential impairment of long-lived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7" w:name="page58"/>
    <w:bookmarkEnd w:id="5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Rent Obligation</w:t>
      </w:r>
    </w:p>
    <w:p>
      <w:pPr>
        <w:spacing w:after="0" w:line="198" w:lineRule="exact"/>
        <w:rPr>
          <w:sz w:val="20"/>
          <w:szCs w:val="20"/>
          <w:color w:val="auto"/>
        </w:rPr>
      </w:pPr>
    </w:p>
    <w:p>
      <w:pPr>
        <w:ind w:left="20" w:right="240" w:firstLine="441"/>
        <w:spacing w:after="0" w:line="257" w:lineRule="auto"/>
        <w:rPr>
          <w:sz w:val="20"/>
          <w:szCs w:val="20"/>
          <w:color w:val="auto"/>
        </w:rPr>
      </w:pPr>
      <w:r>
        <w:rPr>
          <w:rFonts w:ascii="Arial" w:cs="Arial" w:eastAsia="Arial" w:hAnsi="Arial"/>
          <w:sz w:val="18"/>
          <w:szCs w:val="18"/>
          <w:color w:val="auto"/>
        </w:rPr>
        <w:t>Certain of the Company’s operating lease agreements contain provisions for future rent increases, a rent free period, and/or a period in which rental payments are reduced (abated). For each such agreement, the total amount of rental payments due over the lease term is being charged to rent expense on the straight-line method over the term of the lease. The difference between rent expense recorded and the amount paid is charged to deferred rent obligations, the current portion of which is included in accrued other expenses in the consolidated balance sheets.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Store Opening Costs</w:t>
      </w:r>
    </w:p>
    <w:p>
      <w:pPr>
        <w:spacing w:after="0" w:line="185" w:lineRule="exact"/>
        <w:rPr>
          <w:sz w:val="20"/>
          <w:szCs w:val="20"/>
          <w:color w:val="auto"/>
        </w:rPr>
      </w:pPr>
    </w:p>
    <w:p>
      <w:pPr>
        <w:ind w:left="20" w:right="480" w:firstLine="441"/>
        <w:spacing w:after="0" w:line="277" w:lineRule="auto"/>
        <w:rPr>
          <w:sz w:val="20"/>
          <w:szCs w:val="20"/>
          <w:color w:val="auto"/>
        </w:rPr>
      </w:pPr>
      <w:r>
        <w:rPr>
          <w:rFonts w:ascii="Arial" w:cs="Arial" w:eastAsia="Arial" w:hAnsi="Arial"/>
          <w:sz w:val="18"/>
          <w:szCs w:val="18"/>
          <w:color w:val="auto"/>
        </w:rPr>
        <w:t>Store opening costs consist primarily of occupancy costs and payroll expenses, which are included in selling, general and administrative expenses.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20" w:right="60" w:firstLine="441"/>
        <w:spacing w:after="0" w:line="272" w:lineRule="auto"/>
        <w:rPr>
          <w:sz w:val="20"/>
          <w:szCs w:val="20"/>
          <w:color w:val="auto"/>
        </w:rPr>
      </w:pPr>
      <w:r>
        <w:rPr>
          <w:rFonts w:ascii="Arial" w:cs="Arial" w:eastAsia="Arial" w:hAnsi="Arial"/>
          <w:sz w:val="17"/>
          <w:szCs w:val="17"/>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 At the time of adoption, the Company reserved 1,614,631 shares of Class B common stock for the issuance of awards under the 2015 Plan. On the first day of the first four fiscal years following the IPO, the number of shares reserved for future issuance under the 2015 Plan will increase by 1.25% of the number of Class A and Class B common stock outstanding on the last day of the immediately preceding fiscal year. On February 1, 2016, the number of Class B common stock issuable under the 2015 Plan was 2,018,580 shares.</w:t>
      </w:r>
    </w:p>
    <w:p>
      <w:pPr>
        <w:spacing w:after="0" w:line="137" w:lineRule="exact"/>
        <w:rPr>
          <w:sz w:val="20"/>
          <w:szCs w:val="20"/>
          <w:color w:val="auto"/>
        </w:rPr>
      </w:pPr>
    </w:p>
    <w:p>
      <w:pPr>
        <w:ind w:left="20" w:firstLine="441"/>
        <w:spacing w:after="0" w:line="297" w:lineRule="auto"/>
        <w:rPr>
          <w:sz w:val="20"/>
          <w:szCs w:val="20"/>
          <w:color w:val="auto"/>
        </w:rPr>
      </w:pPr>
      <w:r>
        <w:rPr>
          <w:rFonts w:ascii="Arial" w:cs="Arial" w:eastAsia="Arial" w:hAnsi="Arial"/>
          <w:sz w:val="16"/>
          <w:szCs w:val="16"/>
          <w:color w:val="auto"/>
        </w:rPr>
        <w:t xml:space="preserve">The Company accounts for its stock-based compensation plan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two to five years based on the terms for each individual award. The fair value of the restricted stock is determined based on the market value of the Company’s Class B common stock on the grant date.</w:t>
      </w:r>
    </w:p>
    <w:p>
      <w:pPr>
        <w:spacing w:after="0" w:line="131" w:lineRule="exact"/>
        <w:rPr>
          <w:sz w:val="20"/>
          <w:szCs w:val="20"/>
          <w:color w:val="auto"/>
        </w:rPr>
      </w:pPr>
    </w:p>
    <w:p>
      <w:pPr>
        <w:ind w:left="20" w:right="80" w:firstLine="441"/>
        <w:spacing w:after="0" w:line="312" w:lineRule="auto"/>
        <w:rPr>
          <w:sz w:val="20"/>
          <w:szCs w:val="20"/>
          <w:color w:val="auto"/>
        </w:rPr>
      </w:pPr>
      <w:r>
        <w:rPr>
          <w:rFonts w:ascii="Arial" w:cs="Arial" w:eastAsia="Arial" w:hAnsi="Arial"/>
          <w:sz w:val="16"/>
          <w:szCs w:val="16"/>
          <w:color w:val="auto"/>
        </w:rPr>
        <w:t>For restricted stock awards granted prior to the Company’s IPO, the fair value of the Company’s Class B common stock was calculated by an independent third party and was estimated by taking the average of the results of applying discounted cash flow and market comparable analyses. This value was then discounted due to the lack of marketability and liquidity of the restricted stock.</w:t>
      </w:r>
    </w:p>
    <w:p>
      <w:pPr>
        <w:spacing w:after="0" w:line="106" w:lineRule="exact"/>
        <w:rPr>
          <w:sz w:val="20"/>
          <w:szCs w:val="20"/>
          <w:color w:val="auto"/>
        </w:rPr>
      </w:pPr>
    </w:p>
    <w:p>
      <w:pPr>
        <w:ind w:left="20" w:right="80" w:firstLine="441"/>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was $0.7 million, $0.07 million and $0.08 million for fiscal 2015, fiscal 2014 and fiscal 2013, respectively, and is included in selling, general and administrative expenses on the Consolidated Statements of Operations.</w:t>
      </w:r>
    </w:p>
    <w:p>
      <w:pPr>
        <w:spacing w:after="0" w:line="141" w:lineRule="exact"/>
        <w:rPr>
          <w:sz w:val="20"/>
          <w:szCs w:val="20"/>
          <w:color w:val="auto"/>
        </w:rPr>
      </w:pPr>
    </w:p>
    <w:p>
      <w:pPr>
        <w:ind w:left="20" w:right="260" w:firstLine="441"/>
        <w:spacing w:after="0" w:line="277" w:lineRule="auto"/>
        <w:rPr>
          <w:sz w:val="20"/>
          <w:szCs w:val="20"/>
          <w:color w:val="auto"/>
        </w:rPr>
      </w:pPr>
      <w:r>
        <w:rPr>
          <w:rFonts w:ascii="Arial" w:cs="Arial" w:eastAsia="Arial" w:hAnsi="Arial"/>
          <w:sz w:val="18"/>
          <w:szCs w:val="18"/>
          <w:color w:val="auto"/>
        </w:rPr>
        <w:t>The following is a summary of the activity in the Company’s non-vested restricted stock during the years ended January, 31, 2016, February, 1, 2015 and February 2, 2014: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86"/>
              </w:rPr>
              <w:t>average</w:t>
            </w:r>
          </w:p>
        </w:tc>
      </w:tr>
      <w:tr>
        <w:trPr>
          <w:trHeight w:val="203"/>
        </w:trPr>
        <w:tc>
          <w:tcPr>
            <w:tcW w:w="6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fair value</w:t>
            </w:r>
          </w:p>
        </w:tc>
      </w:tr>
      <w:tr>
        <w:trPr>
          <w:trHeight w:val="188"/>
        </w:trPr>
        <w:tc>
          <w:tcPr>
            <w:tcW w:w="67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4, 2013</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392,490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(269,136)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123,354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16"/>
        </w:trPr>
        <w:tc>
          <w:tcPr>
            <w:tcW w:w="6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February 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70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587,769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(38,124)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7"/>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January 31, 2016</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796,353</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bl>
    <w:p>
      <w:pPr>
        <w:spacing w:after="0" w:line="202"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At January 31, 2016, the Company had unrecognized compensation expense of $1.8 million related to the restricted stock awards, which is expected to be recognized over a weighted average period of 2.4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98"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or Loss</w:t>
      </w:r>
    </w:p>
    <w:p>
      <w:pPr>
        <w:spacing w:after="0" w:line="18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Other comprehensive income or loss represents the change in equity from non-shareholder or non-member transactions, which is not included in the statements of earnings but is reported as a separate component of shareholders’ equity. For fiscal 2015, fiscal 2014 and fiscal 2013, other comprehensive income or loss consists of changes in the fair value of the Company’s interest rate swap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jc w:val="both"/>
        <w:ind w:right="16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3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Company’s interest rate swap agreement is valued in accordance with ASC 820. Exchange-traded derivatives valued using quoted prices are classified within Level 1 of the fair value hierarchy. However, most derivative contracts are not listed on an exchange and require the use of valuation models. Consistent with the framework, the Company attempts to maximize the use of observable market inputs in its models. When observable inputs are not available, the Company defaults to unobservable inputs. Derivatives valued based on models with significant unobservable inputs that not actively traded (or for which trade activity is one-way) are classified with Level 3 of the fair value hierarchy. The Company obtains fair value information regarding the interest rate swap agreement directly from the counter party. The model is based on observable inputs; therefore, the resulting obligation is classified within Level 2 of the fair value hierarchy at January 31, 2016 and February 1, 2015.</w:t>
      </w:r>
    </w:p>
    <w:p>
      <w:pPr>
        <w:spacing w:after="0" w:line="139" w:lineRule="exact"/>
        <w:rPr>
          <w:sz w:val="20"/>
          <w:szCs w:val="20"/>
          <w:color w:val="auto"/>
        </w:rPr>
      </w:pPr>
    </w:p>
    <w:p>
      <w:pPr>
        <w:ind w:right="420" w:firstLine="441"/>
        <w:spacing w:after="0" w:line="286" w:lineRule="auto"/>
        <w:rPr>
          <w:sz w:val="20"/>
          <w:szCs w:val="20"/>
          <w:color w:val="auto"/>
        </w:rPr>
      </w:pPr>
      <w:r>
        <w:rPr>
          <w:rFonts w:ascii="Arial" w:cs="Arial" w:eastAsia="Arial" w:hAnsi="Arial"/>
          <w:sz w:val="17"/>
          <w:szCs w:val="17"/>
          <w:color w:val="auto"/>
        </w:rPr>
        <w:t>The carrying values of cash, accounts receivable, accounts payable and long-term obligations approximate fair value. The carrying value of goodwill and intangible assets are tested annually, or more frequently if an event occurs that indicates an impairment loss may have been incurred, using fair value measurements with unobservable inputs (Level 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Company has reclassified certain prior year amounts to conform to the current year’s presentation. The reclassifications had no effect on prior year net income.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25" w:right="1139" w:bottom="1440" w:gutter="0" w:footer="0" w:header="0"/>
        </w:sectPr>
      </w:pPr>
    </w:p>
    <w:bookmarkStart w:id="59" w:name="page60"/>
    <w:bookmarkEnd w:id="5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right="6880" w:hanging="450"/>
        <w:spacing w:after="0" w:line="528" w:lineRule="auto"/>
        <w:tabs>
          <w:tab w:leader="none" w:pos="24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LINES OF CREDIT </w:t>
      </w:r>
      <w:r>
        <w:rPr>
          <w:rFonts w:ascii="Arial" w:cs="Arial" w:eastAsia="Arial" w:hAnsi="Arial"/>
          <w:sz w:val="17"/>
          <w:szCs w:val="17"/>
          <w:color w:val="auto"/>
        </w:rPr>
        <w:t>Debt consists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2015</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 due March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Mortgage Note due May 2019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SRV Mortgage Note due September 2017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SRV Mortgage Note due August 2016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SRV Mortgage Note due February 2015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5,683</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firstLine="441"/>
        <w:spacing w:after="0" w:line="293" w:lineRule="auto"/>
        <w:rPr>
          <w:sz w:val="20"/>
          <w:szCs w:val="20"/>
          <w:color w:val="auto"/>
        </w:rPr>
      </w:pPr>
      <w:r>
        <w:rPr>
          <w:rFonts w:ascii="Arial" w:cs="Arial" w:eastAsia="Arial" w:hAnsi="Arial"/>
          <w:sz w:val="16"/>
          <w:szCs w:val="16"/>
          <w:color w:val="auto"/>
        </w:rPr>
        <w:t>SE entered into a mortgage note (“Mortgage 2017 Note”) with an original balance of $3.8 million. The Mortgage 2017 Note expires in March 2017 and requires monthly payments of $11,900, plus interest at a rate equal to the one-month LIBOR rate plus 1.75 percentage points (effective rate of 2.2% on January 31, 2016), with a final balloon payment due in March 2017. In May 2014, the Mortgage 2017 Note was assumed by the Company in conjunction with the Company’s acquisition of the related real property from SE (see Note 5 “Variable Interest Entities”). In connection with the Mortgage 2017 Note, the Company entered into an interest rate swap agreement to reduce the impact of changes in the interest rate (see Note 4 “Derivative Financial Instrument”).</w:t>
      </w:r>
    </w:p>
    <w:p>
      <w:pPr>
        <w:spacing w:after="0" w:line="138" w:lineRule="exact"/>
        <w:rPr>
          <w:sz w:val="20"/>
          <w:szCs w:val="20"/>
          <w:color w:val="auto"/>
        </w:rPr>
      </w:pPr>
    </w:p>
    <w:p>
      <w:pPr>
        <w:ind w:left="20" w:right="360" w:firstLine="441"/>
        <w:spacing w:after="0" w:line="264" w:lineRule="auto"/>
        <w:rPr>
          <w:sz w:val="20"/>
          <w:szCs w:val="20"/>
          <w:color w:val="auto"/>
        </w:rPr>
      </w:pPr>
      <w:r>
        <w:rPr>
          <w:rFonts w:ascii="Arial" w:cs="Arial" w:eastAsia="Arial" w:hAnsi="Arial"/>
          <w:sz w:val="18"/>
          <w:szCs w:val="18"/>
          <w:color w:val="auto"/>
        </w:rPr>
        <w:t>During fiscal 2014, the Company entered into a mortgage note (“Mortgage 2019 Note”) with an original balance of $0.6 million. The Mortgage 2019 Note expires in May 2019 and requires monthly payments of $5,300 plus interest at 4%, with a final balloon payment due in May 2019.</w:t>
      </w:r>
    </w:p>
    <w:p>
      <w:pPr>
        <w:spacing w:after="0" w:line="141" w:lineRule="exact"/>
        <w:rPr>
          <w:sz w:val="20"/>
          <w:szCs w:val="20"/>
          <w:color w:val="auto"/>
        </w:rPr>
      </w:pPr>
    </w:p>
    <w:p>
      <w:pPr>
        <w:ind w:left="20" w:right="40" w:firstLine="441"/>
        <w:spacing w:after="0" w:line="259" w:lineRule="auto"/>
        <w:rPr>
          <w:sz w:val="20"/>
          <w:szCs w:val="20"/>
          <w:color w:val="auto"/>
        </w:rPr>
      </w:pPr>
      <w:r>
        <w:rPr>
          <w:rFonts w:ascii="Arial" w:cs="Arial" w:eastAsia="Arial" w:hAnsi="Arial"/>
          <w:sz w:val="18"/>
          <w:szCs w:val="18"/>
          <w:color w:val="auto"/>
        </w:rPr>
        <w:t>The Mortgage 2017 Note and Mortgage 2019 Note are secured by a commercial guaranty from the Company and collateralized by the existing real property owned by the Company in Belleville, Wisconsin. The Mortgage 2017 Note and the Mortgage 2019 Note require that the Company maintain certain financial and non-financial covenants, including a minimum tangible net worth and a minimum trailing twelve month EBITDA.</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98"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1" w:lineRule="exact"/>
        <w:rPr>
          <w:sz w:val="20"/>
          <w:szCs w:val="20"/>
          <w:color w:val="auto"/>
        </w:rPr>
      </w:pPr>
    </w:p>
    <w:p>
      <w:pPr>
        <w:jc w:val="both"/>
        <w:ind w:left="20" w:right="80" w:firstLine="441"/>
        <w:spacing w:after="0" w:line="342" w:lineRule="auto"/>
        <w:rPr>
          <w:sz w:val="20"/>
          <w:szCs w:val="20"/>
          <w:color w:val="auto"/>
        </w:rPr>
      </w:pPr>
      <w:r>
        <w:rPr>
          <w:rFonts w:ascii="Arial" w:cs="Arial" w:eastAsia="Arial" w:hAnsi="Arial"/>
          <w:sz w:val="16"/>
          <w:szCs w:val="16"/>
          <w:color w:val="auto"/>
        </w:rPr>
        <w:t>SRV entered into a mortgage note (“SRV 2016 Note”) with an original balance of $0.5 million. The SRV 2016 Note expires in August 2016 and requires monthly payments of $3,400, including interest at 4.5%, with a final balloon payment due in August 2016.</w:t>
      </w:r>
    </w:p>
    <w:p>
      <w:pPr>
        <w:spacing w:after="0" w:line="83" w:lineRule="exact"/>
        <w:rPr>
          <w:sz w:val="20"/>
          <w:szCs w:val="20"/>
          <w:color w:val="auto"/>
        </w:rPr>
      </w:pPr>
    </w:p>
    <w:p>
      <w:pPr>
        <w:ind w:left="20" w:right="200" w:firstLine="441"/>
        <w:spacing w:after="0" w:line="264" w:lineRule="auto"/>
        <w:rPr>
          <w:sz w:val="20"/>
          <w:szCs w:val="20"/>
          <w:color w:val="auto"/>
        </w:rPr>
      </w:pPr>
      <w:r>
        <w:rPr>
          <w:rFonts w:ascii="Arial" w:cs="Arial" w:eastAsia="Arial" w:hAnsi="Arial"/>
          <w:sz w:val="18"/>
          <w:szCs w:val="18"/>
          <w:color w:val="auto"/>
        </w:rPr>
        <w:t>The SRV 2017 Note and SRV 2016 Note are guaranteed by the Company’s majority shareholder and collateralized by certain real property owned by SRV in Mt. Horeb, Wisconsin. The SRV 2016 Note requires that SRV maintain certain financial and non-financial covenants, including a debt service coverage ratio.</w:t>
      </w:r>
    </w:p>
    <w:p>
      <w:pPr>
        <w:spacing w:after="0" w:line="154" w:lineRule="exact"/>
        <w:rPr>
          <w:sz w:val="20"/>
          <w:szCs w:val="20"/>
          <w:color w:val="auto"/>
        </w:rPr>
      </w:pPr>
    </w:p>
    <w:p>
      <w:pPr>
        <w:ind w:left="20" w:right="440" w:firstLine="441"/>
        <w:spacing w:after="0" w:line="277" w:lineRule="auto"/>
        <w:rPr>
          <w:sz w:val="20"/>
          <w:szCs w:val="20"/>
          <w:color w:val="auto"/>
        </w:rPr>
      </w:pPr>
      <w:r>
        <w:rPr>
          <w:rFonts w:ascii="Arial" w:cs="Arial" w:eastAsia="Arial" w:hAnsi="Arial"/>
          <w:sz w:val="18"/>
          <w:szCs w:val="18"/>
          <w:color w:val="auto"/>
        </w:rPr>
        <w:t>SRV had a mortgage note (“SRV 2015 Note”) with an original balance of $0.4 million due February 2015. The agreement terminated and the SRV 2015 Note was paid in full in February 2015.</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85" w:lineRule="exact"/>
        <w:rPr>
          <w:sz w:val="20"/>
          <w:szCs w:val="20"/>
          <w:color w:val="auto"/>
        </w:rPr>
      </w:pPr>
    </w:p>
    <w:p>
      <w:pPr>
        <w:ind w:left="20" w:firstLine="441"/>
        <w:spacing w:after="0" w:line="257" w:lineRule="auto"/>
        <w:rPr>
          <w:sz w:val="20"/>
          <w:szCs w:val="20"/>
          <w:color w:val="auto"/>
        </w:rPr>
      </w:pPr>
      <w:r>
        <w:rPr>
          <w:rFonts w:ascii="Arial" w:cs="Arial" w:eastAsia="Arial" w:hAnsi="Arial"/>
          <w:sz w:val="18"/>
          <w:szCs w:val="18"/>
          <w:color w:val="auto"/>
        </w:rPr>
        <w:t>The Company has a revolving line of credit from a bank with availability of $40.0 million, subject to certain borrowing base limits, which expires July 2018 and bears interest, payable monthly, at a rate equal to the one-month LIBOR rate plus 1.25 percentage points (effective rate of 1.7% at January 31, 2016). The revolving line of credit is secured by essentially all Company assets and requires the Company to maintain compliance with certain financial and non-financial covenants, including a minimum tangible net worth and a minimum trailing twelve month EBITDA.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0" w:name="page61"/>
    <w:bookmarkEnd w:id="6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220" w:firstLine="441"/>
        <w:spacing w:after="0" w:line="312" w:lineRule="auto"/>
        <w:rPr>
          <w:sz w:val="20"/>
          <w:szCs w:val="20"/>
          <w:color w:val="auto"/>
        </w:rPr>
      </w:pPr>
      <w:r>
        <w:rPr>
          <w:rFonts w:ascii="Arial" w:cs="Arial" w:eastAsia="Arial" w:hAnsi="Arial"/>
          <w:sz w:val="16"/>
          <w:szCs w:val="16"/>
          <w:color w:val="auto"/>
        </w:rPr>
        <w:t>SRV had available a $0.6 million revolving line of credit from a bank which bore interest, payable monthly, at a rate equal to the one-month LIBOR rate plus 1.5 percentage points. SRV had outstanding borrowings of $0.6 million on the revolving line of credit at February 1, 2015. The outstanding balance was paid in full and the agreement terminated in February 2015.</w:t>
      </w:r>
    </w:p>
    <w:p>
      <w:pPr>
        <w:spacing w:after="0" w:line="120" w:lineRule="exact"/>
        <w:rPr>
          <w:sz w:val="20"/>
          <w:szCs w:val="20"/>
          <w:color w:val="auto"/>
        </w:rPr>
      </w:pPr>
    </w:p>
    <w:p>
      <w:pPr>
        <w:ind w:left="20" w:right="80" w:firstLine="441"/>
        <w:spacing w:after="0" w:line="277" w:lineRule="auto"/>
        <w:rPr>
          <w:sz w:val="20"/>
          <w:szCs w:val="20"/>
          <w:color w:val="auto"/>
        </w:rPr>
      </w:pPr>
      <w:r>
        <w:rPr>
          <w:rFonts w:ascii="Arial" w:cs="Arial" w:eastAsia="Arial" w:hAnsi="Arial"/>
          <w:sz w:val="18"/>
          <w:szCs w:val="18"/>
          <w:color w:val="auto"/>
        </w:rPr>
        <w:t>As of January 31, 2016 and for the fiscal year then ended, the Company was in compliance with all financial and non-financial covenants for all debts discussed above.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maturities of all debt including capital leases are as follows as of January 31,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8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3,865</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8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w:t>
            </w: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DERIVATIVE FINANCIAL INSTRUMENT</w:t>
      </w:r>
    </w:p>
    <w:p>
      <w:pPr>
        <w:spacing w:after="0" w:line="202" w:lineRule="exact"/>
        <w:rPr>
          <w:sz w:val="20"/>
          <w:szCs w:val="20"/>
          <w:color w:val="auto"/>
        </w:rPr>
      </w:pPr>
    </w:p>
    <w:p>
      <w:pPr>
        <w:ind w:left="20" w:right="120" w:firstLine="441"/>
        <w:spacing w:after="0" w:line="290" w:lineRule="auto"/>
        <w:rPr>
          <w:sz w:val="20"/>
          <w:szCs w:val="20"/>
          <w:color w:val="auto"/>
        </w:rPr>
      </w:pPr>
      <w:r>
        <w:rPr>
          <w:rFonts w:ascii="Arial" w:cs="Arial" w:eastAsia="Arial" w:hAnsi="Arial"/>
          <w:sz w:val="16"/>
          <w:szCs w:val="16"/>
          <w:color w:val="auto"/>
        </w:rPr>
        <w:t>The Company uses an interest rate swap to manage its interest rate risk on the Mortgage 2017 Note (see Note 3 “Debt and Lines of Credit”). The Company does not hold or issue derivative financial instruments for trading purposes. The interest rate swap agreement has a notional principal amount equal to the outstanding balance on the Mortgage 2017 Note and matures in March 2017. The agreement effectively changes the Company’s interest rate exposure on the entire outstanding balance of the mortgage note to a fixed rate of 3%. The interest rate swap is designated as a cash flow hedge and qualifies for hedge accounting treatment using the shortcut method. Under the shortcut method, there are no gains or losses recognized due to hedge ineffectiveness and the change in the fair value of the interest rate swap is assumed to perfectly offset the change in fair value of the hedged debt. As a result, the Company reports changes in the fair value of the interest rate swap as other comprehensive income or loss in the period of change.</w:t>
      </w:r>
    </w:p>
    <w:p>
      <w:pPr>
        <w:spacing w:after="0" w:line="126" w:lineRule="exact"/>
        <w:rPr>
          <w:sz w:val="20"/>
          <w:szCs w:val="20"/>
          <w:color w:val="auto"/>
        </w:rPr>
      </w:pPr>
    </w:p>
    <w:p>
      <w:pPr>
        <w:ind w:left="20" w:right="820" w:firstLine="441"/>
        <w:spacing w:after="0" w:line="277" w:lineRule="auto"/>
        <w:rPr>
          <w:sz w:val="20"/>
          <w:szCs w:val="20"/>
          <w:color w:val="auto"/>
        </w:rPr>
      </w:pPr>
      <w:r>
        <w:rPr>
          <w:rFonts w:ascii="Arial" w:cs="Arial" w:eastAsia="Arial" w:hAnsi="Arial"/>
          <w:sz w:val="18"/>
          <w:szCs w:val="18"/>
          <w:color w:val="auto"/>
        </w:rPr>
        <w:t>The fair value of the interest rate swap agreement is recorded as a liability included in other accrued expenses on the accompanying consolidated balance sheets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4"/>
                <w:szCs w:val="14"/>
                <w:color w:val="auto"/>
              </w:rPr>
            </w:pPr>
          </w:p>
        </w:tc>
        <w:tc>
          <w:tcPr>
            <w:tcW w:w="1280" w:type="dxa"/>
            <w:vAlign w:val="bottom"/>
          </w:tcPr>
          <w:p>
            <w:pPr>
              <w:jc w:val="right"/>
              <w:ind w:right="99"/>
              <w:spacing w:after="0"/>
              <w:rPr>
                <w:sz w:val="20"/>
                <w:szCs w:val="20"/>
                <w:color w:val="auto"/>
              </w:rPr>
            </w:pPr>
            <w:r>
              <w:rPr>
                <w:rFonts w:ascii="Arial" w:cs="Arial" w:eastAsia="Arial" w:hAnsi="Arial"/>
                <w:sz w:val="14"/>
                <w:szCs w:val="14"/>
                <w:b w:val="1"/>
                <w:bCs w:val="1"/>
                <w:color w:val="auto"/>
                <w:w w:val="97"/>
              </w:rPr>
              <w:t>February 1, 2015</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VARIABLE INTEREST ENTITIES</w:t>
      </w:r>
    </w:p>
    <w:p>
      <w:pPr>
        <w:spacing w:after="0" w:line="202" w:lineRule="exact"/>
        <w:rPr>
          <w:sz w:val="20"/>
          <w:szCs w:val="20"/>
          <w:color w:val="auto"/>
        </w:rPr>
      </w:pPr>
    </w:p>
    <w:p>
      <w:pPr>
        <w:ind w:left="20" w:firstLine="441"/>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January 31, 2016 and February 1, 2015,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left="20" w:right="160" w:firstLine="441"/>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left="20" w:right="140" w:firstLine="441"/>
        <w:spacing w:after="0" w:line="257" w:lineRule="auto"/>
        <w:rPr>
          <w:sz w:val="20"/>
          <w:szCs w:val="20"/>
          <w:color w:val="auto"/>
        </w:rPr>
      </w:pPr>
      <w:r>
        <w:rPr>
          <w:rFonts w:ascii="Arial" w:cs="Arial" w:eastAsia="Arial" w:hAnsi="Arial"/>
          <w:sz w:val="18"/>
          <w:szCs w:val="18"/>
          <w:color w:val="auto"/>
        </w:rPr>
        <w:t>On May 21, 2014, the Company acquired certain real property of SRV with a net book value of $1.0 million for cash consideration of $1.1 million. SRV recorded the $0.1 million gain on disposal of this property as an adjustment to retained earnings. The Company recorded the cost and accumulated depreciation of the acquired property at book value and recorded the excess purchase price over net book value as an adjustment to retained earnings. As a result, the consolidated balance sheet was not impacted by this transaction.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1" w:name="page62"/>
    <w:bookmarkEnd w:id="6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80" w:firstLine="441"/>
        <w:spacing w:after="0" w:line="287" w:lineRule="auto"/>
        <w:rPr>
          <w:sz w:val="20"/>
          <w:szCs w:val="20"/>
          <w:color w:val="auto"/>
        </w:rPr>
      </w:pPr>
      <w:r>
        <w:rPr>
          <w:rFonts w:ascii="Arial" w:cs="Arial" w:eastAsia="Arial" w:hAnsi="Arial"/>
          <w:sz w:val="16"/>
          <w:szCs w:val="16"/>
          <w:color w:val="auto"/>
        </w:rPr>
        <w:t>Through May 21, 2014, the Company leased certain distribution and administrative office facilities from SE, a VIE whose sole purpose and activity was to own this real property. SE is a Wisconsin limited liability company that is owned by the majority shareholder of the Company. Through May 21, 2014, the Company considered itself the primary beneficiary for SE as the Company was expected to receive a majority of SE’s expected residual returns based on the activity of SE. As the Company was the primary beneficiary, it consolidated SE through that date and the lease was eliminated in consolidation. On May 21, 2014, the Company acquired certain real property of SE with a net book value of $3.0 million for total consideration of $5.0 million. The Company assumed SE’s existing mortgage note on the property, which had a carrying value of $3.4 million and paid the remaining consideration of $1.6 million in cash. SE recorded the $2.0 million gain on disposal of these assets as an adjustment to retained earnings. The Company recorded the cost and accumulated depreciation and amortization of the acquired property and loan origination fees at book value and recorded the excess purchase price over net book value as an adjustment to retained earnings. As a result, the consolidated balance sheet was not impacted by this transaction. As a result of the termination of the lease, the Company no longer leases any assets from SE and the Company no longer considers itself the primary beneficiary for SE.</w:t>
      </w:r>
    </w:p>
    <w:p>
      <w:pPr>
        <w:spacing w:after="0" w:line="142" w:lineRule="exact"/>
        <w:rPr>
          <w:sz w:val="20"/>
          <w:szCs w:val="20"/>
          <w:color w:val="auto"/>
        </w:rPr>
      </w:pPr>
    </w:p>
    <w:p>
      <w:pPr>
        <w:ind w:left="20" w:right="200" w:firstLine="441"/>
        <w:spacing w:after="0" w:line="277" w:lineRule="auto"/>
        <w:rPr>
          <w:sz w:val="20"/>
          <w:szCs w:val="20"/>
          <w:color w:val="auto"/>
        </w:rPr>
      </w:pPr>
      <w:r>
        <w:rPr>
          <w:rFonts w:ascii="Arial" w:cs="Arial" w:eastAsia="Arial" w:hAnsi="Arial"/>
          <w:sz w:val="18"/>
          <w:szCs w:val="18"/>
          <w:color w:val="auto"/>
        </w:rPr>
        <w:t>The consolidated balance sheets include the following amounts as a result of the consolidation of SRV as of January 31, 2016 and February 1, 2015: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14"/>
                <w:szCs w:val="1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February 1, 2015</w:t>
            </w:r>
          </w:p>
        </w:tc>
      </w:tr>
      <w:tr>
        <w:trPr>
          <w:trHeight w:val="18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189"/>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of credit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VIE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1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real property owned by SRV is collateral for SRV’s mortgage notes, see (Note 3 “Debt and Lines of Credit”).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consolidate Schlecht Port Washington LLC (“SPW”) as the Company is not the primary beneficiary.</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EARNINGS PER SHARE</w:t>
      </w:r>
    </w:p>
    <w:p>
      <w:pPr>
        <w:spacing w:after="0" w:line="189" w:lineRule="exact"/>
        <w:rPr>
          <w:sz w:val="20"/>
          <w:szCs w:val="20"/>
          <w:color w:val="auto"/>
        </w:rPr>
      </w:pPr>
    </w:p>
    <w:p>
      <w:pPr>
        <w:jc w:val="both"/>
        <w:ind w:left="20" w:right="80" w:firstLine="441"/>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1, 2015</w:t>
            </w:r>
          </w:p>
        </w:tc>
        <w:tc>
          <w:tcPr>
            <w:tcW w:w="160" w:type="dxa"/>
            <w:vAlign w:val="bottom"/>
          </w:tcPr>
          <w:p>
            <w:pPr>
              <w:spacing w:after="0"/>
              <w:rPr>
                <w:sz w:val="18"/>
                <w:szCs w:val="18"/>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February 2, 2014</w:t>
            </w:r>
          </w:p>
        </w:tc>
        <w:tc>
          <w:tcPr>
            <w:tcW w:w="40" w:type="dxa"/>
            <w:vAlign w:val="bottom"/>
          </w:tcPr>
          <w:p>
            <w:pPr>
              <w:spacing w:after="0"/>
              <w:rPr>
                <w:sz w:val="18"/>
                <w:szCs w:val="18"/>
                <w:color w:val="auto"/>
              </w:rPr>
            </w:pPr>
          </w:p>
        </w:tc>
      </w:tr>
      <w:tr>
        <w:trPr>
          <w:trHeight w:val="210"/>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 net income attributable to controlling interest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40" w:type="dxa"/>
            <w:vAlign w:val="bottom"/>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w w:val="91"/>
              </w:rPr>
              <w:t>Denominator - weighted average shares (Class A and Class B)</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40" w:type="dxa"/>
            <w:vAlign w:val="bottom"/>
          </w:tcPr>
          <w:p>
            <w:pPr>
              <w:spacing w:after="0"/>
              <w:rPr>
                <w:sz w:val="18"/>
                <w:szCs w:val="18"/>
                <w:color w:val="auto"/>
              </w:rPr>
            </w:pPr>
          </w:p>
        </w:tc>
      </w:tr>
      <w:tr>
        <w:trPr>
          <w:trHeight w:val="216"/>
        </w:trPr>
        <w:tc>
          <w:tcPr>
            <w:tcW w:w="4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3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40" w:type="dxa"/>
            <w:vAlign w:val="bottom"/>
          </w:tcPr>
          <w:p>
            <w:pPr>
              <w:spacing w:after="0"/>
              <w:rPr>
                <w:sz w:val="19"/>
                <w:szCs w:val="19"/>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Earnings per share (Class A and Class B)</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18"/>
                <w:szCs w:val="18"/>
                <w:color w:val="auto"/>
              </w:rPr>
            </w:pPr>
          </w:p>
        </w:tc>
      </w:tr>
      <w:tr>
        <w:trPr>
          <w:trHeight w:val="231"/>
        </w:trPr>
        <w:tc>
          <w:tcPr>
            <w:tcW w:w="4640" w:type="dxa"/>
            <w:vAlign w:val="bottom"/>
          </w:tcPr>
          <w:p>
            <w:pPr>
              <w:ind w:left="12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r>
      <w:tr>
        <w:trPr>
          <w:trHeight w:val="756"/>
        </w:trPr>
        <w:tc>
          <w:tcPr>
            <w:tcW w:w="4640" w:type="dxa"/>
            <w:vAlign w:val="bottom"/>
          </w:tcPr>
          <w:p>
            <w:pPr>
              <w:spacing w:after="0"/>
              <w:rPr>
                <w:sz w:val="24"/>
                <w:szCs w:val="24"/>
                <w:color w:val="auto"/>
              </w:rPr>
            </w:pP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4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6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2" w:name="page63"/>
    <w:bookmarkEnd w:id="6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SEGMENT REPORTING</w:t>
      </w:r>
    </w:p>
    <w:p>
      <w:pPr>
        <w:spacing w:after="0" w:line="189" w:lineRule="exact"/>
        <w:rPr>
          <w:sz w:val="20"/>
          <w:szCs w:val="20"/>
          <w:color w:val="auto"/>
        </w:rPr>
      </w:pPr>
    </w:p>
    <w:p>
      <w:pPr>
        <w:ind w:left="20" w:right="20" w:firstLine="441"/>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revenues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left="20" w:right="340" w:firstLine="441"/>
        <w:spacing w:after="0" w:line="257" w:lineRule="auto"/>
        <w:rPr>
          <w:sz w:val="20"/>
          <w:szCs w:val="20"/>
          <w:color w:val="auto"/>
        </w:rPr>
      </w:pPr>
      <w:r>
        <w:rPr>
          <w:rFonts w:ascii="Arial" w:cs="Arial" w:eastAsia="Arial" w:hAnsi="Arial"/>
          <w:sz w:val="18"/>
          <w:szCs w:val="18"/>
          <w:color w:val="auto"/>
        </w:rPr>
        <w:t>Interest expense, income tax expense, and corporate expenses, which include but are not limited to: human resources, legal, finance, information technology, design and other corporate related expenses, are included in the Company’s direct segment. Depreciation and amortization, and property and equipment expenditures, are recognized in each respective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ind w:left="20" w:right="80" w:firstLine="441"/>
        <w:spacing w:after="0" w:line="277" w:lineRule="auto"/>
        <w:rPr>
          <w:sz w:val="20"/>
          <w:szCs w:val="20"/>
          <w:color w:val="auto"/>
        </w:rPr>
      </w:pPr>
      <w:r>
        <w:rPr>
          <w:rFonts w:ascii="Arial" w:cs="Arial" w:eastAsia="Arial" w:hAnsi="Arial"/>
          <w:sz w:val="18"/>
          <w:szCs w:val="18"/>
          <w:color w:val="auto"/>
        </w:rPr>
        <w:t>Variable allocations of assets are not made for segment reporting. The Company does not have any assets outside of the United States. Sales outside of the United States were insignificant.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3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February 1, 2015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February 2, 2014</w:t>
            </w:r>
          </w:p>
        </w:tc>
        <w:tc>
          <w:tcPr>
            <w:tcW w:w="40" w:type="dxa"/>
            <w:vAlign w:val="bottom"/>
          </w:tcPr>
          <w:p>
            <w:pPr>
              <w:spacing w:after="0"/>
              <w:rPr>
                <w:sz w:val="18"/>
                <w:szCs w:val="18"/>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Direct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266,341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208,909</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152,896</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40" w:type="dxa"/>
            <w:vAlign w:val="bottom"/>
          </w:tcPr>
          <w:p>
            <w:pPr>
              <w:spacing w:after="0"/>
              <w:rPr>
                <w:sz w:val="18"/>
                <w:szCs w:val="18"/>
                <w:color w:val="auto"/>
              </w:rPr>
            </w:pPr>
          </w:p>
        </w:tc>
      </w:tr>
      <w:tr>
        <w:trPr>
          <w:trHeight w:val="217"/>
        </w:trPr>
        <w:tc>
          <w:tcPr>
            <w:tcW w:w="3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net sales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304,157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231,867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163,089</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Direct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21,031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19,500</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15,195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r>
      <w:tr>
        <w:trPr>
          <w:trHeight w:val="210"/>
        </w:trPr>
        <w:tc>
          <w:tcPr>
            <w:tcW w:w="3840" w:type="dxa"/>
            <w:vAlign w:val="bottom"/>
          </w:tcPr>
          <w:p>
            <w:pPr>
              <w:ind w:left="120"/>
              <w:spacing w:after="0"/>
              <w:rPr>
                <w:sz w:val="20"/>
                <w:szCs w:val="20"/>
                <w:color w:val="auto"/>
              </w:rPr>
            </w:pPr>
            <w:r>
              <w:rPr>
                <w:rFonts w:ascii="Arial" w:cs="Arial" w:eastAsia="Arial" w:hAnsi="Arial"/>
                <w:sz w:val="18"/>
                <w:szCs w:val="18"/>
                <w:color w:val="auto"/>
              </w:rPr>
              <w:t>Total operating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16,215</w:t>
            </w:r>
          </w:p>
        </w:tc>
        <w:tc>
          <w:tcPr>
            <w:tcW w:w="4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40" w:type="dxa"/>
            <w:vAlign w:val="bottom"/>
          </w:tcPr>
          <w:p>
            <w:pPr>
              <w:spacing w:after="0"/>
              <w:rPr>
                <w:sz w:val="19"/>
                <w:szCs w:val="19"/>
                <w:color w:val="auto"/>
              </w:rPr>
            </w:pPr>
          </w:p>
        </w:tc>
      </w:tr>
      <w:tr>
        <w:trPr>
          <w:trHeight w:val="608"/>
        </w:trPr>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total assets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February 1, 2015</w:t>
            </w:r>
          </w:p>
        </w:tc>
        <w:tc>
          <w:tcPr>
            <w:tcW w:w="40" w:type="dxa"/>
            <w:vAlign w:val="bottom"/>
          </w:tcPr>
          <w:p>
            <w:pPr>
              <w:spacing w:after="0"/>
              <w:rPr>
                <w:sz w:val="24"/>
                <w:szCs w:val="24"/>
                <w:color w:val="auto"/>
              </w:rPr>
            </w:pPr>
          </w:p>
        </w:tc>
      </w:tr>
      <w:tr>
        <w:trPr>
          <w:trHeight w:val="183"/>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61,653</w:t>
            </w:r>
          </w:p>
        </w:tc>
        <w:tc>
          <w:tcPr>
            <w:tcW w:w="40" w:type="dxa"/>
            <w:vAlign w:val="bottom"/>
          </w:tcPr>
          <w:p>
            <w:pPr>
              <w:spacing w:after="0"/>
              <w:rPr>
                <w:sz w:val="18"/>
                <w:szCs w:val="18"/>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c>
          <w:tcPr>
            <w:tcW w:w="40" w:type="dxa"/>
            <w:vAlign w:val="bottom"/>
          </w:tcPr>
          <w:p>
            <w:pPr>
              <w:spacing w:after="0"/>
              <w:rPr>
                <w:sz w:val="18"/>
                <w:szCs w:val="18"/>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period end</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70,949</w:t>
            </w:r>
          </w:p>
        </w:tc>
        <w:tc>
          <w:tcPr>
            <w:tcW w:w="40" w:type="dxa"/>
            <w:vAlign w:val="bottom"/>
          </w:tcPr>
          <w:p>
            <w:pPr>
              <w:spacing w:after="0"/>
              <w:rPr>
                <w:sz w:val="19"/>
                <w:szCs w:val="19"/>
                <w:color w:val="auto"/>
              </w:rPr>
            </w:pPr>
          </w:p>
        </w:tc>
      </w:tr>
      <w:tr>
        <w:trPr>
          <w:trHeight w:val="595"/>
        </w:trPr>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depreciation and amortization</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February 1, 2015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February 2, 2014</w:t>
            </w:r>
          </w:p>
        </w:tc>
        <w:tc>
          <w:tcPr>
            <w:tcW w:w="40" w:type="dxa"/>
            <w:vAlign w:val="bottom"/>
          </w:tcPr>
          <w:p>
            <w:pPr>
              <w:spacing w:after="0"/>
              <w:rPr>
                <w:sz w:val="15"/>
                <w:szCs w:val="15"/>
                <w:color w:val="auto"/>
              </w:rPr>
            </w:pPr>
          </w:p>
        </w:tc>
      </w:tr>
      <w:tr>
        <w:trPr>
          <w:trHeight w:val="183"/>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0" w:type="dxa"/>
            <w:vAlign w:val="bottom"/>
          </w:tcPr>
          <w:p>
            <w:pPr>
              <w:spacing w:after="0"/>
              <w:rPr>
                <w:sz w:val="18"/>
                <w:szCs w:val="18"/>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40" w:type="dxa"/>
            <w:vAlign w:val="bottom"/>
          </w:tcPr>
          <w:p>
            <w:pPr>
              <w:spacing w:after="0"/>
              <w:rPr>
                <w:sz w:val="19"/>
                <w:szCs w:val="19"/>
                <w:color w:val="auto"/>
              </w:rPr>
            </w:pPr>
          </w:p>
        </w:tc>
      </w:tr>
      <w:tr>
        <w:trPr>
          <w:trHeight w:val="758"/>
        </w:trPr>
        <w:tc>
          <w:tcPr>
            <w:tcW w:w="384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3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8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3" w:name="page64"/>
    <w:bookmarkEnd w:id="6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Segment capital expenditures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2016</w:t>
            </w: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1, 2015</w:t>
            </w:r>
          </w:p>
        </w:tc>
        <w:tc>
          <w:tcPr>
            <w:tcW w:w="140" w:type="dxa"/>
            <w:vAlign w:val="bottom"/>
          </w:tcPr>
          <w:p>
            <w:pPr>
              <w:spacing w:after="0"/>
              <w:rPr>
                <w:sz w:val="15"/>
                <w:szCs w:val="15"/>
                <w:color w:val="auto"/>
              </w:rPr>
            </w:pPr>
          </w:p>
        </w:tc>
        <w:tc>
          <w:tcPr>
            <w:tcW w:w="12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February 2, 2014</w:t>
            </w: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r>
      <w:tr>
        <w:trPr>
          <w:trHeight w:val="21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r>
    </w:tbl>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left="20" w:right="100" w:firstLine="441"/>
        <w:spacing w:after="0" w:line="277" w:lineRule="auto"/>
        <w:rPr>
          <w:sz w:val="20"/>
          <w:szCs w:val="20"/>
          <w:color w:val="auto"/>
        </w:rPr>
      </w:pPr>
      <w:r>
        <w:rPr>
          <w:rFonts w:ascii="Arial" w:cs="Arial" w:eastAsia="Arial" w:hAnsi="Arial"/>
          <w:sz w:val="18"/>
          <w:szCs w:val="18"/>
          <w:color w:val="auto"/>
        </w:rPr>
        <w:t>On November 25, 2015, the Company’s “S” corporation status terminated and the Company became subject to corporate-level federal and state income taxes at prevailing corporate rates.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for the year ended January 31, 2016 were as follows: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123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Current: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Federal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0"/>
        </w:trPr>
        <w:tc>
          <w:tcPr>
            <w:tcW w:w="8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Federal</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0"/>
        </w:trPr>
        <w:tc>
          <w:tcPr>
            <w:tcW w:w="8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20" w:right="280" w:firstLine="431"/>
        <w:spacing w:after="0" w:line="277" w:lineRule="auto"/>
        <w:tabs>
          <w:tab w:leader="none" w:pos="6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reconciliation of income tax expense to the amount computed at the federal statutory rate is as follows for the year ended January 31, 2016: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35.0 %</w:t>
            </w:r>
          </w:p>
        </w:tc>
      </w:tr>
      <w:tr>
        <w:trPr>
          <w:trHeight w:val="202"/>
        </w:trPr>
        <w:tc>
          <w:tcPr>
            <w:tcW w:w="7000" w:type="dxa"/>
            <w:vAlign w:val="bottom"/>
          </w:tcPr>
          <w:p>
            <w:pPr>
              <w:ind w:left="20"/>
              <w:spacing w:after="0" w:line="201" w:lineRule="exact"/>
              <w:rPr>
                <w:sz w:val="20"/>
                <w:szCs w:val="20"/>
                <w:color w:val="auto"/>
              </w:rPr>
            </w:pPr>
            <w:r>
              <w:rPr>
                <w:rFonts w:ascii="Arial" w:cs="Arial" w:eastAsia="Arial" w:hAnsi="Arial"/>
                <w:sz w:val="18"/>
                <w:szCs w:val="18"/>
                <w:color w:val="auto"/>
              </w:rPr>
              <w:t>Tax effect of earnings not subject to federal income tax due to</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"S" corporation status</w:t>
            </w:r>
          </w:p>
        </w:tc>
        <w:tc>
          <w:tcPr>
            <w:tcW w:w="5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(8,952)</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(31.1)%</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0.4 %</w:t>
            </w:r>
          </w:p>
        </w:tc>
      </w:tr>
      <w:tr>
        <w:trPr>
          <w:trHeight w:val="216"/>
        </w:trPr>
        <w:tc>
          <w:tcPr>
            <w:tcW w:w="7000" w:type="dxa"/>
            <w:vAlign w:val="bottom"/>
          </w:tcPr>
          <w:p>
            <w:pPr>
              <w:ind w:left="20"/>
              <w:spacing w:after="0"/>
              <w:rPr>
                <w:sz w:val="20"/>
                <w:szCs w:val="20"/>
                <w:color w:val="auto"/>
              </w:rPr>
            </w:pPr>
            <w:r>
              <w:rPr>
                <w:rFonts w:ascii="Arial" w:cs="Arial" w:eastAsia="Arial" w:hAnsi="Arial"/>
                <w:sz w:val="18"/>
                <w:szCs w:val="18"/>
                <w:color w:val="auto"/>
              </w:rPr>
              <w:t>Impact of change in tax status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0.3 %</w:t>
            </w:r>
          </w:p>
        </w:tc>
      </w:tr>
      <w:tr>
        <w:trPr>
          <w:trHeight w:val="217"/>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20" w:right="420" w:firstLine="441"/>
        <w:spacing w:after="0" w:line="277" w:lineRule="auto"/>
        <w:rPr>
          <w:sz w:val="20"/>
          <w:szCs w:val="20"/>
          <w:color w:val="auto"/>
        </w:rPr>
      </w:pPr>
      <w:r>
        <w:rPr>
          <w:rFonts w:ascii="Arial" w:cs="Arial" w:eastAsia="Arial" w:hAnsi="Arial"/>
          <w:sz w:val="18"/>
          <w:szCs w:val="18"/>
          <w:color w:val="auto"/>
        </w:rPr>
        <w:t>As a result of the conversion to a “C” corporation, the Company recorded an increase in net deferred tax liabilities of $0.1 million and a one-time deferred tax expense of $0.1 million during the fourth quarter of fiscal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120" w:top="125" w:right="1119" w:bottom="1440" w:gutter="0" w:footer="0" w:header="0"/>
        </w:sectPr>
      </w:pPr>
    </w:p>
    <w:bookmarkStart w:id="64" w:name="page65"/>
    <w:bookmarkEnd w:id="6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20" w:right="4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U.S. GAAP and tax bases of assets and liabilities. Significant components of deferred tax assets and liabilities as of January 31, 2016, were as follows: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12330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330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tax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Returns allowance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Uniform capitalization</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Accruals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03"/>
        </w:trPr>
        <w:tc>
          <w:tcPr>
            <w:tcW w:w="8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820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ind w:left="20" w:right="80" w:firstLine="441"/>
        <w:spacing w:after="0" w:line="279" w:lineRule="auto"/>
        <w:rPr>
          <w:sz w:val="20"/>
          <w:szCs w:val="20"/>
          <w:color w:val="auto"/>
        </w:rPr>
      </w:pPr>
      <w:r>
        <w:rPr>
          <w:rFonts w:ascii="Arial" w:cs="Arial" w:eastAsia="Arial" w:hAnsi="Arial"/>
          <w:sz w:val="17"/>
          <w:szCs w:val="17"/>
          <w:color w:val="auto"/>
        </w:rPr>
        <w:t>As of January 31, 2016 and February 1, 2015, there were no material unrecognized tax benefits. The Company does not anticipate that there will be a material change in the balance of the unrecognized tax benefits in the next 12 months. Any interest and penalties related to uncertain tax positions are recorded in income tax expense. There were no amounts recorded as tax expense for interest or penalties for the years ended January 31, 2016, February 1, 2015 and February 2, 2014.</w:t>
      </w:r>
    </w:p>
    <w:p>
      <w:pPr>
        <w:spacing w:after="0" w:line="131" w:lineRule="exact"/>
        <w:rPr>
          <w:sz w:val="20"/>
          <w:szCs w:val="20"/>
          <w:color w:val="auto"/>
        </w:rPr>
      </w:pPr>
    </w:p>
    <w:p>
      <w:pPr>
        <w:ind w:left="20" w:right="280" w:firstLine="441"/>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in various state jurisdictions. Federal tax returns for tax years beginning January 1, 2012, and state tax returns for tax years beginning January 1, 2011, are open for examination.</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LEASES</w:t>
      </w:r>
    </w:p>
    <w:p>
      <w:pPr>
        <w:spacing w:after="0" w:line="202" w:lineRule="exact"/>
        <w:rPr>
          <w:sz w:val="20"/>
          <w:szCs w:val="20"/>
          <w:color w:val="auto"/>
        </w:rPr>
      </w:pPr>
    </w:p>
    <w:p>
      <w:pPr>
        <w:ind w:left="20" w:right="160" w:firstLine="441"/>
        <w:spacing w:after="0" w:line="308" w:lineRule="auto"/>
        <w:rPr>
          <w:sz w:val="20"/>
          <w:szCs w:val="20"/>
          <w:color w:val="auto"/>
        </w:rPr>
      </w:pPr>
      <w:r>
        <w:rPr>
          <w:rFonts w:ascii="Arial" w:cs="Arial" w:eastAsia="Arial" w:hAnsi="Arial"/>
          <w:sz w:val="17"/>
          <w:szCs w:val="17"/>
          <w:color w:val="auto"/>
        </w:rPr>
        <w:t>The Company is party to non-cancellable operating leases. Store leases generally have initial lease terms ranging from five to ten years with renewal options on substantially the same terms and conditions as the original leases.</w:t>
      </w:r>
    </w:p>
    <w:p>
      <w:pPr>
        <w:spacing w:after="0" w:line="106" w:lineRule="exact"/>
        <w:rPr>
          <w:sz w:val="20"/>
          <w:szCs w:val="20"/>
          <w:color w:val="auto"/>
        </w:rPr>
      </w:pPr>
    </w:p>
    <w:p>
      <w:pPr>
        <w:ind w:left="20" w:right="20" w:firstLine="441"/>
        <w:spacing w:after="0" w:line="255" w:lineRule="auto"/>
        <w:rPr>
          <w:sz w:val="20"/>
          <w:szCs w:val="20"/>
          <w:color w:val="auto"/>
        </w:rPr>
      </w:pPr>
      <w:r>
        <w:rPr>
          <w:rFonts w:ascii="Arial" w:cs="Arial" w:eastAsia="Arial" w:hAnsi="Arial"/>
          <w:sz w:val="18"/>
          <w:szCs w:val="18"/>
          <w:color w:val="auto"/>
        </w:rPr>
        <w:t>The Company leases retail space in Port Washington, Wisconsin from SPW, an entity that is owned by the majority shareholder of the Company. The lease expires in December 2023 and is accounted for as an operating lease. The Company has the option to renew the lease for one additional five-year period under substantially the same terms. The lease provides for base monthly payments of $10,600 beginning in October 2013 and effective January 2015, monthly payments increase by 2% annually. As of January 31, 2016, the base monthly payment was $11,000. Rental expense was $0.1 million for both fiscal 2015 and fiscal 2014 and $0.09 million for fiscal 2013.</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the non-cancellable operating leases are as follows as of January 31, 2016:</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party</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183"/>
        </w:trPr>
        <w:tc>
          <w:tcPr>
            <w:tcW w:w="5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r>
      <w:tr>
        <w:trPr>
          <w:trHeight w:val="216"/>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w:t>
            </w:r>
          </w:p>
        </w:tc>
      </w:tr>
      <w:tr>
        <w:trPr>
          <w:trHeight w:val="217"/>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20,546</w:t>
            </w:r>
          </w:p>
        </w:tc>
      </w:tr>
    </w:tbl>
    <w:p>
      <w:pPr>
        <w:spacing w:after="0" w:line="202" w:lineRule="exact"/>
        <w:rPr>
          <w:sz w:val="20"/>
          <w:szCs w:val="20"/>
          <w:color w:val="auto"/>
        </w:rPr>
      </w:pPr>
    </w:p>
    <w:p>
      <w:pPr>
        <w:ind w:left="20" w:right="340" w:firstLine="441"/>
        <w:spacing w:after="0" w:line="277" w:lineRule="auto"/>
        <w:rPr>
          <w:sz w:val="20"/>
          <w:szCs w:val="20"/>
          <w:color w:val="auto"/>
        </w:rPr>
      </w:pPr>
      <w:r>
        <w:rPr>
          <w:rFonts w:ascii="Arial" w:cs="Arial" w:eastAsia="Arial" w:hAnsi="Arial"/>
          <w:sz w:val="18"/>
          <w:szCs w:val="18"/>
          <w:color w:val="auto"/>
        </w:rPr>
        <w:t>Total rent expense under non-cancellable operating leases were $1.7 million for fiscal 2015 and $1.2 million for both fiscal 2014 and fiscal 2013.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5" w:name="page66"/>
    <w:bookmarkEnd w:id="6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RELATED PARTY TRANSACTIONS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certain real property from an entity owned by the majority shareholder. See Note 9 “Leases.”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RETIREMENT PLAN</w:t>
      </w:r>
    </w:p>
    <w:p>
      <w:pPr>
        <w:spacing w:after="0" w:line="189" w:lineRule="exact"/>
        <w:rPr>
          <w:sz w:val="20"/>
          <w:szCs w:val="20"/>
          <w:color w:val="auto"/>
        </w:rPr>
      </w:pPr>
    </w:p>
    <w:p>
      <w:pPr>
        <w:ind w:left="20" w:right="100" w:firstLine="441"/>
        <w:spacing w:after="0" w:line="279" w:lineRule="auto"/>
        <w:rPr>
          <w:sz w:val="20"/>
          <w:szCs w:val="20"/>
          <w:color w:val="auto"/>
        </w:rPr>
      </w:pPr>
      <w:r>
        <w:rPr>
          <w:rFonts w:ascii="Arial" w:cs="Arial" w:eastAsia="Arial" w:hAnsi="Arial"/>
          <w:sz w:val="17"/>
          <w:szCs w:val="17"/>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44" w:lineRule="exact"/>
        <w:rPr>
          <w:sz w:val="20"/>
          <w:szCs w:val="20"/>
          <w:color w:val="auto"/>
        </w:rPr>
      </w:pPr>
    </w:p>
    <w:p>
      <w:pPr>
        <w:ind w:left="20" w:right="40" w:firstLine="441"/>
        <w:spacing w:after="0" w:line="259" w:lineRule="auto"/>
        <w:rPr>
          <w:sz w:val="20"/>
          <w:szCs w:val="20"/>
          <w:color w:val="auto"/>
        </w:rPr>
      </w:pPr>
      <w:r>
        <w:rPr>
          <w:rFonts w:ascii="Arial" w:cs="Arial" w:eastAsia="Arial" w:hAnsi="Arial"/>
          <w:sz w:val="18"/>
          <w:szCs w:val="18"/>
          <w:color w:val="auto"/>
        </w:rPr>
        <w:t>The Company is also permitted to make discretionary profit sharing contributions to the Plan. There were no profit sharing contributions for the plan year ended December 31, 2015 and 2014. For the plan year ended December 31, 2013, the Company elected to make a profit sharing contribution to the Plan on behalf of all eligible participants equal to 5% of eligible wages, as defined by the Plan.</w:t>
      </w:r>
    </w:p>
    <w:p>
      <w:pPr>
        <w:spacing w:after="0" w:line="146" w:lineRule="exact"/>
        <w:rPr>
          <w:sz w:val="20"/>
          <w:szCs w:val="20"/>
          <w:color w:val="auto"/>
        </w:rPr>
      </w:pPr>
    </w:p>
    <w:p>
      <w:pPr>
        <w:ind w:left="20" w:right="140" w:firstLine="441"/>
        <w:spacing w:after="0" w:line="277" w:lineRule="auto"/>
        <w:rPr>
          <w:sz w:val="20"/>
          <w:szCs w:val="20"/>
          <w:color w:val="auto"/>
        </w:rPr>
      </w:pPr>
      <w:r>
        <w:rPr>
          <w:rFonts w:ascii="Arial" w:cs="Arial" w:eastAsia="Arial" w:hAnsi="Arial"/>
          <w:sz w:val="18"/>
          <w:szCs w:val="18"/>
          <w:color w:val="auto"/>
        </w:rPr>
        <w:t>The Company’s total expenses under the Plan were $0.5 million, $0.4 million and $0.6 million for fiscal 2015, fiscal 2014 and fiscal 2013, respectively.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ind w:left="20" w:right="40" w:firstLine="441"/>
        <w:spacing w:after="0" w:line="271" w:lineRule="auto"/>
        <w:rPr>
          <w:sz w:val="20"/>
          <w:szCs w:val="20"/>
          <w:color w:val="auto"/>
        </w:rPr>
      </w:pPr>
      <w:r>
        <w:rPr>
          <w:rFonts w:ascii="Arial" w:cs="Arial" w:eastAsia="Arial" w:hAnsi="Arial"/>
          <w:sz w:val="17"/>
          <w:szCs w:val="17"/>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QUARTERLY FINANCIAL DATA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Fiscal 2015</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0"/>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c>
          <w:tcPr>
            <w:tcW w:w="40" w:type="dxa"/>
            <w:vAlign w:val="bottom"/>
          </w:tcPr>
          <w:p>
            <w:pPr>
              <w:spacing w:after="0"/>
              <w:rPr>
                <w:sz w:val="17"/>
                <w:szCs w:val="17"/>
                <w:color w:val="auto"/>
              </w:rPr>
            </w:pPr>
          </w:p>
        </w:tc>
      </w:tr>
      <w:tr>
        <w:trPr>
          <w:trHeight w:val="171"/>
        </w:trPr>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r>
      <w:tr>
        <w:trPr>
          <w:trHeight w:val="183"/>
        </w:trPr>
        <w:tc>
          <w:tcPr>
            <w:tcW w:w="348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earnings per common share)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140,377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r>
      <w:tr>
        <w:trPr>
          <w:trHeight w:val="203"/>
        </w:trPr>
        <w:tc>
          <w:tcPr>
            <w:tcW w:w="25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32,663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30,462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31,604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78,792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w:t>
            </w:r>
          </w:p>
        </w:tc>
        <w:tc>
          <w:tcPr>
            <w:tcW w:w="40" w:type="dxa"/>
            <w:vAlign w:val="bottom"/>
          </w:tcPr>
          <w:p>
            <w:pPr>
              <w:spacing w:after="0"/>
              <w:rPr>
                <w:sz w:val="17"/>
                <w:szCs w:val="17"/>
                <w:color w:val="auto"/>
              </w:rPr>
            </w:pPr>
          </w:p>
        </w:tc>
      </w:tr>
      <w:tr>
        <w:trPr>
          <w:trHeight w:val="20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17"/>
                <w:szCs w:val="17"/>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67"/>
        </w:trPr>
        <w:tc>
          <w:tcPr>
            <w:tcW w:w="252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2,691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17,540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4"/>
                <w:szCs w:val="14"/>
                <w:color w:val="auto"/>
              </w:rPr>
            </w:pPr>
          </w:p>
        </w:tc>
      </w:tr>
      <w:tr>
        <w:trPr>
          <w:trHeight w:val="29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92"/>
        </w:trPr>
        <w:tc>
          <w:tcPr>
            <w:tcW w:w="252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52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252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94"/>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2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5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66" w:name="page67"/>
    <w:bookmarkEnd w:id="6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Fiscal 2014</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0"/>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Fourth</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r>
      <w:tr>
        <w:trPr>
          <w:trHeight w:val="171"/>
        </w:trPr>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Sales</w:t>
            </w:r>
          </w:p>
        </w:tc>
      </w:tr>
      <w:tr>
        <w:trPr>
          <w:trHeight w:val="183"/>
        </w:trPr>
        <w:tc>
          <w:tcPr>
            <w:tcW w:w="348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earnings per common share)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35,860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110,131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25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25,061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20,692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23,938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61,299</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203"/>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24"/>
        </w:trPr>
        <w:tc>
          <w:tcPr>
            <w:tcW w:w="2520" w:type="dxa"/>
            <w:vAlign w:val="bottom"/>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67"/>
        </w:trPr>
        <w:tc>
          <w:tcPr>
            <w:tcW w:w="2520" w:type="dxa"/>
            <w:vAlign w:val="bottom"/>
          </w:tcPr>
          <w:p>
            <w:pPr>
              <w:ind w:left="80"/>
              <w:spacing w:after="0"/>
              <w:rPr>
                <w:sz w:val="20"/>
                <w:szCs w:val="20"/>
                <w:color w:val="auto"/>
              </w:rPr>
            </w:pPr>
            <w:r>
              <w:rPr>
                <w:rFonts w:ascii="Arial" w:cs="Arial" w:eastAsia="Arial" w:hAnsi="Arial"/>
                <w:sz w:val="14"/>
                <w:szCs w:val="14"/>
                <w:color w:val="auto"/>
              </w:rPr>
              <w:t>controlling interest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4,101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13,899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9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149"/>
        </w:trPr>
        <w:tc>
          <w:tcPr>
            <w:tcW w:w="2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92"/>
        </w:trPr>
        <w:tc>
          <w:tcPr>
            <w:tcW w:w="252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2520" w:type="dxa"/>
            <w:vAlign w:val="bottom"/>
          </w:tcPr>
          <w:p>
            <w:pPr>
              <w:ind w:left="80"/>
              <w:spacing w:after="0" w:line="149" w:lineRule="exact"/>
              <w:rPr>
                <w:sz w:val="20"/>
                <w:szCs w:val="20"/>
                <w:color w:val="auto"/>
              </w:rPr>
            </w:pPr>
            <w:r>
              <w:rPr>
                <w:rFonts w:ascii="Arial" w:cs="Arial" w:eastAsia="Arial" w:hAnsi="Arial"/>
                <w:sz w:val="14"/>
                <w:szCs w:val="14"/>
                <w:color w:val="auto"/>
              </w:rPr>
              <w:t>attributable to controlling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520" w:type="dxa"/>
            <w:vAlign w:val="bottom"/>
          </w:tcPr>
          <w:p>
            <w:pPr>
              <w:ind w:left="80"/>
              <w:spacing w:after="0"/>
              <w:rPr>
                <w:sz w:val="20"/>
                <w:szCs w:val="20"/>
                <w:color w:val="auto"/>
              </w:rPr>
            </w:pPr>
            <w:r>
              <w:rPr>
                <w:rFonts w:ascii="Arial" w:cs="Arial" w:eastAsia="Arial" w:hAnsi="Arial"/>
                <w:sz w:val="14"/>
                <w:szCs w:val="14"/>
                <w:color w:val="auto"/>
              </w:rPr>
              <w:t>(Class A and Class B)</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RECENT ACCOUNTING PRONOUNCEMENTS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20" w:right="20" w:hanging="10"/>
        <w:spacing w:after="0" w:line="267" w:lineRule="auto"/>
        <w:tabs>
          <w:tab w:leader="none" w:pos="395" w:val="left"/>
        </w:tabs>
        <w:numPr>
          <w:ilvl w:val="0"/>
          <w:numId w:val="33"/>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and early adoption is not permitted. Accordingly, the Company will adopt ASU 2014-09 on January 29, 2018, the first day of the Company’s first quarter for the fiscal year ending February 3, 2019, the Company’s fiscal year 2018. The Company has not selected a method for adoption nor determined the potential effects on the Company’s consolidated financial statements.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left="20" w:right="60" w:hanging="10"/>
        <w:spacing w:after="0" w:line="268" w:lineRule="auto"/>
        <w:tabs>
          <w:tab w:leader="none" w:pos="395" w:val="left"/>
        </w:tabs>
        <w:numPr>
          <w:ilvl w:val="0"/>
          <w:numId w:val="34"/>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the Company will adopt ASU 2015-11 on January 30, 2017, the first day of the Company’s first quarter for the fiscal year ending January 28, 2018, the Company’s fiscal year 2017. The Company has not determined the impact of this new accounting guidance on the Company’s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9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In November 2015, the FASB issued Accounting Standards Update No. 2015-17, </w:t>
      </w:r>
      <w:r>
        <w:rPr>
          <w:rFonts w:ascii="Arial" w:cs="Arial" w:eastAsia="Arial" w:hAnsi="Arial"/>
          <w:sz w:val="17"/>
          <w:szCs w:val="17"/>
          <w:i w:val="1"/>
          <w:iCs w:val="1"/>
          <w:color w:val="auto"/>
        </w:rPr>
        <w:t>Balance Sheet Classification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(Topic 740) (“ASU 2015-17”), which requires the classification of all deferred tax assets and liabilities as noncurrent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has adopted ASU 2015-17 as of January 31, 2016 and has reported deferred tax assets and liabilities as noncurrent on the balance sheet.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the Company will adopt ASU 2016-02 on February 4, 2019, the first day of the Company’s first quarter for the fiscal year ending February 2, 2020, the Company’s fiscal year 2019. The Company has not determined the impact of this new accounting guidance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January 31, 2016, February 1, 2015 and February 2,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Cost and</w:t>
            </w: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Ending</w:t>
            </w:r>
          </w:p>
        </w:tc>
      </w:tr>
      <w:tr>
        <w:trPr>
          <w:trHeight w:val="188"/>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w:t>
            </w:r>
          </w:p>
        </w:tc>
      </w:tr>
      <w:tr>
        <w:trPr>
          <w:trHeight w:val="196"/>
        </w:trPr>
        <w:tc>
          <w:tcPr>
            <w:tcW w:w="2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Inventory reserve</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January 31,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1, 2015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February 2, 2014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03"/>
        </w:trPr>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Product returns reserve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January 31, 2016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 ended February 1, 2015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February 2, 2014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617410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25" w:right="11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940" w:right="420" w:hanging="958"/>
        <w:spacing w:after="0" w:line="277" w:lineRule="auto"/>
        <w:tabs>
          <w:tab w:leader="none" w:pos="9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color w:val="auto"/>
        </w:rPr>
        <w:t>CHANGES IN AND DISAGREEMENTS WITH ACCOUNTANTS ON ACCOUNTING AND FINANCIAL DISCLOSURE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180" w:firstLine="441"/>
        <w:spacing w:after="0" w:line="273" w:lineRule="auto"/>
        <w:rPr>
          <w:sz w:val="20"/>
          <w:szCs w:val="20"/>
          <w:color w:val="auto"/>
        </w:rPr>
      </w:pPr>
      <w:r>
        <w:rPr>
          <w:rFonts w:ascii="Arial" w:cs="Arial" w:eastAsia="Arial" w:hAnsi="Arial"/>
          <w:sz w:val="17"/>
          <w:szCs w:val="17"/>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the evaluation of our disclosure controls and procedures as of January 31, 2016, our Chief Executive Officer and Chief Financial Officer concluded that, as of such date, our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In connection with the preparation of our fiscal 2013 and fiscal 2014 consolidated financial statements included in our Registration Statement on Form S-1, as amended (Registration No. 333-207300), which was declared effective by the SEC on November 19, 2015, we identified a material weakness in our internal control over financial reporting related to period cut-offs impacting revenue recognition and inventory receipts. Our practice with respect to revenue recognition had been to recognize revenue upon shipment of the product (for direct sales) or at the point of sale (for retail store transactions). This had been our practice because we believed that these were the points when the following four revenue recognition criteria were met: (i) persuasive evidence of an arrangement exists; (ii) title has passed to the customer; (iii) the sales price is fixed and determinable and no further obligation exist; and (iv) collectability is reasonably assured. Upon further evaluation of the revenue guidance, we concluded that the appropriate time to recognize revenue with respect to our direct sales is upon receipt by the customer in accordance with U.S. GAAP. On an annual basis, the assistant controller reviews a sample of direct sales transactions and then calculates the average lag time between the date the product was shipped and the date the product was received by the customer. On a quarterly basis, we consider whether any business activities or other factors may suggest a change in average lag time it takes to ship an item to the customer. The controller performs a review of the average lag time analysis by the assistant controller for reasonableness. Based on our analysis and review of shipping data, we determined that products are generally shipped complete from our distribution centers to the customer’s requested drop-off location within three business days. Based on the three day transit time, we record a revenue reversal entry each quarter to adjust for direct sales that have been shipped but not received by the customer.</w:t>
      </w:r>
    </w:p>
    <w:p>
      <w:pPr>
        <w:spacing w:after="0" w:line="15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With respect to inventory receipts, we have certain suppliers for whom we had recognized inventory and accounts payable upon receipt of invoice and proof of shipment from the supplier. The term for these shipments was FOB Shipping Point, indicating that we should have recognized inventory and accounts payable at the time of shipment by the suppliers. In conjunction with our quarterly close, the assistant controller reviews the inbound shipments spreadsheet which is distributed by the inventory coordinator, and ensures all authorized vendor shipments that have not been received by us are accounted for. An inventory in-transit journal entry is posted by the assistant controller and reviewed by the controller.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remediated the material weakness discussed above during our fiscal fourth quarter for the year ended January 31, 2016.</w:t>
      </w:r>
    </w:p>
    <w:p>
      <w:pPr>
        <w:spacing w:after="0" w:line="20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Except, as discussed above, 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5" w:right="111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Information required by this Item concerning our directors, audit committee, and audit committee financial experts, code of ethics and compliance with Section 16(a) of the Exchange Act is incorporated by reference to information under the captions “Proposal One: Election of Directors” and “Section 16(a) Beneficial Ownership Reporting Compliance” in our definitive proxy statement for our 2016 annual meeting of shareholders to be held on July 14, 2016 (the "Proxy Statement"). It is anticipated that our Proxy Statement will be filed with the Securities and Exchange Commission on or about May 25, 2016.</w:t>
      </w:r>
    </w:p>
    <w:p>
      <w:pPr>
        <w:spacing w:after="0" w:line="132"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of business conduct and ethics on our website at http://ir.duluthtrading.com under the tab “Corporate Governance—Documents &amp; Charters—Code of Business Conduct and Ethics.”</w:t>
      </w:r>
    </w:p>
    <w:p>
      <w:pPr>
        <w:spacing w:after="0" w:line="160"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Our code of business conduct and ethics is available in print for any shareholder who requests it by writing to: Secretary, Duluth Holdings Inc., 170 Countryside Drive, Belleville, Wisconsin, 53508. We are not including the information available on or through our website as part of, or incorporating such information by reference into, this Annual Report on Form 10-K.</w:t>
      </w:r>
    </w:p>
    <w:p>
      <w:pPr>
        <w:spacing w:after="0" w:line="106"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Pursuant to General Instruction G(3), certain information with respect to our executive officers is set forth under the caption “Executive Officers of Duluth Holdings Inc.” as of April 8, 2016 of this Annual Report on Form 10-K.</w:t>
      </w:r>
    </w:p>
    <w:p>
      <w:pPr>
        <w:spacing w:after="0" w:line="36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39"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13" w:lineRule="exact"/>
        <w:rPr>
          <w:sz w:val="20"/>
          <w:szCs w:val="20"/>
          <w:color w:val="auto"/>
        </w:rPr>
      </w:pPr>
    </w:p>
    <w:p>
      <w:pPr>
        <w:ind w:left="1060" w:right="540" w:hanging="1066"/>
        <w:spacing w:after="0" w:line="277" w:lineRule="auto"/>
        <w:tabs>
          <w:tab w:leader="none" w:pos="10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SHAREHOLDER MATTERS</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“Security Ownership of Certain Beneficial Owners,” “Security Ownership of Management” and “Securities Authorized for Issuance under Equity Compensation Plans.”</w:t>
      </w:r>
    </w:p>
    <w:p>
      <w:pPr>
        <w:spacing w:after="0" w:line="3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sections of the Proxy Statement entitled “Transactions and Relationships – Related Party Transactions” and “Proposal One: Election of Directors.”</w:t>
      </w:r>
    </w:p>
    <w:p>
      <w:pPr>
        <w:spacing w:after="0" w:line="36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ACCOUNTING FEES AND SERVICES</w:t>
      </w:r>
    </w:p>
    <w:p>
      <w:pPr>
        <w:spacing w:after="0" w:line="23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Information required by this Item is incorporated by reference to the section of the Proxy Statement entitled “Audit Committee Report.”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STATEMENTS AND SCHEDULES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02"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in the accompanying index to exhibits are filed or incorporated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25" w:right="11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DULUTH HOLDINGS INC.</w:t>
      </w:r>
    </w:p>
    <w:p>
      <w:pPr>
        <w:spacing w:after="0" w:line="200" w:lineRule="exact"/>
        <w:rPr>
          <w:sz w:val="20"/>
          <w:szCs w:val="20"/>
          <w:color w:val="auto"/>
        </w:rPr>
      </w:pPr>
    </w:p>
    <w:p>
      <w:pPr>
        <w:spacing w:after="0" w:line="228" w:lineRule="exact"/>
        <w:rPr>
          <w:sz w:val="20"/>
          <w:szCs w:val="20"/>
          <w:color w:val="auto"/>
        </w:rPr>
      </w:pPr>
    </w:p>
    <w:p>
      <w:pPr>
        <w:spacing w:after="0"/>
        <w:tabs>
          <w:tab w:leader="none" w:pos="1060" w:val="left"/>
          <w:tab w:leader="none" w:pos="1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3053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Stephanie L. Pugliese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2016</w:t>
      </w:r>
    </w:p>
    <w:p>
      <w:pPr>
        <w:spacing w:after="0" w:line="18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5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3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Stephanie L. Pugliese</w:t>
            </w: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w:t>
            </w:r>
          </w:p>
        </w:tc>
        <w:tc>
          <w:tcPr>
            <w:tcW w:w="1200" w:type="dxa"/>
            <w:vAlign w:val="bottom"/>
            <w:gridSpan w:val="3"/>
          </w:tcPr>
          <w:p>
            <w:pPr>
              <w:ind w:left="220"/>
              <w:spacing w:after="0"/>
              <w:rPr>
                <w:sz w:val="20"/>
                <w:szCs w:val="20"/>
                <w:color w:val="auto"/>
              </w:rPr>
            </w:pPr>
            <w:r>
              <w:rPr>
                <w:rFonts w:ascii="Arial" w:cs="Arial" w:eastAsia="Arial" w:hAnsi="Arial"/>
                <w:sz w:val="18"/>
                <w:szCs w:val="18"/>
                <w:color w:val="auto"/>
                <w:w w:val="94"/>
              </w:rPr>
              <w:t>April 8, 2016</w:t>
            </w:r>
          </w:p>
        </w:tc>
      </w:tr>
      <w:tr>
        <w:trPr>
          <w:trHeight w:val="182"/>
        </w:trPr>
        <w:tc>
          <w:tcPr>
            <w:tcW w:w="3000" w:type="dxa"/>
            <w:vAlign w:val="bottom"/>
            <w:gridSpan w:val="3"/>
          </w:tcPr>
          <w:p>
            <w:pPr>
              <w:spacing w:after="0" w:line="182" w:lineRule="exact"/>
              <w:rPr>
                <w:sz w:val="20"/>
                <w:szCs w:val="20"/>
                <w:color w:val="auto"/>
              </w:rPr>
            </w:pPr>
            <w:r>
              <w:rPr>
                <w:rFonts w:ascii="Arial" w:cs="Arial" w:eastAsia="Arial" w:hAnsi="Arial"/>
                <w:sz w:val="18"/>
                <w:szCs w:val="18"/>
                <w:color w:val="auto"/>
              </w:rPr>
              <w:t>Stephanie L. Pugliese</w:t>
            </w:r>
          </w:p>
        </w:tc>
        <w:tc>
          <w:tcPr>
            <w:tcW w:w="240" w:type="dxa"/>
            <w:vAlign w:val="bottom"/>
          </w:tcPr>
          <w:p>
            <w:pPr>
              <w:spacing w:after="0"/>
              <w:rPr>
                <w:sz w:val="15"/>
                <w:szCs w:val="15"/>
                <w:color w:val="auto"/>
              </w:rPr>
            </w:pPr>
          </w:p>
        </w:tc>
        <w:tc>
          <w:tcPr>
            <w:tcW w:w="2980" w:type="dxa"/>
            <w:vAlign w:val="bottom"/>
            <w:gridSpan w:val="2"/>
          </w:tcPr>
          <w:p>
            <w:pPr>
              <w:spacing w:after="0" w:line="182" w:lineRule="exact"/>
              <w:rPr>
                <w:sz w:val="20"/>
                <w:szCs w:val="20"/>
                <w:color w:val="auto"/>
              </w:rPr>
            </w:pPr>
            <w:r>
              <w:rPr>
                <w:rFonts w:ascii="Arial" w:cs="Arial" w:eastAsia="Arial" w:hAnsi="Arial"/>
                <w:sz w:val="18"/>
                <w:szCs w:val="18"/>
                <w:color w:val="auto"/>
              </w:rPr>
              <w:t>and a Director</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M. DeOrio</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200" w:type="dxa"/>
            <w:vAlign w:val="bottom"/>
            <w:gridSpan w:val="3"/>
          </w:tcPr>
          <w:p>
            <w:pPr>
              <w:ind w:left="220"/>
              <w:spacing w:after="0"/>
              <w:rPr>
                <w:sz w:val="20"/>
                <w:szCs w:val="20"/>
                <w:color w:val="auto"/>
              </w:rPr>
            </w:pPr>
            <w:r>
              <w:rPr>
                <w:rFonts w:ascii="Arial" w:cs="Arial" w:eastAsia="Arial" w:hAnsi="Arial"/>
                <w:sz w:val="18"/>
                <w:szCs w:val="18"/>
                <w:color w:val="auto"/>
                <w:w w:val="94"/>
              </w:rPr>
              <w:t>April 8, 2016</w:t>
            </w: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Mark M. DeOrio</w:t>
            </w:r>
          </w:p>
        </w:tc>
        <w:tc>
          <w:tcPr>
            <w:tcW w:w="2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Financial Officer and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Directors: </w:t>
      </w:r>
      <w:r>
        <w:rPr>
          <w:rFonts w:ascii="Arial" w:cs="Arial" w:eastAsia="Arial" w:hAnsi="Arial"/>
          <w:sz w:val="16"/>
          <w:szCs w:val="16"/>
          <w:color w:val="auto"/>
        </w:rPr>
        <w:t>Stephen L. Schlecht, E. David Coolidge III, Francesca M. Edwardson, William E. Ferry, Thomas G. Folliard, David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Finch, C. Roger Lewis, Brenda I. Morris.</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Stephanie L. Pugliese</w:t>
            </w:r>
          </w:p>
        </w:tc>
        <w:tc>
          <w:tcPr>
            <w:tcW w:w="2840" w:type="dxa"/>
            <w:vAlign w:val="bottom"/>
          </w:tcPr>
          <w:p>
            <w:pPr>
              <w:ind w:left="1880"/>
              <w:spacing w:after="0"/>
              <w:rPr>
                <w:sz w:val="20"/>
                <w:szCs w:val="20"/>
                <w:color w:val="auto"/>
              </w:rPr>
            </w:pPr>
            <w:r>
              <w:rPr>
                <w:rFonts w:ascii="Arial" w:cs="Arial" w:eastAsia="Arial" w:hAnsi="Arial"/>
                <w:sz w:val="18"/>
                <w:szCs w:val="18"/>
                <w:color w:val="auto"/>
                <w:w w:val="92"/>
              </w:rPr>
              <w:t>April 8</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2016</w:t>
            </w:r>
          </w:p>
        </w:tc>
      </w:tr>
      <w:tr>
        <w:trPr>
          <w:trHeight w:val="195"/>
        </w:trPr>
        <w:tc>
          <w:tcPr>
            <w:tcW w:w="6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Stephanie L. Pugliese</w:t>
            </w:r>
          </w:p>
        </w:tc>
        <w:tc>
          <w:tcPr>
            <w:tcW w:w="284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Attorney-In-Fact*</w:t>
            </w: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20"/>
          </w:cols>
          <w:pgMar w:left="1140" w:top="125" w:right="123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2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80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19"/>
                <w:szCs w:val="19"/>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7"/>
              </w:rPr>
              <w:t>Amended and Restated Articles of Incorporation of Duluth Holdings Inc., incorporated by</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6"/>
              </w:rPr>
              <w:t>reference to Exhibit 3.1 of Pre-Effective Amendment No. 2 to the Company’s Registration</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Statement on Form S-1 (File No. 333-207300), filed November 19, 2015.</w:t>
            </w:r>
          </w:p>
        </w:tc>
      </w:tr>
      <w:tr>
        <w:trPr>
          <w:trHeight w:val="215"/>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18"/>
                <w:szCs w:val="18"/>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4"/>
              </w:rPr>
              <w:t>Amended and Restated Bylaws of Duluth Holdings Inc., incorporated by reference to Exhibit</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3"/>
              </w:rPr>
              <w:t>3.1 of the Pre-Effective Amendment No. 2 to the Company’s Registration Statement on Form</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S-1 (File No. 333-207300), filed November 9, 2015.</w:t>
            </w:r>
          </w:p>
        </w:tc>
      </w:tr>
      <w:tr>
        <w:trPr>
          <w:trHeight w:val="215"/>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920" w:type="dxa"/>
            <w:vAlign w:val="bottom"/>
          </w:tcPr>
          <w:p>
            <w:pPr>
              <w:spacing w:after="0"/>
              <w:rPr>
                <w:sz w:val="18"/>
                <w:szCs w:val="18"/>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Employment Agreement between Duluth Holdings Inc. and Stephen L. Schlecht,</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4"/>
              </w:rPr>
              <w:t>incorporated by reference to Exhibit 10.1 of the Company’s Registration Statement on Form</w:t>
            </w:r>
          </w:p>
        </w:tc>
      </w:tr>
      <w:tr>
        <w:trPr>
          <w:trHeight w:val="230"/>
        </w:trPr>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S-1 (File No. 333-207300), filed October 6, 2015.</w:t>
            </w:r>
          </w:p>
        </w:tc>
      </w:tr>
      <w:tr>
        <w:trPr>
          <w:trHeight w:val="203"/>
        </w:trPr>
        <w:tc>
          <w:tcPr>
            <w:tcW w:w="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10.2+</w:t>
            </w: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3"/>
              </w:rPr>
              <w:t>Employment Agreement between Duluth Holdings Inc. and Stephanie Pugliese, incorporated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4"/>
              </w:rPr>
              <w:t>by reference to Exhibit 10.2 of the Company’s Registration Statement on Form S-1 (File No.</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333-207300), filed October 6, 2015.</w:t>
            </w:r>
          </w:p>
        </w:tc>
      </w:tr>
      <w:tr>
        <w:trPr>
          <w:trHeight w:val="215"/>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10.3+</w:t>
            </w:r>
          </w:p>
        </w:tc>
        <w:tc>
          <w:tcPr>
            <w:tcW w:w="920" w:type="dxa"/>
            <w:vAlign w:val="bottom"/>
          </w:tcPr>
          <w:p>
            <w:pPr>
              <w:spacing w:after="0"/>
              <w:rPr>
                <w:sz w:val="18"/>
                <w:szCs w:val="18"/>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6"/>
              </w:rPr>
              <w:t>Employment Agreement between Duluth Holdings Inc. and Mark M. DeOrio, incorporated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4"/>
              </w:rPr>
              <w:t>by reference to Exhibit 10.3 of the Company’s Registration Statement on Form S-1 (File No.</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333-207300), filed October 6, 2015.</w:t>
            </w:r>
          </w:p>
        </w:tc>
      </w:tr>
      <w:tr>
        <w:trPr>
          <w:trHeight w:val="242"/>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1"/>
                <w:szCs w:val="21"/>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Employment Agreement between Duluth Holdings Inc. and Al Dittrich, incorporated by</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7"/>
              </w:rPr>
              <w:t>reference to Exhibit 10.4 of the Company’s Registration Statement on Form S-1 (File No.</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6"/>
              </w:rPr>
              <w:t>Restricted Stock Agreement between Duluth Holdings Inc. and Stephanie Pugliese, dated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9"/>
              </w:rPr>
              <w:t>April 30, 2012, incorporated by reference to Exhibit 10.5 of the Company’s Registration</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Statement on Form S-1 (File 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10.6+</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6"/>
              </w:rPr>
              <w:t>Restricted Stock Agreement between Duluth Holdings Inc. and Stephanie Pugliese, dated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rPr>
              <w:t>April 1, 2014, incorporated by reference to Exhibit 10.6 of the Company’s Registration</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Statement on Form S-1 (File 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10.7+</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6"/>
              </w:rPr>
              <w:t>Restricted Stock Agreement between Duluth Holdings Inc. and Stephanie Pugliese, dated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5"/>
              </w:rPr>
              <w:t>February 2, 2015, incorporated by reference to Exhibit 10.6 of the Company’s Registration</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Statement on Form S-1 (File 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10.8+</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3"/>
              </w:rPr>
              <w:t>Restricted Stock Agreement between Duluth Holdings Inc. and Al Dittrich, dated February 2,</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3"/>
              </w:rPr>
              <w:t>2015, incorporated by reference to Exhibit 10.5 of the Company’s Registration Statement on</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Form S-1 (File 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10.9+</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8"/>
              </w:rPr>
              <w:t>Restrictive Covenant Agreement between Duluth Holdings Inc. and Stephanie Pugliese,</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4"/>
              </w:rPr>
              <w:t>incorporated by reference to Exhibit 10.9 of the Company’s Registration Statement on Form</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S-1 (File 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10.10+</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4"/>
              </w:rPr>
              <w:t>Restrictive Covenant Agreement between Duluth Holdings Inc. and Al Dittrich, incorporated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7"/>
              </w:rPr>
              <w:t>by reference to Exhibit 10.10 of the Company’s Registration Statement on Form S-1 (File</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No. 333-207300), filed October 6, 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10.11+</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2014 Vice President Bonus Plan, incorporated by reference to Exhibit 10.11 of the</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8"/>
              </w:rPr>
              <w:t>Company’s Registration Statement on Form S-1 (File No. 333-207300), filed October 6,</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2015.</w:t>
            </w:r>
          </w:p>
        </w:tc>
      </w:tr>
      <w:tr>
        <w:trPr>
          <w:trHeight w:val="256"/>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920" w:type="dxa"/>
            <w:vAlign w:val="bottom"/>
          </w:tcPr>
          <w:p>
            <w:pPr>
              <w:spacing w:after="0"/>
              <w:rPr>
                <w:sz w:val="22"/>
                <w:szCs w:val="22"/>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2015 Executive Chairman and Chief Executive Officer Bonus Plan, incorporated by</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6"/>
              </w:rPr>
              <w:t>reference to Exhibit 10.12 of the Company’s Registration Statement on Form S-1 (File No.</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333-207300), filed October 6, 2015.</w:t>
            </w:r>
          </w:p>
        </w:tc>
      </w:tr>
      <w:tr>
        <w:trPr>
          <w:trHeight w:val="269"/>
        </w:trPr>
        <w:tc>
          <w:tcPr>
            <w:tcW w:w="96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920" w:type="dxa"/>
            <w:vAlign w:val="bottom"/>
          </w:tcPr>
          <w:p>
            <w:pPr>
              <w:spacing w:after="0"/>
              <w:rPr>
                <w:sz w:val="23"/>
                <w:szCs w:val="23"/>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w w:val="96"/>
              </w:rPr>
              <w:t>2015 Senior Vice President Bonus Plan, incorporated by reference to Exhibit 10.13 of the</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8"/>
              </w:rPr>
              <w:t>Company’s Registration Statement on Form S-1 (File No. 333-207300), filed October 6,</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10.14+</w:t>
            </w: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5"/>
              </w:rPr>
              <w:t>Summary of Outside Director Compensation Program, incorporated by reference to Exhibit</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7"/>
              </w:rPr>
              <w:t>10.14 of the Company’s Registration Statement on Form S-1 (File No. 333-207300), filed</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10.15+</w:t>
            </w: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6"/>
              </w:rPr>
              <w:t>2015 Consulting Agreement between Duluth Holdings Inc. and Mr. Lewis, incorporated by</w:t>
            </w:r>
          </w:p>
        </w:tc>
      </w:tr>
      <w:tr>
        <w:trPr>
          <w:trHeight w:val="203"/>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0" w:type="dxa"/>
            <w:vAlign w:val="bottom"/>
          </w:tcPr>
          <w:p>
            <w:pPr>
              <w:ind w:left="900"/>
              <w:spacing w:after="0" w:line="202" w:lineRule="exact"/>
              <w:rPr>
                <w:sz w:val="20"/>
                <w:szCs w:val="20"/>
                <w:color w:val="auto"/>
              </w:rPr>
            </w:pPr>
            <w:r>
              <w:rPr>
                <w:rFonts w:ascii="Arial" w:cs="Arial" w:eastAsia="Arial" w:hAnsi="Arial"/>
                <w:sz w:val="18"/>
                <w:szCs w:val="18"/>
                <w:color w:val="auto"/>
                <w:w w:val="96"/>
              </w:rPr>
              <w:t>reference to Exhibit 10.15 of the Company’s Registration Statement on Form S-1 (File No.</w:t>
            </w:r>
          </w:p>
        </w:tc>
      </w:tr>
      <w:tr>
        <w:trPr>
          <w:trHeight w:val="230"/>
        </w:trPr>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0" w:type="dxa"/>
            <w:vAlign w:val="bottom"/>
          </w:tcPr>
          <w:p>
            <w:pPr>
              <w:ind w:left="900"/>
              <w:spacing w:after="0"/>
              <w:rPr>
                <w:sz w:val="20"/>
                <w:szCs w:val="20"/>
                <w:color w:val="auto"/>
              </w:rPr>
            </w:pPr>
            <w:r>
              <w:rPr>
                <w:rFonts w:ascii="Arial" w:cs="Arial" w:eastAsia="Arial" w:hAnsi="Arial"/>
                <w:sz w:val="18"/>
                <w:szCs w:val="18"/>
                <w:color w:val="auto"/>
              </w:rPr>
              <w:t>333-207300), filed October 6, 2015.</w:t>
            </w:r>
          </w:p>
        </w:tc>
      </w:tr>
      <w:tr>
        <w:trPr>
          <w:trHeight w:val="366"/>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0" w:type="dxa"/>
            <w:vAlign w:val="bottom"/>
          </w:tcPr>
          <w:p>
            <w:pPr>
              <w:ind w:left="2880"/>
              <w:spacing w:after="0"/>
              <w:rPr>
                <w:sz w:val="20"/>
                <w:szCs w:val="20"/>
                <w:color w:val="auto"/>
              </w:rPr>
            </w:pPr>
            <w:r>
              <w:rPr>
                <w:rFonts w:ascii="Arial" w:cs="Arial" w:eastAsia="Arial" w:hAnsi="Arial"/>
                <w:sz w:val="14"/>
                <w:szCs w:val="14"/>
                <w:color w:val="auto"/>
              </w:rPr>
              <w:t>73</w:t>
            </w:r>
          </w:p>
        </w:tc>
      </w:tr>
      <w:tr>
        <w:trPr>
          <w:trHeight w:val="336"/>
        </w:trPr>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7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6131560</wp:posOffset>
            </wp:positionH>
            <wp:positionV relativeFrom="paragraph">
              <wp:posOffset>-38100</wp:posOffset>
            </wp:positionV>
            <wp:extent cx="342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342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80"/>
          </w:cols>
          <w:pgMar w:left="1120" w:top="125" w:right="10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Table of Contents</w:t>
            </w:r>
          </w:p>
        </w:tc>
        <w:tc>
          <w:tcPr>
            <w:tcW w:w="8220" w:type="dxa"/>
            <w:vAlign w:val="bottom"/>
          </w:tcPr>
          <w:p>
            <w:pPr>
              <w:spacing w:after="0"/>
              <w:rPr>
                <w:sz w:val="17"/>
                <w:szCs w:val="17"/>
                <w:color w:val="auto"/>
              </w:rPr>
            </w:pPr>
          </w:p>
        </w:tc>
      </w:tr>
      <w:tr>
        <w:trPr>
          <w:trHeight w:val="425"/>
        </w:trPr>
        <w:tc>
          <w:tcPr>
            <w:tcW w:w="1260" w:type="dxa"/>
            <w:vAlign w:val="bottom"/>
          </w:tcPr>
          <w:p>
            <w:pPr>
              <w:ind w:left="100"/>
              <w:spacing w:after="0"/>
              <w:rPr>
                <w:sz w:val="20"/>
                <w:szCs w:val="20"/>
                <w:color w:val="auto"/>
              </w:rPr>
            </w:pPr>
            <w:r>
              <w:rPr>
                <w:rFonts w:ascii="Arial" w:cs="Arial" w:eastAsia="Arial" w:hAnsi="Arial"/>
                <w:sz w:val="18"/>
                <w:szCs w:val="18"/>
                <w:color w:val="auto"/>
              </w:rPr>
              <w:t>10.16+</w:t>
            </w:r>
          </w:p>
        </w:tc>
        <w:tc>
          <w:tcPr>
            <w:tcW w:w="8220" w:type="dxa"/>
            <w:vAlign w:val="bottom"/>
          </w:tcPr>
          <w:p>
            <w:pPr>
              <w:ind w:left="300"/>
              <w:spacing w:after="0"/>
              <w:rPr>
                <w:sz w:val="20"/>
                <w:szCs w:val="20"/>
                <w:color w:val="auto"/>
              </w:rPr>
            </w:pPr>
            <w:r>
              <w:rPr>
                <w:rFonts w:ascii="Arial" w:cs="Arial" w:eastAsia="Arial" w:hAnsi="Arial"/>
                <w:sz w:val="18"/>
                <w:szCs w:val="18"/>
                <w:color w:val="auto"/>
              </w:rPr>
              <w:t>2015 Equity Incentive Plan of Duluth Holdings Inc., incorporated by reference to Exhibit 10.7 of the</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Company’s Quarterly Report on Form 10-Q, filed December 18, 2015.</w:t>
            </w:r>
          </w:p>
        </w:tc>
      </w:tr>
      <w:tr>
        <w:trPr>
          <w:trHeight w:val="229"/>
        </w:trPr>
        <w:tc>
          <w:tcPr>
            <w:tcW w:w="1260" w:type="dxa"/>
            <w:vAlign w:val="bottom"/>
          </w:tcPr>
          <w:p>
            <w:pPr>
              <w:ind w:left="100"/>
              <w:spacing w:after="0"/>
              <w:rPr>
                <w:sz w:val="20"/>
                <w:szCs w:val="20"/>
                <w:color w:val="auto"/>
              </w:rPr>
            </w:pPr>
            <w:r>
              <w:rPr>
                <w:rFonts w:ascii="Arial" w:cs="Arial" w:eastAsia="Arial" w:hAnsi="Arial"/>
                <w:sz w:val="18"/>
                <w:szCs w:val="18"/>
                <w:color w:val="auto"/>
              </w:rPr>
              <w:t>10.17+</w:t>
            </w:r>
          </w:p>
        </w:tc>
        <w:tc>
          <w:tcPr>
            <w:tcW w:w="8220" w:type="dxa"/>
            <w:vAlign w:val="bottom"/>
          </w:tcPr>
          <w:p>
            <w:pPr>
              <w:ind w:left="300"/>
              <w:spacing w:after="0"/>
              <w:rPr>
                <w:sz w:val="20"/>
                <w:szCs w:val="20"/>
                <w:color w:val="auto"/>
              </w:rPr>
            </w:pPr>
            <w:r>
              <w:rPr>
                <w:rFonts w:ascii="Arial" w:cs="Arial" w:eastAsia="Arial" w:hAnsi="Arial"/>
                <w:sz w:val="18"/>
                <w:szCs w:val="18"/>
                <w:color w:val="auto"/>
                <w:w w:val="95"/>
              </w:rPr>
              <w:t>Form of Restricted Stock Agreement under the 2015 Equity Incentive Plan, incorporated by reference to</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2"/>
              </w:rPr>
              <w:t>Exhibit 10.17 of the Company’s Registration Statement on Form S-1 (File No. 333-207300), filed October 6,</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2015.</w:t>
            </w:r>
          </w:p>
        </w:tc>
      </w:tr>
      <w:tr>
        <w:trPr>
          <w:trHeight w:val="215"/>
        </w:trPr>
        <w:tc>
          <w:tcPr>
            <w:tcW w:w="1260" w:type="dxa"/>
            <w:vAlign w:val="bottom"/>
          </w:tcPr>
          <w:p>
            <w:pPr>
              <w:ind w:left="100"/>
              <w:spacing w:after="0"/>
              <w:rPr>
                <w:sz w:val="20"/>
                <w:szCs w:val="20"/>
                <w:color w:val="auto"/>
              </w:rPr>
            </w:pPr>
            <w:r>
              <w:rPr>
                <w:rFonts w:ascii="Arial" w:cs="Arial" w:eastAsia="Arial" w:hAnsi="Arial"/>
                <w:sz w:val="18"/>
                <w:szCs w:val="18"/>
                <w:color w:val="auto"/>
              </w:rPr>
              <w:t>10.18</w:t>
            </w:r>
          </w:p>
        </w:tc>
        <w:tc>
          <w:tcPr>
            <w:tcW w:w="8220" w:type="dxa"/>
            <w:vAlign w:val="bottom"/>
          </w:tcPr>
          <w:p>
            <w:pPr>
              <w:ind w:left="300"/>
              <w:spacing w:after="0"/>
              <w:rPr>
                <w:sz w:val="20"/>
                <w:szCs w:val="20"/>
                <w:color w:val="auto"/>
              </w:rPr>
            </w:pPr>
            <w:r>
              <w:rPr>
                <w:rFonts w:ascii="Arial" w:cs="Arial" w:eastAsia="Arial" w:hAnsi="Arial"/>
                <w:sz w:val="18"/>
                <w:szCs w:val="18"/>
                <w:color w:val="auto"/>
                <w:w w:val="91"/>
              </w:rPr>
              <w:t>Lease between Schlecht Retail Ventures LLC and Duluth Holdings Inc., dated September 12, 2014 (100 First</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5"/>
              </w:rPr>
              <w:t>Street, Mt. Horeb, Wisconsin), incorporated by reference to Exhibit 10.18 of the Company’s Registration</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Statement on Form S-1 (File No. 333-207300), filed October 6, 2015.</w:t>
            </w:r>
          </w:p>
        </w:tc>
      </w:tr>
      <w:tr>
        <w:trPr>
          <w:trHeight w:val="215"/>
        </w:trPr>
        <w:tc>
          <w:tcPr>
            <w:tcW w:w="1260" w:type="dxa"/>
            <w:vAlign w:val="bottom"/>
          </w:tcPr>
          <w:p>
            <w:pPr>
              <w:ind w:left="100"/>
              <w:spacing w:after="0"/>
              <w:rPr>
                <w:sz w:val="20"/>
                <w:szCs w:val="20"/>
                <w:color w:val="auto"/>
              </w:rPr>
            </w:pPr>
            <w:r>
              <w:rPr>
                <w:rFonts w:ascii="Arial" w:cs="Arial" w:eastAsia="Arial" w:hAnsi="Arial"/>
                <w:sz w:val="18"/>
                <w:szCs w:val="18"/>
                <w:color w:val="auto"/>
              </w:rPr>
              <w:t>10.19</w:t>
            </w:r>
          </w:p>
        </w:tc>
        <w:tc>
          <w:tcPr>
            <w:tcW w:w="8220" w:type="dxa"/>
            <w:vAlign w:val="bottom"/>
          </w:tcPr>
          <w:p>
            <w:pPr>
              <w:ind w:left="300"/>
              <w:spacing w:after="0"/>
              <w:rPr>
                <w:sz w:val="20"/>
                <w:szCs w:val="20"/>
                <w:color w:val="auto"/>
              </w:rPr>
            </w:pPr>
            <w:r>
              <w:rPr>
                <w:rFonts w:ascii="Arial" w:cs="Arial" w:eastAsia="Arial" w:hAnsi="Arial"/>
                <w:sz w:val="18"/>
                <w:szCs w:val="18"/>
                <w:color w:val="auto"/>
                <w:w w:val="90"/>
              </w:rPr>
              <w:t>Commercial Lease between Schlecht Retail Ventures LLC and Duluth Holdings Inc., dated February 14, 2010</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2"/>
              </w:rPr>
              <w:t>(100 West Main Street, Mt. Horeb, Wisconsin), incorporated by reference to Exhibit 10.19 of the Company’s</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Registration Statement on Form S-1 (File No. 333-207300), filed October 6, 2015.</w:t>
            </w:r>
          </w:p>
        </w:tc>
      </w:tr>
      <w:tr>
        <w:trPr>
          <w:trHeight w:val="215"/>
        </w:trPr>
        <w:tc>
          <w:tcPr>
            <w:tcW w:w="1260" w:type="dxa"/>
            <w:vAlign w:val="bottom"/>
          </w:tcPr>
          <w:p>
            <w:pPr>
              <w:ind w:left="100"/>
              <w:spacing w:after="0"/>
              <w:rPr>
                <w:sz w:val="20"/>
                <w:szCs w:val="20"/>
                <w:color w:val="auto"/>
              </w:rPr>
            </w:pPr>
            <w:r>
              <w:rPr>
                <w:rFonts w:ascii="Arial" w:cs="Arial" w:eastAsia="Arial" w:hAnsi="Arial"/>
                <w:sz w:val="18"/>
                <w:szCs w:val="18"/>
                <w:color w:val="auto"/>
              </w:rPr>
              <w:t>10.20</w:t>
            </w:r>
          </w:p>
        </w:tc>
        <w:tc>
          <w:tcPr>
            <w:tcW w:w="8220" w:type="dxa"/>
            <w:vAlign w:val="bottom"/>
          </w:tcPr>
          <w:p>
            <w:pPr>
              <w:ind w:left="300"/>
              <w:spacing w:after="0"/>
              <w:rPr>
                <w:sz w:val="20"/>
                <w:szCs w:val="20"/>
                <w:color w:val="auto"/>
              </w:rPr>
            </w:pPr>
            <w:r>
              <w:rPr>
                <w:rFonts w:ascii="Arial" w:cs="Arial" w:eastAsia="Arial" w:hAnsi="Arial"/>
                <w:sz w:val="18"/>
                <w:szCs w:val="18"/>
                <w:color w:val="auto"/>
                <w:w w:val="94"/>
              </w:rPr>
              <w:t>Retail Space Lease between LDC-728 Milwaukee, LLC and Duluth Holdings Inc., dated January 23, 2012</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3"/>
              </w:rPr>
              <w:t>(108 North Franklin Street, Port Washington, Wisconsin), incorporated by reference to Exhibit 10.20 of the</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S-1 (File No. 333-207300), filed October 6, 2015.</w:t>
            </w:r>
          </w:p>
        </w:tc>
      </w:tr>
      <w:tr>
        <w:trPr>
          <w:trHeight w:val="215"/>
        </w:trPr>
        <w:tc>
          <w:tcPr>
            <w:tcW w:w="1260" w:type="dxa"/>
            <w:vAlign w:val="bottom"/>
          </w:tcPr>
          <w:p>
            <w:pPr>
              <w:ind w:left="100"/>
              <w:spacing w:after="0"/>
              <w:rPr>
                <w:sz w:val="20"/>
                <w:szCs w:val="20"/>
                <w:color w:val="auto"/>
              </w:rPr>
            </w:pPr>
            <w:r>
              <w:rPr>
                <w:rFonts w:ascii="Arial" w:cs="Arial" w:eastAsia="Arial" w:hAnsi="Arial"/>
                <w:sz w:val="18"/>
                <w:szCs w:val="18"/>
                <w:color w:val="auto"/>
              </w:rPr>
              <w:t>10.21</w:t>
            </w:r>
          </w:p>
        </w:tc>
        <w:tc>
          <w:tcPr>
            <w:tcW w:w="8220" w:type="dxa"/>
            <w:vAlign w:val="bottom"/>
          </w:tcPr>
          <w:p>
            <w:pPr>
              <w:ind w:left="300"/>
              <w:spacing w:after="0"/>
              <w:rPr>
                <w:sz w:val="20"/>
                <w:szCs w:val="20"/>
                <w:color w:val="auto"/>
              </w:rPr>
            </w:pPr>
            <w:r>
              <w:rPr>
                <w:rFonts w:ascii="Arial" w:cs="Arial" w:eastAsia="Arial" w:hAnsi="Arial"/>
                <w:sz w:val="18"/>
                <w:szCs w:val="18"/>
                <w:color w:val="auto"/>
                <w:w w:val="98"/>
              </w:rPr>
              <w:t>First Amendment to Retail Lease between LDC-728 Milwaukee, LLC and Duluth Holdings Inc., dated</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5"/>
              </w:rPr>
              <w:t>January 23, 2012 (108 North Franklin Street, Port Washington, Wisconsin), incorporated by reference to</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2"/>
              </w:rPr>
              <w:t>Exhibit 10.21 of the Company’s Registration Statement on Form S-1 (File No. 333-207300), filed October 6,</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10.22</w:t>
            </w: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1"/>
              </w:rPr>
              <w:t>Second Amendment to Retail Lease between Schlecht Port Washington LLC and Duluth Holdings Inc., dated</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5"/>
              </w:rPr>
              <w:t>January 23, 2012 (108 North Franklin Street, Port Washington, Wisconsin), incorporated by reference to</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2"/>
              </w:rPr>
              <w:t>Exhibit 10.22 of the Company’s Registration Statement on Form S-1 (File No. 333-207300), filed October 6,</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10.23</w:t>
            </w: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3"/>
              </w:rPr>
              <w:t>Form of S Corporation Termination, Tax Allocation and Indemnification Agreement among Duluth Holdings</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5"/>
              </w:rPr>
              <w:t>Inc. and shareholders of Duluth Holdings Inc., incorporated by reference to Exhibit 10.23 of Pre-Effective</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7"/>
              </w:rPr>
              <w:t>Amendment No. 1 to the Company’s Registration Statement on Form S-1 (File No. 333-207300), filed</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October 13, 2015.</w:t>
            </w:r>
          </w:p>
        </w:tc>
      </w:tr>
      <w:tr>
        <w:trPr>
          <w:trHeight w:val="256"/>
        </w:trPr>
        <w:tc>
          <w:tcPr>
            <w:tcW w:w="1260" w:type="dxa"/>
            <w:vAlign w:val="bottom"/>
          </w:tcPr>
          <w:p>
            <w:pPr>
              <w:ind w:left="100"/>
              <w:spacing w:after="0"/>
              <w:rPr>
                <w:sz w:val="20"/>
                <w:szCs w:val="20"/>
                <w:color w:val="auto"/>
              </w:rPr>
            </w:pPr>
            <w:r>
              <w:rPr>
                <w:rFonts w:ascii="Arial" w:cs="Arial" w:eastAsia="Arial" w:hAnsi="Arial"/>
                <w:sz w:val="18"/>
                <w:szCs w:val="18"/>
                <w:color w:val="auto"/>
              </w:rPr>
              <w:t>10.24(a)</w:t>
            </w:r>
          </w:p>
        </w:tc>
        <w:tc>
          <w:tcPr>
            <w:tcW w:w="8220" w:type="dxa"/>
            <w:vAlign w:val="bottom"/>
          </w:tcPr>
          <w:p>
            <w:pPr>
              <w:ind w:left="300"/>
              <w:spacing w:after="0"/>
              <w:rPr>
                <w:sz w:val="20"/>
                <w:szCs w:val="20"/>
                <w:color w:val="auto"/>
              </w:rPr>
            </w:pPr>
            <w:r>
              <w:rPr>
                <w:rFonts w:ascii="Arial" w:cs="Arial" w:eastAsia="Arial" w:hAnsi="Arial"/>
                <w:sz w:val="18"/>
                <w:szCs w:val="18"/>
                <w:color w:val="auto"/>
                <w:w w:val="93"/>
              </w:rPr>
              <w:t>Amended and Restated Loan Agreement, dated June 13, 2011, among BMO Harris Bank N.A. (f/k/a Harris</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rPr>
              <w:t>N.A.), Duluth Holdings Inc. and Duluth Trading Company, LLC, incorporated by reference to Exhibit</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6"/>
              </w:rPr>
              <w:t>10.24(a) of the Company’s Registration Statement on Form S-1 (File No. 333-207300), filed October 6,</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2015.</w:t>
            </w:r>
          </w:p>
        </w:tc>
      </w:tr>
      <w:tr>
        <w:trPr>
          <w:trHeight w:val="256"/>
        </w:trPr>
        <w:tc>
          <w:tcPr>
            <w:tcW w:w="1260" w:type="dxa"/>
            <w:vAlign w:val="bottom"/>
          </w:tcPr>
          <w:p>
            <w:pPr>
              <w:ind w:left="100"/>
              <w:spacing w:after="0"/>
              <w:rPr>
                <w:sz w:val="20"/>
                <w:szCs w:val="20"/>
                <w:color w:val="auto"/>
              </w:rPr>
            </w:pPr>
            <w:r>
              <w:rPr>
                <w:rFonts w:ascii="Arial" w:cs="Arial" w:eastAsia="Arial" w:hAnsi="Arial"/>
                <w:sz w:val="18"/>
                <w:szCs w:val="18"/>
                <w:color w:val="auto"/>
              </w:rPr>
              <w:t>10.24(b)</w:t>
            </w:r>
          </w:p>
        </w:tc>
        <w:tc>
          <w:tcPr>
            <w:tcW w:w="8220" w:type="dxa"/>
            <w:vAlign w:val="bottom"/>
          </w:tcPr>
          <w:p>
            <w:pPr>
              <w:ind w:left="300"/>
              <w:spacing w:after="0"/>
              <w:rPr>
                <w:sz w:val="20"/>
                <w:szCs w:val="20"/>
                <w:color w:val="auto"/>
              </w:rPr>
            </w:pPr>
            <w:r>
              <w:rPr>
                <w:rFonts w:ascii="Arial" w:cs="Arial" w:eastAsia="Arial" w:hAnsi="Arial"/>
                <w:sz w:val="18"/>
                <w:szCs w:val="18"/>
                <w:color w:val="auto"/>
                <w:w w:val="96"/>
              </w:rPr>
              <w:t>Loan Agreement, dated June 13, 2011, among BMO Harris Bank N.A., Duluth Holdings Inc. and Duluth</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7"/>
              </w:rPr>
              <w:t>Trading Company, LLC, as amended by the Second Amendment to the Amended and Restated Loan</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7"/>
              </w:rPr>
              <w:t>Agreement dated December 27, 2013, incorporated by reference to Exhibit 10.24(b) of the Company’s</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Registration Statement on Form S-1 (File No. 333-207300), filed October 6, 2015.</w:t>
            </w:r>
          </w:p>
        </w:tc>
      </w:tr>
      <w:tr>
        <w:trPr>
          <w:trHeight w:val="256"/>
        </w:trPr>
        <w:tc>
          <w:tcPr>
            <w:tcW w:w="1260" w:type="dxa"/>
            <w:vAlign w:val="bottom"/>
          </w:tcPr>
          <w:p>
            <w:pPr>
              <w:ind w:left="100"/>
              <w:spacing w:after="0"/>
              <w:rPr>
                <w:sz w:val="20"/>
                <w:szCs w:val="20"/>
                <w:color w:val="auto"/>
              </w:rPr>
            </w:pPr>
            <w:r>
              <w:rPr>
                <w:rFonts w:ascii="Arial" w:cs="Arial" w:eastAsia="Arial" w:hAnsi="Arial"/>
                <w:sz w:val="18"/>
                <w:szCs w:val="18"/>
                <w:color w:val="auto"/>
              </w:rPr>
              <w:t>10.24(c)</w:t>
            </w:r>
          </w:p>
        </w:tc>
        <w:tc>
          <w:tcPr>
            <w:tcW w:w="8220" w:type="dxa"/>
            <w:vAlign w:val="bottom"/>
          </w:tcPr>
          <w:p>
            <w:pPr>
              <w:ind w:left="300"/>
              <w:spacing w:after="0"/>
              <w:rPr>
                <w:sz w:val="20"/>
                <w:szCs w:val="20"/>
                <w:color w:val="auto"/>
              </w:rPr>
            </w:pPr>
            <w:r>
              <w:rPr>
                <w:rFonts w:ascii="Arial" w:cs="Arial" w:eastAsia="Arial" w:hAnsi="Arial"/>
                <w:sz w:val="18"/>
                <w:szCs w:val="18"/>
                <w:color w:val="auto"/>
                <w:w w:val="94"/>
              </w:rPr>
              <w:t>Amended and Restated Revolving Note, dated June 13, 2011, among BMO Harris Bank N.A. (f/k/a Harris</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6"/>
              </w:rPr>
              <w:t>N.A.) and Duluth Holdings Inc. and Duluth Trading Company, LLC, incorporated by reference to Exhibit</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w w:val="91"/>
              </w:rPr>
              <w:t>10.24(c) of the Company’s Registration Statement on Form S-1 (File No. 333-207300), filed October 6, 2015.</w:t>
            </w:r>
          </w:p>
        </w:tc>
      </w:tr>
      <w:tr>
        <w:trPr>
          <w:trHeight w:val="458"/>
        </w:trPr>
        <w:tc>
          <w:tcPr>
            <w:tcW w:w="1260" w:type="dxa"/>
            <w:vAlign w:val="bottom"/>
          </w:tcPr>
          <w:p>
            <w:pPr>
              <w:ind w:left="100"/>
              <w:spacing w:after="0"/>
              <w:rPr>
                <w:sz w:val="20"/>
                <w:szCs w:val="20"/>
                <w:color w:val="auto"/>
              </w:rPr>
            </w:pPr>
            <w:r>
              <w:rPr>
                <w:rFonts w:ascii="Arial" w:cs="Arial" w:eastAsia="Arial" w:hAnsi="Arial"/>
                <w:sz w:val="18"/>
                <w:szCs w:val="18"/>
                <w:color w:val="auto"/>
              </w:rPr>
              <w:t>10.24(d)</w:t>
            </w:r>
          </w:p>
        </w:tc>
        <w:tc>
          <w:tcPr>
            <w:tcW w:w="8220" w:type="dxa"/>
            <w:vAlign w:val="bottom"/>
          </w:tcPr>
          <w:p>
            <w:pPr>
              <w:ind w:left="300"/>
              <w:spacing w:after="0"/>
              <w:rPr>
                <w:sz w:val="20"/>
                <w:szCs w:val="20"/>
                <w:color w:val="auto"/>
              </w:rPr>
            </w:pPr>
            <w:r>
              <w:rPr>
                <w:rFonts w:ascii="Arial" w:cs="Arial" w:eastAsia="Arial" w:hAnsi="Arial"/>
                <w:sz w:val="18"/>
                <w:szCs w:val="18"/>
                <w:color w:val="auto"/>
                <w:w w:val="92"/>
              </w:rPr>
              <w:t>Amended and Restated Term Note, dated June 13, 2011, among BMO Harris Bank N.A. (f/k/a Harris N.A.),</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5"/>
              </w:rPr>
              <w:t>Duluth Holdings Inc. and Duluth Trading Company, LLC, incorporated by reference to Exhibit 10.24(d) of</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the Company’s Registration Statement on Form S-1 (File No. 333-207300), filed October 6, 2015.</w:t>
            </w:r>
          </w:p>
        </w:tc>
      </w:tr>
      <w:tr>
        <w:trPr>
          <w:trHeight w:val="458"/>
        </w:trPr>
        <w:tc>
          <w:tcPr>
            <w:tcW w:w="1260" w:type="dxa"/>
            <w:vAlign w:val="bottom"/>
          </w:tcPr>
          <w:p>
            <w:pPr>
              <w:ind w:left="100"/>
              <w:spacing w:after="0"/>
              <w:rPr>
                <w:sz w:val="20"/>
                <w:szCs w:val="20"/>
                <w:color w:val="auto"/>
              </w:rPr>
            </w:pPr>
            <w:r>
              <w:rPr>
                <w:rFonts w:ascii="Arial" w:cs="Arial" w:eastAsia="Arial" w:hAnsi="Arial"/>
                <w:sz w:val="18"/>
                <w:szCs w:val="18"/>
                <w:color w:val="auto"/>
              </w:rPr>
              <w:t>10.24(e)</w:t>
            </w:r>
          </w:p>
        </w:tc>
        <w:tc>
          <w:tcPr>
            <w:tcW w:w="8220" w:type="dxa"/>
            <w:vAlign w:val="bottom"/>
          </w:tcPr>
          <w:p>
            <w:pPr>
              <w:ind w:left="300"/>
              <w:spacing w:after="0"/>
              <w:rPr>
                <w:sz w:val="20"/>
                <w:szCs w:val="20"/>
                <w:color w:val="auto"/>
              </w:rPr>
            </w:pPr>
            <w:r>
              <w:rPr>
                <w:rFonts w:ascii="Arial" w:cs="Arial" w:eastAsia="Arial" w:hAnsi="Arial"/>
                <w:sz w:val="18"/>
                <w:szCs w:val="18"/>
                <w:color w:val="auto"/>
                <w:w w:val="96"/>
              </w:rPr>
              <w:t>Guaranty, dated June 13, 2011, between BMO Harris Bank N.A. (f/k/a Harris N.A.) and Schlecht Retail</w:t>
            </w:r>
          </w:p>
        </w:tc>
      </w:tr>
      <w:tr>
        <w:trPr>
          <w:trHeight w:val="203"/>
        </w:trPr>
        <w:tc>
          <w:tcPr>
            <w:tcW w:w="1260" w:type="dxa"/>
            <w:vAlign w:val="bottom"/>
          </w:tcPr>
          <w:p>
            <w:pPr>
              <w:spacing w:after="0"/>
              <w:rPr>
                <w:sz w:val="17"/>
                <w:szCs w:val="17"/>
                <w:color w:val="auto"/>
              </w:rPr>
            </w:pPr>
          </w:p>
        </w:tc>
        <w:tc>
          <w:tcPr>
            <w:tcW w:w="8220" w:type="dxa"/>
            <w:vAlign w:val="bottom"/>
          </w:tcPr>
          <w:p>
            <w:pPr>
              <w:ind w:left="300"/>
              <w:spacing w:after="0" w:line="202" w:lineRule="exact"/>
              <w:rPr>
                <w:sz w:val="20"/>
                <w:szCs w:val="20"/>
                <w:color w:val="auto"/>
              </w:rPr>
            </w:pPr>
            <w:r>
              <w:rPr>
                <w:rFonts w:ascii="Arial" w:cs="Arial" w:eastAsia="Arial" w:hAnsi="Arial"/>
                <w:sz w:val="18"/>
                <w:szCs w:val="18"/>
                <w:color w:val="auto"/>
                <w:w w:val="94"/>
              </w:rPr>
              <w:t>Ventures LLC, incorporated by reference to Exhibit 10.24(e) of the Company’s Registration Statement on</w:t>
            </w:r>
          </w:p>
        </w:tc>
      </w:tr>
      <w:tr>
        <w:trPr>
          <w:trHeight w:val="230"/>
        </w:trPr>
        <w:tc>
          <w:tcPr>
            <w:tcW w:w="1260" w:type="dxa"/>
            <w:vAlign w:val="bottom"/>
          </w:tcPr>
          <w:p>
            <w:pPr>
              <w:spacing w:after="0"/>
              <w:rPr>
                <w:sz w:val="20"/>
                <w:szCs w:val="20"/>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rPr>
              <w:t>Form S-1 (File No. 333-207300), filed October 6, 2015.</w:t>
            </w:r>
          </w:p>
        </w:tc>
      </w:tr>
      <w:tr>
        <w:trPr>
          <w:trHeight w:val="242"/>
        </w:trPr>
        <w:tc>
          <w:tcPr>
            <w:tcW w:w="1260" w:type="dxa"/>
            <w:vAlign w:val="bottom"/>
          </w:tcPr>
          <w:p>
            <w:pPr>
              <w:ind w:left="100"/>
              <w:spacing w:after="0"/>
              <w:rPr>
                <w:sz w:val="20"/>
                <w:szCs w:val="20"/>
                <w:color w:val="auto"/>
              </w:rPr>
            </w:pPr>
            <w:r>
              <w:rPr>
                <w:rFonts w:ascii="Arial" w:cs="Arial" w:eastAsia="Arial" w:hAnsi="Arial"/>
                <w:sz w:val="18"/>
                <w:szCs w:val="18"/>
                <w:color w:val="auto"/>
              </w:rPr>
              <w:t>10.25</w:t>
            </w:r>
          </w:p>
        </w:tc>
        <w:tc>
          <w:tcPr>
            <w:tcW w:w="8220" w:type="dxa"/>
            <w:vAlign w:val="bottom"/>
          </w:tcPr>
          <w:p>
            <w:pPr>
              <w:ind w:left="300"/>
              <w:spacing w:after="0"/>
              <w:rPr>
                <w:sz w:val="20"/>
                <w:szCs w:val="20"/>
                <w:color w:val="auto"/>
              </w:rPr>
            </w:pPr>
            <w:r>
              <w:rPr>
                <w:rFonts w:ascii="Arial" w:cs="Arial" w:eastAsia="Arial" w:hAnsi="Arial"/>
                <w:sz w:val="18"/>
                <w:szCs w:val="18"/>
                <w:color w:val="auto"/>
                <w:w w:val="96"/>
              </w:rPr>
              <w:t>Loan Agreement, dated June 13, 2011, among BMO Harris Bank N.A., Duluth Holdings Inc. and Duluth</w:t>
            </w:r>
          </w:p>
        </w:tc>
      </w:tr>
      <w:tr>
        <w:trPr>
          <w:trHeight w:val="219"/>
        </w:trPr>
        <w:tc>
          <w:tcPr>
            <w:tcW w:w="1260" w:type="dxa"/>
            <w:vAlign w:val="bottom"/>
          </w:tcPr>
          <w:p>
            <w:pPr>
              <w:spacing w:after="0"/>
              <w:rPr>
                <w:sz w:val="19"/>
                <w:szCs w:val="19"/>
                <w:color w:val="auto"/>
              </w:rPr>
            </w:pPr>
          </w:p>
        </w:tc>
        <w:tc>
          <w:tcPr>
            <w:tcW w:w="8220" w:type="dxa"/>
            <w:vAlign w:val="bottom"/>
          </w:tcPr>
          <w:p>
            <w:pPr>
              <w:ind w:left="300"/>
              <w:spacing w:after="0"/>
              <w:rPr>
                <w:sz w:val="20"/>
                <w:szCs w:val="20"/>
                <w:color w:val="auto"/>
              </w:rPr>
            </w:pPr>
            <w:r>
              <w:rPr>
                <w:rFonts w:ascii="Arial" w:cs="Arial" w:eastAsia="Arial" w:hAnsi="Arial"/>
                <w:sz w:val="18"/>
                <w:szCs w:val="18"/>
                <w:color w:val="auto"/>
                <w:w w:val="90"/>
              </w:rPr>
              <w:t>Trading Company, LLC, as amended by the First Amendment to the Amended and Restated Loan Agreement</w:t>
            </w:r>
          </w:p>
        </w:tc>
      </w:tr>
    </w:tbl>
    <w:p>
      <w:pPr>
        <w:ind w:left="1560" w:right="80"/>
        <w:spacing w:after="0" w:line="243" w:lineRule="auto"/>
        <w:rPr>
          <w:sz w:val="20"/>
          <w:szCs w:val="20"/>
          <w:color w:val="auto"/>
        </w:rPr>
      </w:pPr>
      <w:r>
        <w:rPr>
          <w:rFonts w:ascii="Arial" w:cs="Arial" w:eastAsia="Arial" w:hAnsi="Arial"/>
          <w:sz w:val="18"/>
          <w:szCs w:val="18"/>
          <w:color w:val="auto"/>
        </w:rPr>
        <w:t>dated June 30, 2012, incorporated by reference to Exhibit 10.25 of the Company’s Registration Statement on Form S-1 (File No. 333-207300), filed October 6, 2015.</w:t>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213995</wp:posOffset>
            </wp:positionV>
            <wp:extent cx="617410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480"/>
          </w:cols>
          <w:pgMar w:left="1140" w:top="108" w:right="127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Table of Contents</w:t>
            </w:r>
          </w:p>
        </w:tc>
        <w:tc>
          <w:tcPr>
            <w:tcW w:w="8240" w:type="dxa"/>
            <w:vAlign w:val="bottom"/>
          </w:tcPr>
          <w:p>
            <w:pPr>
              <w:spacing w:after="0"/>
              <w:rPr>
                <w:sz w:val="17"/>
                <w:szCs w:val="17"/>
                <w:color w:val="auto"/>
              </w:rPr>
            </w:pPr>
          </w:p>
        </w:tc>
      </w:tr>
      <w:tr>
        <w:trPr>
          <w:trHeight w:val="425"/>
        </w:trPr>
        <w:tc>
          <w:tcPr>
            <w:tcW w:w="1260" w:type="dxa"/>
            <w:vAlign w:val="bottom"/>
          </w:tcPr>
          <w:p>
            <w:pPr>
              <w:ind w:left="100"/>
              <w:spacing w:after="0"/>
              <w:rPr>
                <w:sz w:val="20"/>
                <w:szCs w:val="20"/>
                <w:color w:val="auto"/>
              </w:rPr>
            </w:pPr>
            <w:r>
              <w:rPr>
                <w:rFonts w:ascii="Arial" w:cs="Arial" w:eastAsia="Arial" w:hAnsi="Arial"/>
                <w:sz w:val="18"/>
                <w:szCs w:val="18"/>
                <w:color w:val="auto"/>
              </w:rPr>
              <w:t>10.26</w:t>
            </w:r>
          </w:p>
        </w:tc>
        <w:tc>
          <w:tcPr>
            <w:tcW w:w="8240" w:type="dxa"/>
            <w:vAlign w:val="bottom"/>
          </w:tcPr>
          <w:p>
            <w:pPr>
              <w:ind w:left="1520"/>
              <w:spacing w:after="0"/>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0"/>
              </w:rPr>
              <w:t>and Duluth Trading Company, LLC, as amended by the Second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6"/>
              </w:rPr>
              <w:t>and Restated Loan Agreement dated December 27, 2013, incorporated by reference to</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2"/>
              </w:rPr>
              <w:t>Exhibit 10.26 of the Company’s Registration Statement on Form S-1 (File No. 333-207300),</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filed 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10.27</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2"/>
              </w:rPr>
              <w:t>and Duluth Trading Company, LLC, as amended by the Third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and Restated Loan Agreement dated April 15, 2014, incorporated by reference to Exhibit</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10.27 of the Company’s Registration Statement on Form S-1 (File No. 333-207300), filed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10.28</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and Duluth Trading Company, LLC, as amended by the Fourth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5"/>
              </w:rPr>
              <w:t>and Restated Loan Agreement dated May 21, 2014, incorporated by reference to Exhibit</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10.28 of the Company’s Registration Statement on Form S-1 (File No. 333-207300), filed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10.29</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3"/>
              </w:rPr>
              <w:t>and Duluth Trading Company, LLC, as amended by the Fifth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3"/>
              </w:rPr>
              <w:t>and Restated Loan Agreement dated March 24, 2015, incorporated by reference to Exhibit</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10.29 of the Company’s Registration Statement on Form S-1 (File No. 333-207300), filed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10.30</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3"/>
              </w:rPr>
              <w:t>and Duluth Trading Company, LLC, as amended by the Sixth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5"/>
              </w:rPr>
              <w:t>and Restated Loan Agreement dated May 31, 2015, incorporated by reference to Exhibit</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10.30 of the Company’s Registration Statement on Form S-1 (File No. 333-207300), filed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10.31</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and Duluth Trading Company, LLC, as amended by the Seventh Amendment to the</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2"/>
              </w:rPr>
              <w:t>Amended and Restated Loan Agreement dated July 27, 2015, incorporated by reference to</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2"/>
              </w:rPr>
              <w:t>Exhibit 10.31 of the Company’s Registration Statement on Form S-1 (File No. 333-207300),</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filed 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10.32</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Loan Agreement, dated June 13, 2011, among BMO Harris Bank N.A., Duluth Holdings Inc.</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1"/>
              </w:rPr>
              <w:t>and Duluth Trading Company, LLC, as amended by the Eighth Amendment to the Amended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2"/>
              </w:rPr>
              <w:t>and Restated Loan Agreement dated August 31, 2015, incorporated by reference to Exhibit</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4"/>
              </w:rPr>
              <w:t>10.32 of the Company’s Registration Statement on Form S-1 (File No. 333-207300), filed</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October 6, 2015.</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10.33+</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Annual Incentive Plan, incorporated by reference to Exhibit 10.33 of Pre-Effective</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6"/>
              </w:rPr>
              <w:t>Amendment No. 1 to the Company’s Registration Statement on Form S-1 (File No. 333-</w:t>
            </w:r>
          </w:p>
        </w:tc>
      </w:tr>
      <w:tr>
        <w:trPr>
          <w:trHeight w:val="203"/>
        </w:trPr>
        <w:tc>
          <w:tcPr>
            <w:tcW w:w="1260" w:type="dxa"/>
            <w:vAlign w:val="bottom"/>
          </w:tcPr>
          <w:p>
            <w:pPr>
              <w:spacing w:after="0"/>
              <w:rPr>
                <w:sz w:val="17"/>
                <w:szCs w:val="17"/>
                <w:color w:val="auto"/>
              </w:rPr>
            </w:pP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rPr>
              <w:t>207300), filed October 13, 2015.</w:t>
            </w:r>
          </w:p>
        </w:tc>
      </w:tr>
      <w:tr>
        <w:trPr>
          <w:trHeight w:val="230"/>
        </w:trPr>
        <w:tc>
          <w:tcPr>
            <w:tcW w:w="1260" w:type="dxa"/>
            <w:vAlign w:val="bottom"/>
          </w:tcPr>
          <w:p>
            <w:pPr>
              <w:ind w:left="100"/>
              <w:spacing w:after="0"/>
              <w:rPr>
                <w:sz w:val="20"/>
                <w:szCs w:val="20"/>
                <w:color w:val="auto"/>
              </w:rPr>
            </w:pPr>
            <w:r>
              <w:rPr>
                <w:rFonts w:ascii="Arial" w:cs="Arial" w:eastAsia="Arial" w:hAnsi="Arial"/>
                <w:sz w:val="18"/>
                <w:szCs w:val="18"/>
                <w:color w:val="auto"/>
              </w:rPr>
              <w:t>21.1</w:t>
            </w:r>
          </w:p>
        </w:tc>
        <w:tc>
          <w:tcPr>
            <w:tcW w:w="8240" w:type="dxa"/>
            <w:vAlign w:val="bottom"/>
          </w:tcPr>
          <w:p>
            <w:pPr>
              <w:ind w:left="1520"/>
              <w:spacing w:after="0"/>
              <w:rPr>
                <w:sz w:val="20"/>
                <w:szCs w:val="20"/>
                <w:color w:val="auto"/>
              </w:rPr>
            </w:pPr>
            <w:r>
              <w:rPr>
                <w:rFonts w:ascii="Arial" w:cs="Arial" w:eastAsia="Arial" w:hAnsi="Arial"/>
                <w:sz w:val="18"/>
                <w:szCs w:val="18"/>
                <w:color w:val="auto"/>
              </w:rPr>
              <w:t>Subsidiaries of Registrant.*</w:t>
            </w:r>
          </w:p>
        </w:tc>
      </w:tr>
      <w:tr>
        <w:trPr>
          <w:trHeight w:val="230"/>
        </w:trPr>
        <w:tc>
          <w:tcPr>
            <w:tcW w:w="1260" w:type="dxa"/>
            <w:vAlign w:val="bottom"/>
          </w:tcPr>
          <w:p>
            <w:pPr>
              <w:ind w:left="100"/>
              <w:spacing w:after="0"/>
              <w:rPr>
                <w:sz w:val="20"/>
                <w:szCs w:val="20"/>
                <w:color w:val="auto"/>
              </w:rPr>
            </w:pPr>
            <w:r>
              <w:rPr>
                <w:rFonts w:ascii="Arial" w:cs="Arial" w:eastAsia="Arial" w:hAnsi="Arial"/>
                <w:sz w:val="18"/>
                <w:szCs w:val="18"/>
                <w:color w:val="auto"/>
              </w:rPr>
              <w:t>23.1</w:t>
            </w:r>
          </w:p>
        </w:tc>
        <w:tc>
          <w:tcPr>
            <w:tcW w:w="8240" w:type="dxa"/>
            <w:vAlign w:val="bottom"/>
          </w:tcPr>
          <w:p>
            <w:pPr>
              <w:ind w:left="15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1260" w:type="dxa"/>
            <w:vAlign w:val="bottom"/>
          </w:tcPr>
          <w:p>
            <w:pPr>
              <w:ind w:left="100"/>
              <w:spacing w:after="0"/>
              <w:rPr>
                <w:sz w:val="20"/>
                <w:szCs w:val="20"/>
                <w:color w:val="auto"/>
              </w:rPr>
            </w:pPr>
            <w:r>
              <w:rPr>
                <w:rFonts w:ascii="Arial" w:cs="Arial" w:eastAsia="Arial" w:hAnsi="Arial"/>
                <w:sz w:val="18"/>
                <w:szCs w:val="18"/>
                <w:color w:val="auto"/>
              </w:rPr>
              <w:t>24.1</w:t>
            </w:r>
          </w:p>
        </w:tc>
        <w:tc>
          <w:tcPr>
            <w:tcW w:w="8240" w:type="dxa"/>
            <w:vAlign w:val="bottom"/>
          </w:tcPr>
          <w:p>
            <w:pPr>
              <w:ind w:left="1520"/>
              <w:spacing w:after="0"/>
              <w:rPr>
                <w:sz w:val="20"/>
                <w:szCs w:val="20"/>
                <w:color w:val="auto"/>
              </w:rPr>
            </w:pPr>
            <w:r>
              <w:rPr>
                <w:rFonts w:ascii="Arial" w:cs="Arial" w:eastAsia="Arial" w:hAnsi="Arial"/>
                <w:sz w:val="18"/>
                <w:szCs w:val="18"/>
                <w:color w:val="auto"/>
              </w:rPr>
              <w:t>Power of Attorney*</w:t>
            </w:r>
          </w:p>
        </w:tc>
      </w:tr>
      <w:tr>
        <w:trPr>
          <w:trHeight w:val="203"/>
        </w:trPr>
        <w:tc>
          <w:tcPr>
            <w:tcW w:w="1260" w:type="dxa"/>
            <w:vAlign w:val="bottom"/>
          </w:tcPr>
          <w:p>
            <w:pPr>
              <w:ind w:left="100"/>
              <w:spacing w:after="0" w:line="202" w:lineRule="exact"/>
              <w:rPr>
                <w:sz w:val="20"/>
                <w:szCs w:val="20"/>
                <w:color w:val="auto"/>
              </w:rPr>
            </w:pPr>
            <w:r>
              <w:rPr>
                <w:rFonts w:ascii="Arial" w:cs="Arial" w:eastAsia="Arial" w:hAnsi="Arial"/>
                <w:sz w:val="18"/>
                <w:szCs w:val="18"/>
                <w:color w:val="auto"/>
              </w:rPr>
              <w:t>31.1</w:t>
            </w:r>
          </w:p>
        </w:tc>
        <w:tc>
          <w:tcPr>
            <w:tcW w:w="8240" w:type="dxa"/>
            <w:vAlign w:val="bottom"/>
          </w:tcPr>
          <w:p>
            <w:pPr>
              <w:ind w:left="1520"/>
              <w:spacing w:after="0" w:line="202" w:lineRule="exact"/>
              <w:rPr>
                <w:sz w:val="20"/>
                <w:szCs w:val="20"/>
                <w:color w:val="auto"/>
              </w:rPr>
            </w:pPr>
            <w:r>
              <w:rPr>
                <w:rFonts w:ascii="Arial" w:cs="Arial" w:eastAsia="Arial" w:hAnsi="Arial"/>
                <w:sz w:val="18"/>
                <w:szCs w:val="18"/>
                <w:color w:val="auto"/>
                <w:w w:val="95"/>
              </w:rPr>
              <w:t>Certification of Chief Executive Officer pursuant to Rule 13a-14(a) and Rule 15d-14(a) of</w:t>
            </w:r>
          </w:p>
        </w:tc>
      </w:tr>
      <w:tr>
        <w:trPr>
          <w:trHeight w:val="230"/>
        </w:trPr>
        <w:tc>
          <w:tcPr>
            <w:tcW w:w="1260" w:type="dxa"/>
            <w:vAlign w:val="bottom"/>
          </w:tcPr>
          <w:p>
            <w:pPr>
              <w:spacing w:after="0"/>
              <w:rPr>
                <w:sz w:val="20"/>
                <w:szCs w:val="20"/>
                <w:color w:val="auto"/>
              </w:rPr>
            </w:pPr>
          </w:p>
        </w:tc>
        <w:tc>
          <w:tcPr>
            <w:tcW w:w="8240" w:type="dxa"/>
            <w:vAlign w:val="bottom"/>
          </w:tcPr>
          <w:p>
            <w:pPr>
              <w:ind w:left="1520"/>
              <w:spacing w:after="0"/>
              <w:rPr>
                <w:sz w:val="20"/>
                <w:szCs w:val="20"/>
                <w:color w:val="auto"/>
              </w:rPr>
            </w:pPr>
            <w:r>
              <w:rPr>
                <w:rFonts w:ascii="Arial" w:cs="Arial" w:eastAsia="Arial" w:hAnsi="Arial"/>
                <w:sz w:val="18"/>
                <w:szCs w:val="18"/>
                <w:color w:val="auto"/>
              </w:rPr>
              <w:t>the Securities and Exchange Act, as amended.*</w:t>
            </w:r>
          </w:p>
        </w:tc>
      </w:tr>
      <w:tr>
        <w:trPr>
          <w:trHeight w:val="229"/>
        </w:trPr>
        <w:tc>
          <w:tcPr>
            <w:tcW w:w="1260" w:type="dxa"/>
            <w:vAlign w:val="bottom"/>
          </w:tcPr>
          <w:p>
            <w:pPr>
              <w:ind w:left="100"/>
              <w:spacing w:after="0"/>
              <w:rPr>
                <w:sz w:val="20"/>
                <w:szCs w:val="20"/>
                <w:color w:val="auto"/>
              </w:rPr>
            </w:pPr>
            <w:r>
              <w:rPr>
                <w:rFonts w:ascii="Arial" w:cs="Arial" w:eastAsia="Arial" w:hAnsi="Arial"/>
                <w:sz w:val="18"/>
                <w:szCs w:val="18"/>
                <w:color w:val="auto"/>
              </w:rPr>
              <w:t>31.2</w:t>
            </w:r>
          </w:p>
        </w:tc>
        <w:tc>
          <w:tcPr>
            <w:tcW w:w="8240" w:type="dxa"/>
            <w:vAlign w:val="bottom"/>
          </w:tcPr>
          <w:p>
            <w:pPr>
              <w:ind w:left="1520"/>
              <w:spacing w:after="0"/>
              <w:rPr>
                <w:sz w:val="20"/>
                <w:szCs w:val="20"/>
                <w:color w:val="auto"/>
              </w:rPr>
            </w:pPr>
            <w:r>
              <w:rPr>
                <w:rFonts w:ascii="Arial" w:cs="Arial" w:eastAsia="Arial" w:hAnsi="Arial"/>
                <w:sz w:val="18"/>
                <w:szCs w:val="18"/>
                <w:color w:val="auto"/>
                <w:w w:val="92"/>
              </w:rPr>
              <w:t>Certification of Chief Financial Officer pursuant to Rule 13a-14(a) and Rule 15d-14(a) of the</w:t>
            </w:r>
          </w:p>
        </w:tc>
      </w:tr>
      <w:tr>
        <w:trPr>
          <w:trHeight w:val="230"/>
        </w:trPr>
        <w:tc>
          <w:tcPr>
            <w:tcW w:w="1260" w:type="dxa"/>
            <w:vAlign w:val="bottom"/>
          </w:tcPr>
          <w:p>
            <w:pPr>
              <w:spacing w:after="0"/>
              <w:rPr>
                <w:sz w:val="20"/>
                <w:szCs w:val="20"/>
                <w:color w:val="auto"/>
              </w:rPr>
            </w:pPr>
          </w:p>
        </w:tc>
        <w:tc>
          <w:tcPr>
            <w:tcW w:w="8240" w:type="dxa"/>
            <w:vAlign w:val="bottom"/>
          </w:tcPr>
          <w:p>
            <w:pPr>
              <w:ind w:left="1520"/>
              <w:spacing w:after="0"/>
              <w:rPr>
                <w:sz w:val="20"/>
                <w:szCs w:val="20"/>
                <w:color w:val="auto"/>
              </w:rPr>
            </w:pPr>
            <w:r>
              <w:rPr>
                <w:rFonts w:ascii="Arial" w:cs="Arial" w:eastAsia="Arial" w:hAnsi="Arial"/>
                <w:sz w:val="18"/>
                <w:szCs w:val="18"/>
                <w:color w:val="auto"/>
              </w:rPr>
              <w:t>Securities and Exchange Act of 1934, as amended.*</w:t>
            </w:r>
          </w:p>
        </w:tc>
      </w:tr>
      <w:tr>
        <w:trPr>
          <w:trHeight w:val="229"/>
        </w:trPr>
        <w:tc>
          <w:tcPr>
            <w:tcW w:w="1260" w:type="dxa"/>
            <w:vAlign w:val="bottom"/>
          </w:tcPr>
          <w:p>
            <w:pPr>
              <w:ind w:left="100"/>
              <w:spacing w:after="0"/>
              <w:rPr>
                <w:sz w:val="20"/>
                <w:szCs w:val="20"/>
                <w:color w:val="auto"/>
              </w:rPr>
            </w:pPr>
            <w:r>
              <w:rPr>
                <w:rFonts w:ascii="Arial" w:cs="Arial" w:eastAsia="Arial" w:hAnsi="Arial"/>
                <w:sz w:val="18"/>
                <w:szCs w:val="18"/>
                <w:color w:val="auto"/>
              </w:rPr>
              <w:t>32.1</w:t>
            </w:r>
          </w:p>
        </w:tc>
        <w:tc>
          <w:tcPr>
            <w:tcW w:w="8240" w:type="dxa"/>
            <w:vAlign w:val="bottom"/>
          </w:tcPr>
          <w:p>
            <w:pPr>
              <w:ind w:left="1520"/>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r>
      <w:tr>
        <w:trPr>
          <w:trHeight w:val="230"/>
        </w:trPr>
        <w:tc>
          <w:tcPr>
            <w:tcW w:w="1260" w:type="dxa"/>
            <w:vAlign w:val="bottom"/>
          </w:tcPr>
          <w:p>
            <w:pPr>
              <w:spacing w:after="0"/>
              <w:rPr>
                <w:sz w:val="20"/>
                <w:szCs w:val="20"/>
                <w:color w:val="auto"/>
              </w:rPr>
            </w:pPr>
          </w:p>
        </w:tc>
        <w:tc>
          <w:tcPr>
            <w:tcW w:w="8240" w:type="dxa"/>
            <w:vAlign w:val="bottom"/>
          </w:tcPr>
          <w:p>
            <w:pPr>
              <w:ind w:left="15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29"/>
        </w:trPr>
        <w:tc>
          <w:tcPr>
            <w:tcW w:w="1260" w:type="dxa"/>
            <w:vAlign w:val="bottom"/>
          </w:tcPr>
          <w:p>
            <w:pPr>
              <w:ind w:left="100"/>
              <w:spacing w:after="0"/>
              <w:rPr>
                <w:sz w:val="20"/>
                <w:szCs w:val="20"/>
                <w:color w:val="auto"/>
              </w:rPr>
            </w:pPr>
            <w:r>
              <w:rPr>
                <w:rFonts w:ascii="Arial" w:cs="Arial" w:eastAsia="Arial" w:hAnsi="Arial"/>
                <w:sz w:val="18"/>
                <w:szCs w:val="18"/>
                <w:color w:val="auto"/>
              </w:rPr>
              <w:t>32.2</w:t>
            </w:r>
          </w:p>
        </w:tc>
        <w:tc>
          <w:tcPr>
            <w:tcW w:w="8240" w:type="dxa"/>
            <w:vAlign w:val="bottom"/>
          </w:tcPr>
          <w:p>
            <w:pPr>
              <w:ind w:left="1520"/>
              <w:spacing w:after="0"/>
              <w:rPr>
                <w:sz w:val="20"/>
                <w:szCs w:val="20"/>
                <w:color w:val="auto"/>
              </w:rPr>
            </w:pPr>
            <w:r>
              <w:rPr>
                <w:rFonts w:ascii="Arial" w:cs="Arial" w:eastAsia="Arial" w:hAnsi="Arial"/>
                <w:sz w:val="18"/>
                <w:szCs w:val="18"/>
                <w:color w:val="auto"/>
                <w:w w:val="97"/>
              </w:rPr>
              <w:t>Certification of Chief Financial Officer pursuant to 18 U.S.C. Section 1350, as adopted</w:t>
            </w:r>
          </w:p>
        </w:tc>
      </w:tr>
      <w:tr>
        <w:trPr>
          <w:trHeight w:val="230"/>
        </w:trPr>
        <w:tc>
          <w:tcPr>
            <w:tcW w:w="1260" w:type="dxa"/>
            <w:vAlign w:val="bottom"/>
          </w:tcPr>
          <w:p>
            <w:pPr>
              <w:spacing w:after="0"/>
              <w:rPr>
                <w:sz w:val="20"/>
                <w:szCs w:val="20"/>
                <w:color w:val="auto"/>
              </w:rPr>
            </w:pPr>
          </w:p>
        </w:tc>
        <w:tc>
          <w:tcPr>
            <w:tcW w:w="8240" w:type="dxa"/>
            <w:vAlign w:val="bottom"/>
          </w:tcPr>
          <w:p>
            <w:pPr>
              <w:ind w:left="15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56"/>
        </w:trPr>
        <w:tc>
          <w:tcPr>
            <w:tcW w:w="1260" w:type="dxa"/>
            <w:vAlign w:val="bottom"/>
          </w:tcPr>
          <w:p>
            <w:pPr>
              <w:ind w:left="100"/>
              <w:spacing w:after="0"/>
              <w:rPr>
                <w:sz w:val="20"/>
                <w:szCs w:val="20"/>
                <w:color w:val="auto"/>
              </w:rPr>
            </w:pPr>
            <w:r>
              <w:rPr>
                <w:rFonts w:ascii="Arial" w:cs="Arial" w:eastAsia="Arial" w:hAnsi="Arial"/>
                <w:sz w:val="18"/>
                <w:szCs w:val="18"/>
                <w:color w:val="auto"/>
              </w:rPr>
              <w:t>101.INS</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Instance Document**</w:t>
            </w:r>
          </w:p>
        </w:tc>
      </w:tr>
      <w:tr>
        <w:trPr>
          <w:trHeight w:val="230"/>
        </w:trPr>
        <w:tc>
          <w:tcPr>
            <w:tcW w:w="1260" w:type="dxa"/>
            <w:vAlign w:val="bottom"/>
          </w:tcPr>
          <w:p>
            <w:pPr>
              <w:ind w:left="100"/>
              <w:spacing w:after="0"/>
              <w:rPr>
                <w:sz w:val="20"/>
                <w:szCs w:val="20"/>
                <w:color w:val="auto"/>
              </w:rPr>
            </w:pPr>
            <w:r>
              <w:rPr>
                <w:rFonts w:ascii="Arial" w:cs="Arial" w:eastAsia="Arial" w:hAnsi="Arial"/>
                <w:sz w:val="18"/>
                <w:szCs w:val="18"/>
                <w:color w:val="auto"/>
              </w:rPr>
              <w:t>101.SCH</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Taxonomy Extension Schema Document**</w:t>
            </w:r>
          </w:p>
        </w:tc>
      </w:tr>
      <w:tr>
        <w:trPr>
          <w:trHeight w:val="242"/>
        </w:trPr>
        <w:tc>
          <w:tcPr>
            <w:tcW w:w="1260" w:type="dxa"/>
            <w:vAlign w:val="bottom"/>
          </w:tcPr>
          <w:p>
            <w:pPr>
              <w:ind w:left="100"/>
              <w:spacing w:after="0"/>
              <w:rPr>
                <w:sz w:val="20"/>
                <w:szCs w:val="20"/>
                <w:color w:val="auto"/>
              </w:rPr>
            </w:pPr>
            <w:r>
              <w:rPr>
                <w:rFonts w:ascii="Arial" w:cs="Arial" w:eastAsia="Arial" w:hAnsi="Arial"/>
                <w:sz w:val="18"/>
                <w:szCs w:val="18"/>
                <w:color w:val="auto"/>
              </w:rPr>
              <w:t>101.CAL</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60" w:type="dxa"/>
            <w:vAlign w:val="bottom"/>
          </w:tcPr>
          <w:p>
            <w:pPr>
              <w:ind w:left="100"/>
              <w:spacing w:after="0"/>
              <w:rPr>
                <w:sz w:val="20"/>
                <w:szCs w:val="20"/>
                <w:color w:val="auto"/>
              </w:rPr>
            </w:pPr>
            <w:r>
              <w:rPr>
                <w:rFonts w:ascii="Arial" w:cs="Arial" w:eastAsia="Arial" w:hAnsi="Arial"/>
                <w:sz w:val="18"/>
                <w:szCs w:val="18"/>
                <w:color w:val="auto"/>
              </w:rPr>
              <w:t>101.DEF</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Taxonomy Extension Definition Document**</w:t>
            </w:r>
          </w:p>
        </w:tc>
      </w:tr>
      <w:tr>
        <w:trPr>
          <w:trHeight w:val="257"/>
        </w:trPr>
        <w:tc>
          <w:tcPr>
            <w:tcW w:w="1260" w:type="dxa"/>
            <w:vAlign w:val="bottom"/>
          </w:tcPr>
          <w:p>
            <w:pPr>
              <w:ind w:left="100"/>
              <w:spacing w:after="0"/>
              <w:rPr>
                <w:sz w:val="20"/>
                <w:szCs w:val="20"/>
                <w:color w:val="auto"/>
              </w:rPr>
            </w:pPr>
            <w:r>
              <w:rPr>
                <w:rFonts w:ascii="Arial" w:cs="Arial" w:eastAsia="Arial" w:hAnsi="Arial"/>
                <w:sz w:val="18"/>
                <w:szCs w:val="18"/>
                <w:color w:val="auto"/>
              </w:rPr>
              <w:t>101.LAB</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260" w:type="dxa"/>
            <w:vAlign w:val="bottom"/>
          </w:tcPr>
          <w:p>
            <w:pPr>
              <w:ind w:left="100"/>
              <w:spacing w:after="0"/>
              <w:rPr>
                <w:sz w:val="20"/>
                <w:szCs w:val="20"/>
                <w:color w:val="auto"/>
              </w:rPr>
            </w:pPr>
            <w:r>
              <w:rPr>
                <w:rFonts w:ascii="Arial" w:cs="Arial" w:eastAsia="Arial" w:hAnsi="Arial"/>
                <w:sz w:val="18"/>
                <w:szCs w:val="18"/>
                <w:color w:val="auto"/>
              </w:rPr>
              <w:t>101.PRE</w:t>
            </w:r>
          </w:p>
        </w:tc>
        <w:tc>
          <w:tcPr>
            <w:tcW w:w="8240" w:type="dxa"/>
            <w:vAlign w:val="bottom"/>
          </w:tcPr>
          <w:p>
            <w:pPr>
              <w:ind w:left="15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35" w:lineRule="exact"/>
        <w:rPr>
          <w:sz w:val="20"/>
          <w:szCs w:val="20"/>
          <w:color w:val="auto"/>
        </w:rPr>
      </w:pPr>
    </w:p>
    <w:p>
      <w:pPr>
        <w:ind w:left="70"/>
        <w:spacing w:after="0"/>
        <w:rPr>
          <w:sz w:val="20"/>
          <w:szCs w:val="20"/>
          <w:color w:val="auto"/>
        </w:rPr>
      </w:pPr>
      <w:r>
        <w:rPr>
          <w:rFonts w:ascii="Arial" w:cs="Arial" w:eastAsia="Arial" w:hAnsi="Arial"/>
          <w:sz w:val="14"/>
          <w:szCs w:val="14"/>
          <w:color w:val="auto"/>
        </w:rPr>
        <w:t>______________________________</w:t>
      </w:r>
    </w:p>
    <w:p>
      <w:pPr>
        <w:ind w:left="10" w:right="5200" w:hanging="10"/>
        <w:spacing w:after="0" w:line="221" w:lineRule="auto"/>
        <w:tabs>
          <w:tab w:leader="none" w:pos="2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 Filed herewith</w:t>
      </w:r>
    </w:p>
    <w:p>
      <w:pPr>
        <w:ind w:left="10"/>
        <w:spacing w:after="0"/>
        <w:rPr>
          <w:rFonts w:ascii="Arial" w:cs="Arial" w:eastAsia="Arial" w:hAnsi="Arial"/>
          <w:sz w:val="14"/>
          <w:szCs w:val="14"/>
          <w:color w:val="auto"/>
        </w:rPr>
      </w:pPr>
      <w:r>
        <w:rPr>
          <w:rFonts w:ascii="Arial" w:cs="Arial" w:eastAsia="Arial" w:hAnsi="Arial"/>
          <w:sz w:val="13"/>
          <w:szCs w:val="13"/>
          <w:color w:val="auto"/>
        </w:rPr>
        <w:t>**  In accordance with Regulation S-T, the XBRL-related information in Exhibit 101 to this Annual Report on Form 10-K shall be deemed to be “furnished” and not</w:t>
      </w:r>
    </w:p>
    <w:p>
      <w:pPr>
        <w:spacing w:after="0" w:line="28" w:lineRule="exact"/>
        <w:rPr>
          <w:sz w:val="20"/>
          <w:szCs w:val="20"/>
          <w:color w:val="auto"/>
        </w:rPr>
      </w:pPr>
    </w:p>
    <w:p>
      <w:pPr>
        <w:ind w:left="250"/>
        <w:spacing w:after="0"/>
        <w:rPr>
          <w:sz w:val="20"/>
          <w:szCs w:val="20"/>
          <w:color w:val="auto"/>
        </w:rPr>
      </w:pPr>
      <w:r>
        <w:rPr>
          <w:rFonts w:ascii="Arial" w:cs="Arial" w:eastAsia="Arial" w:hAnsi="Arial"/>
          <w:sz w:val="14"/>
          <w:szCs w:val="14"/>
          <w:color w:val="auto"/>
        </w:rPr>
        <w:t>“filed.”</w:t>
      </w:r>
    </w:p>
    <w:p>
      <w:pPr>
        <w:spacing w:after="0" w:line="231" w:lineRule="exact"/>
        <w:rPr>
          <w:sz w:val="20"/>
          <w:szCs w:val="20"/>
          <w:color w:val="auto"/>
        </w:rPr>
      </w:pPr>
    </w:p>
    <w:p>
      <w:pPr>
        <w:jc w:val="center"/>
        <w:ind w:right="-10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213995</wp:posOffset>
            </wp:positionV>
            <wp:extent cx="617410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30"/>
          </w:cols>
          <w:pgMar w:left="1130" w:top="108" w:right="1239" w:bottom="1440" w:gutter="0" w:footer="0" w:header="0"/>
        </w:sectPr>
      </w:pPr>
    </w:p>
    <w:bookmarkStart w:id="76" w:name="page77"/>
    <w:bookmarkEnd w:id="76"/>
    <w:p>
      <w:pPr>
        <w:ind w:left="8660"/>
        <w:spacing w:after="0"/>
        <w:rPr>
          <w:sz w:val="20"/>
          <w:szCs w:val="20"/>
          <w:color w:val="auto"/>
        </w:rPr>
      </w:pPr>
      <w:r>
        <w:rPr>
          <w:rFonts w:ascii="Arial" w:cs="Arial" w:eastAsia="Arial" w:hAnsi="Arial"/>
          <w:sz w:val="17"/>
          <w:szCs w:val="17"/>
          <w:b w:val="1"/>
          <w:bCs w:val="1"/>
          <w:color w:val="auto"/>
        </w:rPr>
        <w:t>Exhibit 21.1</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Duluth Holdings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Exact Name of Subsidiaries of Registrant</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c>
          <w:tcPr>
            <w:tcW w:w="340" w:type="dxa"/>
            <w:vAlign w:val="bottom"/>
          </w:tcPr>
          <w:p>
            <w:pPr>
              <w:spacing w:after="0"/>
              <w:rPr>
                <w:sz w:val="17"/>
                <w:szCs w:val="17"/>
                <w:color w:val="auto"/>
              </w:rPr>
            </w:pPr>
          </w:p>
        </w:tc>
      </w:tr>
      <w:tr>
        <w:trPr>
          <w:trHeight w:val="203"/>
        </w:trPr>
        <w:tc>
          <w:tcPr>
            <w:tcW w:w="6600" w:type="dxa"/>
            <w:vAlign w:val="bottom"/>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1"/>
              </w:rPr>
              <w:t>as Specified in their Charter</w:t>
            </w:r>
          </w:p>
        </w:tc>
        <w:tc>
          <w:tcPr>
            <w:tcW w:w="2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Incorporation or Organization</w:t>
            </w:r>
          </w:p>
        </w:tc>
        <w:tc>
          <w:tcPr>
            <w:tcW w:w="340" w:type="dxa"/>
            <w:vAlign w:val="bottom"/>
          </w:tcPr>
          <w:p>
            <w:pPr>
              <w:spacing w:after="0"/>
              <w:rPr>
                <w:sz w:val="17"/>
                <w:szCs w:val="17"/>
                <w:color w:val="auto"/>
              </w:rPr>
            </w:pPr>
          </w:p>
        </w:tc>
      </w:tr>
      <w:tr>
        <w:trPr>
          <w:trHeight w:val="224"/>
        </w:trPr>
        <w:tc>
          <w:tcPr>
            <w:tcW w:w="61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Duluth Trading Company, LLC</w:t>
            </w:r>
          </w:p>
        </w:tc>
        <w:tc>
          <w:tcPr>
            <w:tcW w:w="46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Wisconsin</w:t>
            </w:r>
          </w:p>
        </w:tc>
        <w:tc>
          <w:tcPr>
            <w:tcW w:w="340" w:type="dxa"/>
            <w:vAlign w:val="bottom"/>
          </w:tcPr>
          <w:p>
            <w:pPr>
              <w:spacing w:after="0"/>
              <w:rPr>
                <w:sz w:val="19"/>
                <w:szCs w:val="19"/>
                <w:color w:val="auto"/>
              </w:rPr>
            </w:pPr>
          </w:p>
        </w:tc>
      </w:tr>
      <w:tr>
        <w:trPr>
          <w:trHeight w:val="593"/>
        </w:trPr>
        <w:tc>
          <w:tcPr>
            <w:tcW w:w="6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r>
        <w:trPr>
          <w:trHeight w:val="20"/>
        </w:trPr>
        <w:tc>
          <w:tcPr>
            <w:tcW w:w="61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35" w:right="1119" w:bottom="1440" w:gutter="0" w:footer="0" w:header="0"/>
        </w:sectPr>
      </w:pPr>
    </w:p>
    <w:bookmarkStart w:id="77" w:name="page78"/>
    <w:bookmarkEnd w:id="77"/>
    <w:p>
      <w:pPr>
        <w:jc w:val="right"/>
        <w:ind w:right="9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We have issued our report dated April 8, 2016, with respect to the consolidated financial statements and schedule included in the Annual Report of Duluth Holdings Inc. on Form 10-K for the year ended January 31, 2016. We consent to the incorporation by reference of said report in the Registration Statements of Duluth Holdings Inc. on Forms S-8 (File No. 33-209540 and File No. 33-208185).</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276225</wp:posOffset>
            </wp:positionV>
            <wp:extent cx="564261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8" w:name="page79"/>
    <w:bookmarkEnd w:id="78"/>
    <w:p>
      <w:pPr>
        <w:ind w:left="9000"/>
        <w:spacing w:after="0"/>
        <w:rPr>
          <w:sz w:val="20"/>
          <w:szCs w:val="20"/>
          <w:color w:val="auto"/>
        </w:rPr>
      </w:pPr>
      <w:r>
        <w:rPr>
          <w:rFonts w:ascii="Arial" w:cs="Arial" w:eastAsia="Arial" w:hAnsi="Arial"/>
          <w:sz w:val="19"/>
          <w:szCs w:val="19"/>
          <w:b w:val="1"/>
          <w:bCs w:val="1"/>
          <w:color w:val="auto"/>
        </w:rPr>
        <w:t>Exhibit 24.1</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Each of the undersigned directors of Duluth Holdings Inc. (the “Corporation”) hereby designates and appoints Stephen L, Schlecht, Stephanie L. Pugliese and Mark M. DeOrio,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31, 2016,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6th day of April, 2016.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Stephen L. Schlecht</w:t>
            </w:r>
          </w:p>
        </w:tc>
        <w:tc>
          <w:tcPr>
            <w:tcW w:w="6820" w:type="dxa"/>
            <w:vAlign w:val="bottom"/>
            <w:gridSpan w:val="8"/>
          </w:tcPr>
          <w:p>
            <w:pPr>
              <w:ind w:left="1240"/>
              <w:spacing w:after="0"/>
              <w:rPr>
                <w:sz w:val="20"/>
                <w:szCs w:val="20"/>
                <w:color w:val="auto"/>
              </w:rPr>
            </w:pPr>
            <w:r>
              <w:rPr>
                <w:rFonts w:ascii="Arial" w:cs="Arial" w:eastAsia="Arial" w:hAnsi="Arial"/>
                <w:sz w:val="18"/>
                <w:szCs w:val="18"/>
                <w:i w:val="1"/>
                <w:iCs w:val="1"/>
                <w:color w:val="auto"/>
              </w:rPr>
              <w:t>/s/ Stephanie L. Pugliese</w:t>
            </w:r>
          </w:p>
        </w:tc>
      </w:tr>
      <w:tr>
        <w:trPr>
          <w:trHeight w:val="237"/>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Stephen L. Schlecht</w:t>
            </w:r>
          </w:p>
        </w:tc>
        <w:tc>
          <w:tcPr>
            <w:tcW w:w="1700" w:type="dxa"/>
            <w:vAlign w:val="bottom"/>
            <w:gridSpan w:val="3"/>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w w:val="97"/>
              </w:rPr>
              <w:t>Stephanie L. Pugliese</w:t>
            </w:r>
          </w:p>
        </w:tc>
        <w:tc>
          <w:tcPr>
            <w:tcW w:w="3800" w:type="dxa"/>
            <w:vAlign w:val="bottom"/>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E. David Coolidge III</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i w:val="1"/>
                <w:iCs w:val="1"/>
                <w:color w:val="auto"/>
              </w:rPr>
              <w:t>/s/ Thomas G. Folliard</w:t>
            </w:r>
          </w:p>
        </w:tc>
      </w:tr>
      <w:tr>
        <w:trPr>
          <w:trHeight w:val="237"/>
        </w:trPr>
        <w:tc>
          <w:tcPr>
            <w:tcW w:w="1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E. David Coolidge III</w:t>
            </w:r>
          </w:p>
        </w:tc>
        <w:tc>
          <w:tcPr>
            <w:tcW w:w="1540" w:type="dxa"/>
            <w:vAlign w:val="bottom"/>
            <w:gridSpan w:val="2"/>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Thomas G. Folliard</w:t>
            </w:r>
          </w:p>
        </w:tc>
        <w:tc>
          <w:tcPr>
            <w:tcW w:w="3860" w:type="dxa"/>
            <w:vAlign w:val="bottom"/>
            <w:gridSpan w:val="2"/>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Francesca M. Edwardson</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00" w:type="dxa"/>
            <w:vAlign w:val="bottom"/>
            <w:gridSpan w:val="5"/>
          </w:tcPr>
          <w:p>
            <w:pPr>
              <w:spacing w:after="0"/>
              <w:rPr>
                <w:sz w:val="20"/>
                <w:szCs w:val="20"/>
                <w:color w:val="auto"/>
              </w:rPr>
            </w:pPr>
            <w:r>
              <w:rPr>
                <w:rFonts w:ascii="Arial" w:cs="Arial" w:eastAsia="Arial" w:hAnsi="Arial"/>
                <w:sz w:val="18"/>
                <w:szCs w:val="18"/>
                <w:i w:val="1"/>
                <w:iCs w:val="1"/>
                <w:color w:val="auto"/>
              </w:rPr>
              <w:t>/s/ C. Roger Lewis</w:t>
            </w:r>
          </w:p>
        </w:tc>
      </w:tr>
      <w:tr>
        <w:trPr>
          <w:trHeight w:val="237"/>
        </w:trPr>
        <w:tc>
          <w:tcPr>
            <w:tcW w:w="20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9"/>
              </w:rPr>
              <w:t>Francesca M. Edwardson</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Roger Lewis</w:t>
            </w:r>
          </w:p>
        </w:tc>
        <w:tc>
          <w:tcPr>
            <w:tcW w:w="4160" w:type="dxa"/>
            <w:vAlign w:val="bottom"/>
            <w:gridSpan w:val="4"/>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William E. Ferry</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6"/>
          </w:tcPr>
          <w:p>
            <w:pPr>
              <w:spacing w:after="0"/>
              <w:rPr>
                <w:sz w:val="20"/>
                <w:szCs w:val="20"/>
                <w:color w:val="auto"/>
              </w:rPr>
            </w:pPr>
            <w:r>
              <w:rPr>
                <w:rFonts w:ascii="Arial" w:cs="Arial" w:eastAsia="Arial" w:hAnsi="Arial"/>
                <w:sz w:val="18"/>
                <w:szCs w:val="18"/>
                <w:i w:val="1"/>
                <w:iCs w:val="1"/>
                <w:color w:val="auto"/>
              </w:rPr>
              <w:t>/s/ Brenda I. Morris</w:t>
            </w: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E. Ferry</w:t>
            </w:r>
          </w:p>
        </w:tc>
        <w:tc>
          <w:tcPr>
            <w:tcW w:w="1900" w:type="dxa"/>
            <w:vAlign w:val="bottom"/>
            <w:gridSpan w:val="4"/>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Brenda I. Morris</w:t>
            </w:r>
          </w:p>
        </w:tc>
        <w:tc>
          <w:tcPr>
            <w:tcW w:w="4120" w:type="dxa"/>
            <w:vAlign w:val="bottom"/>
            <w:gridSpan w:val="3"/>
          </w:tcPr>
          <w:p>
            <w:pPr>
              <w:spacing w:after="0"/>
              <w:rPr>
                <w:sz w:val="20"/>
                <w:szCs w:val="20"/>
                <w:color w:val="auto"/>
              </w:rPr>
            </w:pPr>
          </w:p>
        </w:tc>
      </w:tr>
      <w:tr>
        <w:trPr>
          <w:trHeight w:val="608"/>
        </w:trPr>
        <w:tc>
          <w:tcPr>
            <w:tcW w:w="3320" w:type="dxa"/>
            <w:vAlign w:val="bottom"/>
            <w:gridSpan w:val="6"/>
          </w:tcPr>
          <w:p>
            <w:pPr>
              <w:spacing w:after="0"/>
              <w:rPr>
                <w:sz w:val="20"/>
                <w:szCs w:val="20"/>
                <w:color w:val="auto"/>
              </w:rPr>
            </w:pPr>
            <w:r>
              <w:rPr>
                <w:rFonts w:ascii="Arial" w:cs="Arial" w:eastAsia="Arial" w:hAnsi="Arial"/>
                <w:sz w:val="18"/>
                <w:szCs w:val="18"/>
                <w:i w:val="1"/>
                <w:iCs w:val="1"/>
                <w:color w:val="auto"/>
              </w:rPr>
              <w:t>/s/ David C. Finch</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7"/>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 Finch</w:t>
            </w:r>
          </w:p>
        </w:tc>
        <w:tc>
          <w:tcPr>
            <w:tcW w:w="2000" w:type="dxa"/>
            <w:vAlign w:val="bottom"/>
            <w:gridSpan w:val="5"/>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16"/>
        </w:trPr>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800" w:type="dxa"/>
            <w:vAlign w:val="bottom"/>
            <w:tcBorders>
              <w:bottom w:val="single" w:sz="8" w:color="9A9A9A"/>
            </w:tcBorders>
          </w:tcPr>
          <w:p>
            <w:pPr>
              <w:spacing w:after="0"/>
              <w:rPr>
                <w:sz w:val="18"/>
                <w:szCs w:val="18"/>
                <w:color w:val="auto"/>
              </w:rPr>
            </w:pPr>
          </w:p>
        </w:tc>
      </w:tr>
      <w:tr>
        <w:trPr>
          <w:trHeight w:val="20"/>
        </w:trPr>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Annual Report on Form 10-K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ind w:left="460" w:right="540" w:hanging="134"/>
        <w:spacing w:after="0" w:line="308"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25"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1500" w:hanging="843"/>
        <w:spacing w:after="0"/>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4"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260" w:hanging="161"/>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Annual Report on Form 10-K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ind w:left="460" w:right="540" w:hanging="134"/>
        <w:spacing w:after="0" w:line="308"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25"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1500" w:hanging="843"/>
        <w:spacing w:after="0"/>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4"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260" w:hanging="161"/>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31, 2016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April 8,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connection with the Annual Report on Form 10-K of Duluth Holdings Inc. (the “Company”) for the fiscal year ended January 31, 2016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April 8,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9"/>
    </w:lvl>
  </w:abstractNum>
  <w:abstractNum w:abstractNumId="19">
    <w:nsid w:val="836C40E"/>
    <w:multiLevelType w:val="hybridMultilevel"/>
    <w:lvl w:ilvl="0">
      <w:lvlJc w:val="left"/>
      <w:lvlText w:val="(%1)"/>
      <w:numFmt w:val="lowerLetter"/>
      <w:start w:val="2"/>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606"/>
    </w:lvl>
  </w:abstractNum>
  <w:abstractNum w:abstractNumId="28">
    <w:nsid w:val="4516DDE9"/>
    <w:multiLevelType w:val="hybridMultilevel"/>
    <w:lvl w:ilvl="0">
      <w:lvlJc w:val="left"/>
      <w:lvlText w:val="%1)"/>
      <w:numFmt w:val="decimal"/>
      <w:start w:val="330"/>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3"/>
    </w:lvl>
  </w:abstractNum>
  <w:abstractNum w:abstractNumId="31">
    <w:nsid w:val="419AC241"/>
    <w:multiLevelType w:val="hybridMultilevel"/>
    <w:lvl w:ilvl="0">
      <w:lvlJc w:val="left"/>
      <w:lvlText w:val="A"/>
      <w:numFmt w:val="bullet"/>
      <w:start w:val="1"/>
    </w:lvl>
  </w:abstractNum>
  <w:abstractNum w:abstractNumId="32">
    <w:nsid w:val="5577F8E1"/>
    <w:multiLevelType w:val="hybridMultilevel"/>
    <w:lvl w:ilvl="0">
      <w:lvlJc w:val="left"/>
      <w:lvlText w:val="%1)"/>
      <w:numFmt w:val="decimal"/>
      <w:start w:val="606"/>
    </w:lvl>
  </w:abstractNum>
  <w:abstractNum w:abstractNumId="33">
    <w:nsid w:val="440BADFC"/>
    <w:multiLevelType w:val="hybridMultilevel"/>
    <w:lvl w:ilvl="0">
      <w:lvlJc w:val="left"/>
      <w:lvlText w:val="%1)"/>
      <w:numFmt w:val="decimal"/>
      <w:start w:val="330"/>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lowerLetter"/>
      <w:start w:val="2"/>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2019-12-29T14:00:43Z</dcterms:created>
  <dcterms:modified xsi:type="dcterms:W3CDTF">2019-12-29T14:00:43Z</dcterms:modified>
</cp:coreProperties>
</file>