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Schlecht Richard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EAST FRONT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 HOREB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DULUTH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Product Dev. &amp; Sourcing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9"/>
        <w:gridCol w:w="901"/>
        <w:gridCol w:w="771"/>
        <w:gridCol w:w="598"/>
        <w:gridCol w:w="347"/>
        <w:gridCol w:w="886"/>
        <w:gridCol w:w="453"/>
        <w:gridCol w:w="668"/>
        <w:gridCol w:w="1160"/>
        <w:gridCol w:w="995"/>
        <w:gridCol w:w="105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3.39</w:t>
            </w:r>
            <w:r>
              <w:rPr/>
              <w:t xml:space="preserve"> 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400,059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88,660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Children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used to satisfy tax withholding obligation upon vesting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are held by reporting person's children in UTMA accounts.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Dennis F. Connolly, as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1309" TargetMode="External"/><Relationship Id="rId5" Type="http://schemas.openxmlformats.org/officeDocument/2006/relationships/hyperlink" Target="http://www.sec.gov/cgi-bin/browse-edgar?action=getcompany&amp;CIK=00016497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3239</Characters>
  <CharactersWithSpaces>3776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