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3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560" w:right="640" w:hanging="435"/>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October 28,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560" w:right="620" w:hanging="435"/>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3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3820" w:type="dxa"/>
            <w:vAlign w:val="bottom"/>
          </w:tcPr>
          <w:p>
            <w:pPr>
              <w:jc w:val="center"/>
              <w:ind w:right="1339"/>
              <w:spacing w:after="0"/>
              <w:rPr>
                <w:sz w:val="20"/>
                <w:szCs w:val="20"/>
                <w:color w:val="auto"/>
              </w:rPr>
            </w:pPr>
            <w:r>
              <w:rPr>
                <w:rFonts w:ascii="Arial" w:cs="Arial" w:eastAsia="Arial" w:hAnsi="Arial"/>
                <w:sz w:val="18"/>
                <w:szCs w:val="18"/>
                <w:b w:val="1"/>
                <w:bCs w:val="1"/>
                <w:color w:val="auto"/>
                <w:w w:val="88"/>
              </w:rPr>
              <w:t>Wisconsin</w:t>
            </w:r>
          </w:p>
        </w:tc>
        <w:tc>
          <w:tcPr>
            <w:tcW w:w="28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382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60" w:type="dxa"/>
            <w:vAlign w:val="bottom"/>
          </w:tcPr>
          <w:p>
            <w:pPr>
              <w:jc w:val="center"/>
              <w:ind w:left="13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incorporation or organization)</w:t>
            </w:r>
          </w:p>
        </w:tc>
        <w:tc>
          <w:tcPr>
            <w:tcW w:w="28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38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1"/>
              </w:rPr>
              <w:t>201 East Front Street</w:t>
            </w:r>
          </w:p>
        </w:tc>
        <w:tc>
          <w:tcPr>
            <w:tcW w:w="2860" w:type="dxa"/>
            <w:vAlign w:val="bottom"/>
          </w:tcPr>
          <w:p>
            <w:pPr>
              <w:spacing w:after="0"/>
              <w:rPr>
                <w:sz w:val="24"/>
                <w:szCs w:val="24"/>
                <w:color w:val="auto"/>
              </w:rPr>
            </w:pPr>
          </w:p>
        </w:tc>
      </w:tr>
      <w:tr>
        <w:trPr>
          <w:trHeight w:val="239"/>
        </w:trPr>
        <w:tc>
          <w:tcPr>
            <w:tcW w:w="38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0"/>
              </w:rPr>
              <w:t>Mount Horeb, Wisconsin</w:t>
            </w:r>
          </w:p>
        </w:tc>
        <w:tc>
          <w:tcPr>
            <w:tcW w:w="28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3820" w:type="dxa"/>
            <w:vAlign w:val="bottom"/>
          </w:tcPr>
          <w:p>
            <w:pPr>
              <w:jc w:val="center"/>
              <w:ind w:right="1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21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(608) 424-1544</w:t>
      </w:r>
    </w:p>
    <w:p>
      <w:pPr>
        <w:spacing w:after="0" w:line="4"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300"/>
        <w:spacing w:after="0"/>
        <w:rPr>
          <w:sz w:val="20"/>
          <w:szCs w:val="20"/>
          <w:color w:val="auto"/>
        </w:rPr>
      </w:pPr>
      <w:r>
        <w:rPr>
          <w:rFonts w:ascii="Arial" w:cs="Arial" w:eastAsia="Arial" w:hAnsi="Arial"/>
          <w:sz w:val="14"/>
          <w:szCs w:val="14"/>
          <w:color w:val="auto"/>
        </w:rPr>
        <w:t>_________________________________________</w:t>
      </w:r>
    </w:p>
    <w:p>
      <w:pPr>
        <w:ind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6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8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2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A common stock, no par value, as of December 5, 2018, was 3,364,200.</w:t>
      </w:r>
    </w:p>
    <w:p>
      <w:pPr>
        <w:spacing w:after="0" w:line="34"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December 5, 2018, was 29,214,676.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15" w:right="1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QUARTER ENDED October 28,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EE"/>
            </w:tcBorders>
            <w:gridSpan w:val="8"/>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00" w:type="dxa"/>
            <w:vAlign w:val="bottom"/>
            <w:gridSpan w:val="8"/>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Page</w:t>
            </w: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October 28, 2018 and January 28, 2018</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5320" w:type="dxa"/>
            <w:vAlign w:val="bottom"/>
            <w:tcBorders>
              <w:top w:val="single" w:sz="8" w:color="0000EE"/>
            </w:tcBorders>
            <w:gridSpan w:val="17"/>
          </w:tcPr>
          <w:p>
            <w:pPr>
              <w:spacing w:after="0"/>
              <w:rPr>
                <w:sz w:val="17"/>
                <w:szCs w:val="17"/>
                <w:color w:val="auto"/>
              </w:rPr>
            </w:pPr>
          </w:p>
        </w:tc>
        <w:tc>
          <w:tcPr>
            <w:tcW w:w="108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w:t>
              </w:r>
            </w:hyperlink>
          </w:p>
        </w:tc>
        <w:tc>
          <w:tcPr>
            <w:tcW w:w="98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October 28, 2018 and October 29, 2017 (Unaudited)</w:t>
              </w:r>
            </w:hyperlink>
          </w:p>
        </w:tc>
        <w:tc>
          <w:tcPr>
            <w:tcW w:w="35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for the three and nine months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October 28, 2018 and October 29, 2017 (Unaudited)</w:t>
              </w:r>
            </w:hyperlink>
          </w:p>
        </w:tc>
        <w:tc>
          <w:tcPr>
            <w:tcW w:w="2480" w:type="dxa"/>
            <w:vAlign w:val="bottom"/>
            <w:tcBorders>
              <w:top w:val="single" w:sz="8" w:color="0000EE"/>
            </w:tcBorders>
            <w:gridSpan w:val="11"/>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for the nine months ended</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October 28, 2018 (Unaudited)</w:t>
              </w:r>
            </w:hyperlink>
          </w:p>
        </w:tc>
        <w:tc>
          <w:tcPr>
            <w:tcW w:w="4040" w:type="dxa"/>
            <w:vAlign w:val="bottom"/>
            <w:tcBorders>
              <w:top w:val="single" w:sz="8" w:color="0000EE"/>
            </w:tcBorders>
            <w:gridSpan w:val="12"/>
          </w:tcPr>
          <w:p>
            <w:pPr>
              <w:spacing w:after="0"/>
              <w:rPr>
                <w:sz w:val="17"/>
                <w:szCs w:val="17"/>
                <w:color w:val="auto"/>
              </w:rPr>
            </w:pPr>
          </w:p>
        </w:tc>
        <w:tc>
          <w:tcPr>
            <w:tcW w:w="10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for the nine months ended</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October 29, 2017 (Unaudited)</w:t>
              </w:r>
            </w:hyperlink>
          </w:p>
        </w:tc>
        <w:tc>
          <w:tcPr>
            <w:tcW w:w="4060" w:type="dxa"/>
            <w:vAlign w:val="bottom"/>
            <w:tcBorders>
              <w:top w:val="single" w:sz="8" w:color="0000EE"/>
            </w:tcBorders>
            <w:gridSpan w:val="13"/>
          </w:tcPr>
          <w:p>
            <w:pPr>
              <w:spacing w:after="0"/>
              <w:rPr>
                <w:sz w:val="17"/>
                <w:szCs w:val="17"/>
                <w:color w:val="auto"/>
              </w:rPr>
            </w:pPr>
          </w:p>
        </w:tc>
        <w:tc>
          <w:tcPr>
            <w:tcW w:w="10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October 28,</w:t>
              </w:r>
            </w:hyperlink>
          </w:p>
        </w:tc>
        <w:tc>
          <w:tcPr>
            <w:tcW w:w="74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8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2018 and October 29, 2017 (Unaudited)</w:t>
              </w:r>
            </w:hyperlink>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2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720" w:type="dxa"/>
            <w:vAlign w:val="bottom"/>
            <w:gridSpan w:val="3"/>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720" w:type="dxa"/>
            <w:vAlign w:val="bottom"/>
            <w:gridSpan w:val="3"/>
          </w:tcPr>
          <w:p>
            <w:pPr>
              <w:spacing w:after="0"/>
              <w:rPr>
                <w:sz w:val="24"/>
                <w:szCs w:val="24"/>
                <w:color w:val="auto"/>
              </w:rPr>
            </w:pPr>
          </w:p>
        </w:tc>
        <w:tc>
          <w:tcPr>
            <w:tcW w:w="6460" w:type="dxa"/>
            <w:vAlign w:val="bottom"/>
            <w:tcBorders>
              <w:top w:val="single" w:sz="8" w:color="0000EE"/>
            </w:tcBorders>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8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720" w:type="dxa"/>
            <w:vAlign w:val="bottom"/>
            <w:gridSpan w:val="3"/>
          </w:tcPr>
          <w:p>
            <w:pPr>
              <w:spacing w:after="0"/>
              <w:rPr>
                <w:sz w:val="24"/>
                <w:szCs w:val="24"/>
                <w:color w:val="auto"/>
              </w:rPr>
            </w:pPr>
          </w:p>
        </w:tc>
        <w:tc>
          <w:tcPr>
            <w:tcW w:w="4360" w:type="dxa"/>
            <w:vAlign w:val="bottom"/>
            <w:tcBorders>
              <w:top w:val="single" w:sz="8" w:color="0000EE"/>
            </w:tcBorders>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Part II—Other Information</w:t>
              </w:r>
            </w:hyperlink>
          </w:p>
        </w:tc>
        <w:tc>
          <w:tcPr>
            <w:tcW w:w="290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5940" w:type="dxa"/>
            <w:vAlign w:val="bottom"/>
            <w:gridSpan w:val="2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28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720" w:type="dxa"/>
            <w:vAlign w:val="bottom"/>
            <w:gridSpan w:val="3"/>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9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898"/>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gridSpan w:val="12"/>
          </w:tcPr>
          <w:p>
            <w:pPr>
              <w:ind w:left="33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21" w:right="11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4"/>
              </w:rPr>
              <w:t>October 28, 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6"/>
              </w:rPr>
              <w:t>January 28,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$2,972 and $1,866,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Prepaid expenses &amp; other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Current maturities of capital lease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line of credit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Capitalized lease obligations, less current maturities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under build-to-suit leases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rent obligations, less current maturities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issued or outstanding as of October 28, 2018 and January 28, 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3,364 shares issued and outstanding as of October 28, 2018 and January 28, 2018</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w w:val="94"/>
              </w:rPr>
              <w:t>29,228 shares issued and 29,223 shares outstanding as of October 28, 2018 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29,101 shares issued and 29,098 shares outstanding as of January 28, 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5 and 3 shares as of October 28, 2018 and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28, 2018,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Capital stock</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324,517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October 28, 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auto"/>
                <w:w w:val="92"/>
              </w:rPr>
              <w:t>October 29,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28, 2018</w:t>
            </w:r>
          </w:p>
        </w:tc>
        <w:tc>
          <w:tcPr>
            <w:tcW w:w="100" w:type="dxa"/>
            <w:vAlign w:val="bottom"/>
          </w:tcPr>
          <w:p>
            <w:pPr>
              <w:spacing w:after="0"/>
              <w:rPr>
                <w:sz w:val="15"/>
                <w:szCs w:val="15"/>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October 29,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317,561</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253,642</w:t>
            </w: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179,151</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63,534</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48,039</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172,075</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Net (loss) income attributable to controlling interest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2,536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Weighted average shares of</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8"/>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Net (loss) income per share attributable</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October 28, 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October 29, 2017</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October 28, 2018</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29,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 noncontrolling interest</w:t>
            </w: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Comprehensive (loss) income attributable</w:t>
            </w:r>
          </w:p>
        </w:tc>
        <w:tc>
          <w:tcPr>
            <w:tcW w:w="5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2,536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5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Nine-Months Ended October 28, 2018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Total</w:t>
            </w: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2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earnings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139,349</w:t>
            </w:r>
          </w:p>
        </w:tc>
      </w:tr>
      <w:tr>
        <w:trPr>
          <w:trHeight w:val="229"/>
        </w:trPr>
        <w:tc>
          <w:tcPr>
            <w:tcW w:w="20" w:type="dxa"/>
            <w:vAlign w:val="bottom"/>
          </w:tcPr>
          <w:p>
            <w:pPr>
              <w:spacing w:after="0"/>
              <w:rPr>
                <w:sz w:val="19"/>
                <w:szCs w:val="19"/>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Cumulative effect from adoption of</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ASC 606 (Footnote 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138,701</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Balance at April 29, 2018</w:t>
            </w:r>
          </w:p>
        </w:tc>
        <w:tc>
          <w:tcPr>
            <w:tcW w:w="900" w:type="dxa"/>
            <w:vAlign w:val="bottom"/>
          </w:tcPr>
          <w:p>
            <w:pPr>
              <w:jc w:val="right"/>
              <w:spacing w:after="0"/>
              <w:rPr>
                <w:sz w:val="20"/>
                <w:szCs w:val="20"/>
                <w:color w:val="auto"/>
              </w:rPr>
            </w:pPr>
            <w:r>
              <w:rPr>
                <w:rFonts w:ascii="Arial" w:cs="Arial" w:eastAsia="Arial" w:hAnsi="Arial"/>
                <w:sz w:val="18"/>
                <w:szCs w:val="18"/>
                <w:color w:val="auto"/>
              </w:rPr>
              <w:t>32,566</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88,452</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46,745</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138,392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Balance at July 29, 2018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32,586</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88,901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53,122</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145,293</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28,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49,972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Nine-Months Ended October 29, 2017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Total</w:t>
            </w: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29,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114,796</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30,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119,967</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Balance at October 29, 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32,461</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28,556</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119,333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Nine Months Ended</w:t>
            </w:r>
          </w:p>
        </w:tc>
      </w:tr>
      <w:tr>
        <w:trPr>
          <w:trHeight w:val="412"/>
        </w:trPr>
        <w:tc>
          <w:tcPr>
            <w:tcW w:w="20" w:type="dxa"/>
            <w:vAlign w:val="bottom"/>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October 28, 2018</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October 29, 2017</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2,693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to net cash used in operating activities:</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(57,020)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 &amp; other current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(5,225)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(34,957)</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(45,878)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(37,501)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other assets</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(43,909)</w:t>
            </w:r>
          </w:p>
        </w:tc>
      </w:tr>
      <w:tr>
        <w:trPr>
          <w:trHeight w:val="196"/>
        </w:trPr>
        <w:tc>
          <w:tcPr>
            <w:tcW w:w="20" w:type="dxa"/>
            <w:vAlign w:val="bottom"/>
          </w:tcPr>
          <w:p>
            <w:pPr>
              <w:spacing w:after="0"/>
              <w:rPr>
                <w:sz w:val="17"/>
                <w:szCs w:val="17"/>
                <w:color w:val="auto"/>
              </w:rPr>
            </w:pPr>
          </w:p>
        </w:tc>
        <w:tc>
          <w:tcPr>
            <w:tcW w:w="59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76,476</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(35,982)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(26,375)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 term debt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Payments on long term debt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bank overdrafts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holders of noncontrolling interest in variable interest entity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Proceeds from finance lease obligations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variable interest entity</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56,516</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restricted cash</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restricted cash at beginning of period</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w:t>
            </w: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190"/>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taxes paid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10,055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8,950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Property and equipment acquired through capital lease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27,711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4,144</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2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160" w:firstLine="428"/>
        <w:spacing w:after="0" w:line="293" w:lineRule="auto"/>
        <w:rPr>
          <w:sz w:val="20"/>
          <w:szCs w:val="20"/>
          <w:color w:val="auto"/>
        </w:rPr>
      </w:pPr>
      <w:r>
        <w:rPr>
          <w:rFonts w:ascii="Arial" w:cs="Arial" w:eastAsia="Arial" w:hAnsi="Arial"/>
          <w:sz w:val="16"/>
          <w:szCs w:val="16"/>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October 28, 2018, the Company operated 40 retail stores and three outlet stores.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Schlecht Retail Ventures LLC (“SRV”) as a variable interest entity (see Note 6 “Variable Interest Entity”). All intercompany balances and transactions have been eliminated.</w:t>
      </w:r>
    </w:p>
    <w:p>
      <w:pPr>
        <w:spacing w:after="0" w:line="154" w:lineRule="exact"/>
        <w:rPr>
          <w:sz w:val="20"/>
          <w:szCs w:val="20"/>
          <w:color w:val="auto"/>
        </w:rPr>
      </w:pPr>
    </w:p>
    <w:p>
      <w:pPr>
        <w:ind w:right="20" w:firstLine="428"/>
        <w:spacing w:after="0" w:line="312" w:lineRule="auto"/>
        <w:rPr>
          <w:sz w:val="20"/>
          <w:szCs w:val="20"/>
          <w:color w:val="auto"/>
        </w:rPr>
      </w:pPr>
      <w:r>
        <w:rPr>
          <w:rFonts w:ascii="Arial" w:cs="Arial" w:eastAsia="Arial" w:hAnsi="Arial"/>
          <w:sz w:val="16"/>
          <w:szCs w:val="16"/>
          <w:color w:val="auto"/>
        </w:rPr>
        <w:t>The Company’s fiscal year ends on the Sunday nearest to January 31 of the following year. Fiscal 2018 is a 53-week period and ends on February 3, 2019. Fiscal 2017 was a 52-week period and ended on January 28, 2018. The three and nine months of fiscal 2018 and fiscal 2017 represent the Company’s 13 and 39-week periods ended October 28, 2018 and October 29, 2017, respectively.</w:t>
      </w:r>
    </w:p>
    <w:p>
      <w:pPr>
        <w:spacing w:after="0" w:line="106" w:lineRule="exact"/>
        <w:rPr>
          <w:sz w:val="20"/>
          <w:szCs w:val="20"/>
          <w:color w:val="auto"/>
        </w:rPr>
      </w:pPr>
    </w:p>
    <w:p>
      <w:pPr>
        <w:ind w:right="40" w:firstLine="428"/>
        <w:spacing w:after="0" w:line="270" w:lineRule="auto"/>
        <w:rPr>
          <w:sz w:val="20"/>
          <w:szCs w:val="20"/>
          <w:color w:val="auto"/>
        </w:rPr>
      </w:pPr>
      <w:r>
        <w:rPr>
          <w:rFonts w:ascii="Arial" w:cs="Arial" w:eastAsia="Arial" w:hAnsi="Arial"/>
          <w:sz w:val="17"/>
          <w:szCs w:val="17"/>
          <w:color w:val="auto"/>
        </w:rPr>
        <w:t>The accompanying condensed consolidated financial statements as of and for the three and nine months ended October 28, 2018 and October 29, 2017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28, 2018 and October 29, 2017. These interim condensed consolidated financial statements should be read in conjunction with the consolidated financial statements and notes included in the Company’s annual report on Form 10-K for the fiscal year ended January 28, 2018.</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20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Cash and Reconciliation of cash and restricted cash to the condensed statement of cash flows</w:t>
      </w:r>
    </w:p>
    <w:p>
      <w:pPr>
        <w:spacing w:after="0" w:line="185" w:lineRule="exact"/>
        <w:rPr>
          <w:sz w:val="20"/>
          <w:szCs w:val="20"/>
          <w:color w:val="auto"/>
        </w:rPr>
      </w:pPr>
    </w:p>
    <w:p>
      <w:pPr>
        <w:ind w:right="8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39" w:lineRule="exact"/>
        <w:rPr>
          <w:sz w:val="20"/>
          <w:szCs w:val="20"/>
          <w:color w:val="auto"/>
        </w:rPr>
      </w:pPr>
    </w:p>
    <w:p>
      <w:pPr>
        <w:ind w:right="140" w:firstLine="428"/>
        <w:spacing w:after="0" w:line="342" w:lineRule="auto"/>
        <w:rPr>
          <w:sz w:val="20"/>
          <w:szCs w:val="20"/>
          <w:color w:val="auto"/>
        </w:rPr>
      </w:pPr>
      <w:r>
        <w:rPr>
          <w:rFonts w:ascii="Arial" w:cs="Arial" w:eastAsia="Arial" w:hAnsi="Arial"/>
          <w:sz w:val="16"/>
          <w:szCs w:val="16"/>
          <w:color w:val="auto"/>
        </w:rPr>
        <w:t>The following table provides a reconciliation of cash and restricted cash reported within the Condensed Consolidated Balance Sheet that sum to the total of the same such amounts shown in the Condensed 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October 28, 2018</w:t>
            </w:r>
          </w:p>
        </w:tc>
        <w:tc>
          <w:tcPr>
            <w:tcW w:w="20" w:type="dxa"/>
            <w:vAlign w:val="bottom"/>
          </w:tcPr>
          <w:p>
            <w:pPr>
              <w:spacing w:after="0"/>
              <w:rPr>
                <w:sz w:val="14"/>
                <w:szCs w:val="14"/>
                <w:color w:val="auto"/>
              </w:rPr>
            </w:pPr>
          </w:p>
        </w:tc>
      </w:tr>
      <w:tr>
        <w:trPr>
          <w:trHeight w:val="196"/>
        </w:trPr>
        <w:tc>
          <w:tcPr>
            <w:tcW w:w="7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cash and restricted cash shown in the condensed consolidated statement of cash flows</w:t>
            </w: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0" w:type="dxa"/>
            <w:vAlign w:val="bottom"/>
          </w:tcPr>
          <w:p>
            <w:pPr>
              <w:spacing w:after="0"/>
              <w:rPr>
                <w:sz w:val="22"/>
                <w:szCs w:val="22"/>
                <w:color w:val="auto"/>
              </w:rPr>
            </w:pPr>
          </w:p>
        </w:tc>
      </w:tr>
      <w:tr>
        <w:trPr>
          <w:trHeight w:val="419"/>
        </w:trPr>
        <w:tc>
          <w:tcPr>
            <w:tcW w:w="7340" w:type="dxa"/>
            <w:vAlign w:val="bottom"/>
            <w:gridSpan w:val="2"/>
          </w:tcPr>
          <w:p>
            <w:pPr>
              <w:jc w:val="right"/>
              <w:ind w:right="239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Build-to-Suit Lease</w:t>
      </w:r>
    </w:p>
    <w:p>
      <w:pPr>
        <w:spacing w:after="0" w:line="185"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For leases of property of which the Company is deemed to be the owner during the construction period, upon commencement of the construction project, the Company is required to capitalize the cash and non-cash assets contributed by the landlord for construction as property and equipment on the Company’s Condensed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56" w:lineRule="exact"/>
        <w:rPr>
          <w:sz w:val="20"/>
          <w:szCs w:val="20"/>
          <w:color w:val="auto"/>
        </w:rPr>
      </w:pPr>
    </w:p>
    <w:p>
      <w:pPr>
        <w:ind w:right="280" w:firstLine="428"/>
        <w:spacing w:after="0" w:line="276" w:lineRule="auto"/>
        <w:rPr>
          <w:sz w:val="20"/>
          <w:szCs w:val="20"/>
          <w:color w:val="auto"/>
        </w:rPr>
      </w:pPr>
      <w:r>
        <w:rPr>
          <w:rFonts w:ascii="Arial" w:cs="Arial" w:eastAsia="Arial" w:hAnsi="Arial"/>
          <w:sz w:val="17"/>
          <w:szCs w:val="17"/>
          <w:color w:val="auto"/>
        </w:rPr>
        <w:t>As of October 28, 2018, the Company capitalized $33.1 million in property and equipment and $0.8 million in accumulated depreciation and recorded a $17.3 million non-current liability related to build-to-suit transactions in which the Company is considered the owner for accounting purposes. As of January 28, 2018, the Company capitalized $36.5 million in property and equipment and $0.3 million in accumulated depreciation and recorded a $26.6 million non-current liability related to build-to-suit transactions in which the Company is considered the owner for accounting purposes.</w:t>
      </w:r>
    </w:p>
    <w:p>
      <w:pPr>
        <w:spacing w:after="0" w:line="1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85" w:lineRule="exact"/>
        <w:rPr>
          <w:sz w:val="20"/>
          <w:szCs w:val="20"/>
          <w:color w:val="auto"/>
        </w:rPr>
      </w:pPr>
    </w:p>
    <w:p>
      <w:pPr>
        <w:ind w:right="680" w:firstLine="428"/>
        <w:spacing w:after="0" w:line="308" w:lineRule="auto"/>
        <w:rPr>
          <w:sz w:val="20"/>
          <w:szCs w:val="20"/>
          <w:color w:val="auto"/>
        </w:rPr>
      </w:pPr>
      <w:r>
        <w:rPr>
          <w:rFonts w:ascii="Arial" w:cs="Arial" w:eastAsia="Arial" w:hAnsi="Arial"/>
          <w:sz w:val="17"/>
          <w:szCs w:val="17"/>
          <w:color w:val="auto"/>
        </w:rPr>
        <w:t>Except as disclosed below, there have been no significant changes to the Company’s significant accounting policies as described in the Company’s Annual Report on Form 10-K for the year ended January 28, 2018.</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right="20" w:firstLine="428"/>
        <w:spacing w:after="0" w:line="286" w:lineRule="auto"/>
        <w:rPr>
          <w:sz w:val="20"/>
          <w:szCs w:val="20"/>
          <w:color w:val="auto"/>
        </w:rPr>
      </w:pPr>
      <w:r>
        <w:rPr>
          <w:rFonts w:ascii="Arial" w:cs="Arial" w:eastAsia="Arial" w:hAnsi="Arial"/>
          <w:sz w:val="16"/>
          <w:szCs w:val="16"/>
          <w:color w:val="auto"/>
        </w:rPr>
        <w:t xml:space="preserve">On January 29, 2018, the Company adopted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(“ASC 606”), which supersedes the revenue recognition requirements in ASC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ASC 606 requires revenue recognition to depict the transfer of goods or services to customers in an amount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consideration to which the entity expects to be entitled in exchange for those goods or services. ASC 606 also requires disclosure of the nature, timing and uncertainty of revenue and cash flows arising from contracts with customers. The Company adopted ASC 606 utilizing the modified retrospective approach, with the cumulative effect of initially applying the new standard recognized in retained earnings. As such, the comparative prior period information has not been restated and continues to be reported under the accounting standards in effect for those periods. The adoption of ASC 606 had the following effect beginning with the Company’s January 29, 2018 financial statements: (1) revenues on direct sales are recognized upon shipment, which is when the customer obtains control of the product and reflects the consideration the Company expects to be entitled to in exchange for the product; (2) catalog costs are expensed upon receipt by customers; and (3) the estimated cost of inventory associated with sales returns reserve is presented within prepaid expense and other current assets rather than netted in product returns reserve within accrued expenses and other current liabilities on the condensed consolidated balance sheets. The adoption of ASC 606 did not have a material impact on the Company’s condensed consolidated financial statements.</w:t>
      </w:r>
    </w:p>
    <w:p>
      <w:pPr>
        <w:spacing w:after="0" w:line="131"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 xml:space="preserve">On January 29, 2018, the Company adopted ASU No. 2016-08,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(“ASC 230”), which requires companies to include cash and cash equivalents that have restrictions on withdrawal or use in total cash and cash equivalents on the statement of cash flows. As a result of the adoption of ASC 230, the Company no longer discloses changes in restricted cash on the statement of cash flows and discloses a reconciliation to the total cash and restricted cash balances on the condensed consolidated balance sheets (see item D above).</w:t>
      </w:r>
    </w:p>
    <w:p>
      <w:pPr>
        <w:spacing w:after="0" w:line="161" w:lineRule="exact"/>
        <w:rPr>
          <w:sz w:val="20"/>
          <w:szCs w:val="20"/>
          <w:color w:val="auto"/>
        </w:rPr>
      </w:pPr>
    </w:p>
    <w:p>
      <w:pPr>
        <w:ind w:right="240" w:firstLine="428"/>
        <w:spacing w:after="0" w:line="259" w:lineRule="auto"/>
        <w:rPr>
          <w:sz w:val="20"/>
          <w:szCs w:val="20"/>
          <w:color w:val="auto"/>
        </w:rPr>
      </w:pPr>
      <w:r>
        <w:rPr>
          <w:rFonts w:ascii="Arial" w:cs="Arial" w:eastAsia="Arial" w:hAnsi="Arial"/>
          <w:sz w:val="18"/>
          <w:szCs w:val="18"/>
          <w:color w:val="auto"/>
        </w:rPr>
        <w:t xml:space="preserve">On January 29, 2018, the Company adopted ASU No. 2016-01, </w:t>
      </w:r>
      <w:r>
        <w:rPr>
          <w:rFonts w:ascii="Arial" w:cs="Arial" w:eastAsia="Arial" w:hAnsi="Arial"/>
          <w:sz w:val="18"/>
          <w:szCs w:val="18"/>
          <w:i w:val="1"/>
          <w:iCs w:val="1"/>
          <w:color w:val="auto"/>
        </w:rPr>
        <w:t>Financial Instruments (Subtopic 825-10)</w:t>
      </w:r>
      <w:r>
        <w:rPr>
          <w:rFonts w:ascii="Arial" w:cs="Arial" w:eastAsia="Arial" w:hAnsi="Arial"/>
          <w:sz w:val="18"/>
          <w:szCs w:val="18"/>
          <w:color w:val="auto"/>
        </w:rPr>
        <w:t xml:space="preserve"> (“ASC 825-10”), which amends various aspects of the recognition, measurement, presentation, and disclosure for financial instruments. The most significant impact relates to the accounting for equity instruments. The adoption of ASC 825-10 did not have a material impact on the Company’s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Reclassifications</w:t>
      </w:r>
    </w:p>
    <w:p>
      <w:pPr>
        <w:spacing w:after="0" w:line="185" w:lineRule="exact"/>
        <w:rPr>
          <w:sz w:val="20"/>
          <w:szCs w:val="20"/>
          <w:color w:val="auto"/>
        </w:rPr>
      </w:pPr>
    </w:p>
    <w:p>
      <w:pPr>
        <w:ind w:right="20" w:firstLine="428"/>
        <w:spacing w:after="0" w:line="277" w:lineRule="auto"/>
        <w:rPr>
          <w:sz w:val="20"/>
          <w:szCs w:val="20"/>
          <w:color w:val="auto"/>
        </w:rPr>
      </w:pPr>
      <w:r>
        <w:rPr>
          <w:rFonts w:ascii="Arial" w:cs="Arial" w:eastAsia="Arial" w:hAnsi="Arial"/>
          <w:sz w:val="18"/>
          <w:szCs w:val="18"/>
          <w:color w:val="auto"/>
        </w:rPr>
        <w:t>As discussed above in the significant accounting policies section, with the adoption of ASC 230, the prior year cash flows from investing activities have been reclassified: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October 29, 2017</w:t>
            </w:r>
          </w:p>
        </w:tc>
      </w:tr>
      <w:tr>
        <w:trPr>
          <w:trHeight w:val="250"/>
        </w:trPr>
        <w:tc>
          <w:tcPr>
            <w:tcW w:w="8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As previously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(44,643)</w:t>
            </w:r>
          </w:p>
        </w:tc>
      </w:tr>
      <w:tr>
        <w:trPr>
          <w:trHeight w:val="270"/>
        </w:trPr>
        <w:tc>
          <w:tcPr>
            <w:tcW w:w="20" w:type="dxa"/>
            <w:vAlign w:val="bottom"/>
          </w:tcPr>
          <w:p>
            <w:pPr>
              <w:spacing w:after="0"/>
              <w:rPr>
                <w:sz w:val="23"/>
                <w:szCs w:val="23"/>
                <w:color w:val="auto"/>
              </w:rPr>
            </w:pPr>
          </w:p>
        </w:tc>
        <w:tc>
          <w:tcPr>
            <w:tcW w:w="8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Reclassification based on adoption of ASC 230</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4"/>
        </w:trPr>
        <w:tc>
          <w:tcPr>
            <w:tcW w:w="20" w:type="dxa"/>
            <w:vAlign w:val="bottom"/>
          </w:tcPr>
          <w:p>
            <w:pPr>
              <w:spacing w:after="0"/>
              <w:rPr>
                <w:sz w:val="21"/>
                <w:szCs w:val="21"/>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As reclassified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(43,909)</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189"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Effective January 29, 2018, the Company adopted ASC 606 using the modified retrospective method. The comparative information presented in the condensed consolidated financial statements is not restated and is reported under the accounting standards in effect for those periods presented. See Note 1 under “Significant Accounting Policies” for a discussion of the significant changes resulting from the adoption of ASC 606.</w:t>
      </w:r>
    </w:p>
    <w:p>
      <w:pPr>
        <w:spacing w:after="0" w:line="146" w:lineRule="exact"/>
        <w:rPr>
          <w:sz w:val="20"/>
          <w:szCs w:val="20"/>
          <w:color w:val="auto"/>
        </w:rPr>
      </w:pPr>
    </w:p>
    <w:p>
      <w:pPr>
        <w:ind w:right="80" w:firstLine="428"/>
        <w:spacing w:after="0" w:line="270" w:lineRule="auto"/>
        <w:rPr>
          <w:sz w:val="20"/>
          <w:szCs w:val="20"/>
          <w:color w:val="auto"/>
        </w:rPr>
      </w:pPr>
      <w:r>
        <w:rPr>
          <w:rFonts w:ascii="Arial" w:cs="Arial" w:eastAsia="Arial" w:hAnsi="Arial"/>
          <w:sz w:val="17"/>
          <w:szCs w:val="17"/>
          <w:color w:val="auto"/>
        </w:rPr>
        <w:t>The Company’s revenue primarily consists of the sale of apparel, footwear and hard goods. For the Company’s direct segment, revenues are recognized upon shipment, which is when the customer obtains control of the product and has the ability to direct the use of the product, including, among other options, the ability to redirect the product to a different shipping destination. For the Company’s retail segment, revenues are recognized at the point of sale. The Company provides the customer the right of return on the product and revenue is adjusted based on an estimate of the expected returns based on historical rates as well as events that may cause changes to historical rates. The Company considers the sale of products in either the direct or retail segment as a single performance obligation.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51" w:lineRule="exact"/>
        <w:rPr>
          <w:sz w:val="20"/>
          <w:szCs w:val="20"/>
          <w:color w:val="auto"/>
        </w:rPr>
      </w:pPr>
    </w:p>
    <w:p>
      <w:pPr>
        <w:ind w:right="20" w:firstLine="428"/>
        <w:spacing w:after="0" w:line="276" w:lineRule="auto"/>
        <w:rPr>
          <w:sz w:val="20"/>
          <w:szCs w:val="20"/>
          <w:color w:val="auto"/>
        </w:rPr>
      </w:pPr>
      <w:r>
        <w:rPr>
          <w:rFonts w:ascii="Arial" w:cs="Arial" w:eastAsia="Arial" w:hAnsi="Arial"/>
          <w:sz w:val="17"/>
          <w:szCs w:val="17"/>
          <w:color w:val="auto"/>
        </w:rPr>
        <w:t>The Company’s contract liabilities primarily consist of gift card liabilities and are recorded in accrued expenses and other current liabilities under deferred revenue (see Note 4 “Accrued Expenses and Other Current Liabilities”) on the Company’s condensed consolidated balance sheets. Upon the issuance of a gift card, a liability is established for its cash value. The gift card liability is relieved and revenues on gift cards are recorded at the time of redemption by the customer. Based on historical redemption patterns, gift cards are generally redeemed within one year and gift card breakage is not material.</w:t>
      </w:r>
    </w:p>
    <w:p>
      <w:pPr>
        <w:spacing w:after="0" w:line="132"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presents the impact of the adoption of ASC 606 on the Company’s condensed consolidated balance sheets as of January 29, 2018, the first day of fiscal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January 28,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Adjustments due to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January 29,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ASC 606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 &amp; 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catalog costs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139,349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following tables present the effects of the adoption of ASC 606 on the Company’s condensed consolidated balance sheets as of October 28, 2018 and the Company’s condensed consolidated statements of operations for the three and nine months ended October 28,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October 28, 2018</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1"/>
              </w:rPr>
              <w:t>Adjustments due to</w:t>
            </w:r>
          </w:p>
        </w:tc>
        <w:tc>
          <w:tcPr>
            <w:tcW w:w="80" w:type="dxa"/>
            <w:vAlign w:val="bottom"/>
          </w:tcPr>
          <w:p>
            <w:pPr>
              <w:spacing w:after="0"/>
              <w:rPr>
                <w:sz w:val="17"/>
                <w:szCs w:val="17"/>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left="255"/>
              <w:spacing w:after="0"/>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Adoption of ASC 606</w:t>
            </w:r>
          </w:p>
        </w:tc>
        <w:tc>
          <w:tcPr>
            <w:tcW w:w="0" w:type="dxa"/>
            <w:vAlign w:val="bottom"/>
          </w:tcPr>
          <w:p>
            <w:pPr>
              <w:spacing w:after="0"/>
              <w:rPr>
                <w:sz w:val="1"/>
                <w:szCs w:val="1"/>
                <w:color w:val="auto"/>
              </w:rPr>
            </w:pPr>
          </w:p>
        </w:tc>
      </w:tr>
      <w:tr>
        <w:trPr>
          <w:trHeight w:val="196"/>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1,998</w:t>
            </w:r>
          </w:p>
        </w:tc>
        <w:tc>
          <w:tcPr>
            <w:tcW w:w="6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Prepaid expenses &amp;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ind w:left="80"/>
              <w:spacing w:after="0"/>
              <w:rPr>
                <w:sz w:val="20"/>
                <w:szCs w:val="20"/>
                <w:color w:val="auto"/>
              </w:rPr>
            </w:pPr>
            <w:r>
              <w:rPr>
                <w:rFonts w:ascii="Arial" w:cs="Arial" w:eastAsia="Arial" w:hAnsi="Arial"/>
                <w:sz w:val="18"/>
                <w:szCs w:val="18"/>
                <w:color w:val="auto"/>
                <w:w w:val="85"/>
              </w:rPr>
              <w:t>(396)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Deferred catalog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8"/>
              </w:rPr>
              <w:t>1,693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151,919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1,693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0"/>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3,501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8"/>
              </w:rPr>
              <w:t>3,501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5"/>
              </w:rPr>
              <w:t>(470)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181,866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8"/>
              </w:rPr>
              <w:t>3,031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184,897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324,517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8"/>
              </w:rPr>
              <w:t>1,693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326,210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455"/>
              <w:spacing w:after="0"/>
              <w:rPr>
                <w:sz w:val="20"/>
                <w:szCs w:val="20"/>
                <w:color w:val="auto"/>
              </w:rPr>
            </w:pPr>
            <w:r>
              <w:rPr>
                <w:rFonts w:ascii="Arial" w:cs="Arial" w:eastAsia="Arial" w:hAnsi="Arial"/>
                <w:sz w:val="14"/>
                <w:szCs w:val="14"/>
                <w:b w:val="1"/>
                <w:bCs w:val="1"/>
                <w:color w:val="auto"/>
              </w:rPr>
              <w:t>October 28, 2018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7"/>
          </w:tcPr>
          <w:p>
            <w:pPr>
              <w:jc w:val="center"/>
              <w:ind w:left="693"/>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8"/>
          </w:tcPr>
          <w:p>
            <w:pPr>
              <w:jc w:val="center"/>
              <w:ind w:left="695"/>
              <w:spacing w:after="0"/>
              <w:rPr>
                <w:sz w:val="20"/>
                <w:szCs w:val="20"/>
                <w:color w:val="auto"/>
              </w:rPr>
            </w:pPr>
            <w:r>
              <w:rPr>
                <w:rFonts w:ascii="Arial" w:cs="Arial" w:eastAsia="Arial" w:hAnsi="Arial"/>
                <w:sz w:val="14"/>
                <w:szCs w:val="14"/>
                <w:b w:val="1"/>
                <w:bCs w:val="1"/>
                <w:color w:val="auto"/>
                <w:w w:val="94"/>
              </w:rPr>
              <w:t>Nine Months Ended</w:t>
            </w: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Balances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Balances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without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As Reported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As Reported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due to ASC 606</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ASC 606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due to ASC 606</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104,604</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317,561</w:t>
            </w: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20" w:type="dxa"/>
            <w:vAlign w:val="bottom"/>
            <w:gridSpan w:val="2"/>
          </w:tcPr>
          <w:p>
            <w:pPr>
              <w:spacing w:after="0"/>
              <w:rPr>
                <w:sz w:val="20"/>
                <w:szCs w:val="20"/>
                <w:color w:val="auto"/>
              </w:rPr>
            </w:pPr>
            <w:r>
              <w:rPr>
                <w:rFonts w:ascii="Arial" w:cs="Arial" w:eastAsia="Arial" w:hAnsi="Arial"/>
                <w:sz w:val="18"/>
                <w:szCs w:val="18"/>
                <w:color w:val="auto"/>
                <w:w w:val="97"/>
              </w:rPr>
              <w:t>Cost of goods sold (excluding depreciation</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44,518</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138,410</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(2,117)</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136,293</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173,165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noncontrolling interest</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gridSpan w:val="2"/>
          </w:tcPr>
          <w:p>
            <w:pPr>
              <w:spacing w:after="0"/>
              <w:rPr>
                <w:sz w:val="20"/>
                <w:szCs w:val="20"/>
                <w:color w:val="auto"/>
              </w:rPr>
            </w:pPr>
            <w:r>
              <w:rPr>
                <w:rFonts w:ascii="Arial" w:cs="Arial" w:eastAsia="Arial" w:hAnsi="Arial"/>
                <w:sz w:val="18"/>
                <w:szCs w:val="18"/>
                <w:color w:val="auto"/>
              </w:rPr>
              <w:t>Net (loss) income attributable</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(3,150)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(552)</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(3,702)</w:t>
            </w: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2,536</w:t>
            </w:r>
          </w:p>
        </w:tc>
        <w:tc>
          <w:tcPr>
            <w:tcW w:w="460" w:type="dxa"/>
            <w:vAlign w:val="bottom"/>
            <w:gridSpan w:val="3"/>
            <w:vMerge w:val="restart"/>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(1,986)</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to controlling interest</w:t>
            </w:r>
          </w:p>
        </w:tc>
        <w:tc>
          <w:tcPr>
            <w:tcW w:w="1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40" w:top="301" w:right="10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jc w:val="center"/>
        <w:ind w:left="440" w:right="6840" w:hanging="432"/>
        <w:spacing w:after="0" w:line="528" w:lineRule="auto"/>
        <w:tabs>
          <w:tab w:leader="none" w:pos="32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October 28, 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January 28, 2018</w:t>
            </w: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SRV Mortgage Term A Note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SRV Mortgage Term B Note</w:t>
            </w:r>
          </w:p>
        </w:tc>
        <w:tc>
          <w:tcPr>
            <w:tcW w:w="2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SRV entered into a mortgage note (“SRV Term A Note”) with an original balance of $0.8 million. The SRV Term A Note was scheduled to mature in September 2017 and required monthly payments of $3,300 plus interest at 3.1%, with a final balloon payment due in September 2017. On July 20, 2017, SRV refinanced the SRV Term A Note, which extended the maturity date to September 2022, with a final balloon payment in September 2022, and changed the interest rate to 3.69%. The required monthly payments of $3,300 did not change.</w:t>
      </w:r>
    </w:p>
    <w:p>
      <w:pPr>
        <w:spacing w:after="0" w:line="148"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On July 20, 2017, SRV entered into a mortgage note (“SRV Term B Note”) with an original balance of $0.8 million. The SRV Term B Note matures in September 2022 and requires monthly payments of $3,300 plus interest at 3.69%, with a final balloon payment in September 2022.</w:t>
      </w:r>
    </w:p>
    <w:p>
      <w:pPr>
        <w:spacing w:after="0" w:line="154"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The SRV Term A Note and SRV Term B Note are guaranteed by the Company’s majority shareholder and collateralized by certain real property owned by SRV in Mt. Horeb, Wisconsin.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20" w:firstLine="428"/>
        <w:spacing w:after="0" w:line="270" w:lineRule="auto"/>
        <w:rPr>
          <w:sz w:val="20"/>
          <w:szCs w:val="20"/>
          <w:color w:val="auto"/>
        </w:rPr>
      </w:pPr>
      <w:r>
        <w:rPr>
          <w:rFonts w:ascii="Arial" w:cs="Arial" w:eastAsia="Arial" w:hAnsi="Arial"/>
          <w:sz w:val="17"/>
          <w:szCs w:val="17"/>
          <w:color w:val="auto"/>
        </w:rPr>
        <w:t>On September 29, 2017, the Company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the Company to maintain compliance with certain financial and non-financial covenants, including minimum tangible net worth and a minimum trailing twelve month EBITDA. In addition, the Amended and Restated Agreement did not contain borrowing base limits.</w:t>
      </w:r>
    </w:p>
    <w:p>
      <w:pPr>
        <w:spacing w:after="0" w:line="151" w:lineRule="exact"/>
        <w:rPr>
          <w:sz w:val="20"/>
          <w:szCs w:val="20"/>
          <w:color w:val="auto"/>
        </w:rPr>
      </w:pPr>
    </w:p>
    <w:p>
      <w:pPr>
        <w:ind w:right="20" w:firstLine="428"/>
        <w:spacing w:after="0" w:line="268" w:lineRule="auto"/>
        <w:rPr>
          <w:sz w:val="20"/>
          <w:szCs w:val="20"/>
          <w:color w:val="auto"/>
        </w:rPr>
      </w:pPr>
      <w:r>
        <w:rPr>
          <w:rFonts w:ascii="Arial" w:cs="Arial" w:eastAsia="Arial" w:hAnsi="Arial"/>
          <w:sz w:val="17"/>
          <w:szCs w:val="17"/>
          <w:color w:val="auto"/>
        </w:rPr>
        <w:t>Effective May 17, 2018, the Company terminated its Amended and Restated Agreement and entered into a new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outstanding balance of $27.5 million under the Amended and Restated Agreement was paid off with borrowings under the Credit Agreement.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(“bps”), based upon the Company’s rent adjusted leverage ratio, or (ii) a fixed rate for a one-, two-, three- or six-month interest period equal to LIBOR for such interest period plus a margin of 125 to 200 bps, based upon the Company’s rent adjusted leverage ratio (effective rate of 3.8% at October 28, 2018). In addition, outstanding balances under the DDTL require quarterly principal payments with a final balloon payment at maturity.</w:t>
      </w:r>
    </w:p>
    <w:p>
      <w:pPr>
        <w:spacing w:after="0" w:line="147" w:lineRule="exact"/>
        <w:rPr>
          <w:sz w:val="20"/>
          <w:szCs w:val="20"/>
          <w:color w:val="auto"/>
        </w:rPr>
      </w:pPr>
    </w:p>
    <w:p>
      <w:pPr>
        <w:ind w:right="520" w:firstLine="428"/>
        <w:spacing w:after="0" w:line="277" w:lineRule="auto"/>
        <w:rPr>
          <w:sz w:val="20"/>
          <w:szCs w:val="20"/>
          <w:color w:val="auto"/>
        </w:rPr>
      </w:pPr>
      <w:r>
        <w:rPr>
          <w:rFonts w:ascii="Arial" w:cs="Arial" w:eastAsia="Arial" w:hAnsi="Arial"/>
          <w:sz w:val="18"/>
          <w:szCs w:val="18"/>
          <w:color w:val="auto"/>
        </w:rPr>
        <w:t>As of October 28, 2018 and for the nine months then ended, the Company was in compliance with all financial and non-financial covenants for all debts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ind w:left="440" w:right="4100" w:hanging="432"/>
        <w:spacing w:after="0" w:line="576" w:lineRule="auto"/>
        <w:tabs>
          <w:tab w:leader="none" w:pos="31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October 28, 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28, 2018</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w:t>
      </w:r>
    </w:p>
    <w:p>
      <w:pPr>
        <w:spacing w:after="0" w:line="189"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carrying value of the Company’s available-for-sale security was valued based on a discounted cash flow method (Level 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October 28, 2018</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January 28, 2018</w:t>
            </w:r>
          </w:p>
        </w:tc>
      </w:tr>
      <w:tr>
        <w:trPr>
          <w:trHeight w:val="225"/>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Unrealized</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Estimated</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Fair Value</w:t>
            </w:r>
          </w:p>
        </w:tc>
      </w:tr>
      <w:tr>
        <w:trPr>
          <w:trHeight w:val="182"/>
        </w:trPr>
        <w:tc>
          <w:tcPr>
            <w:tcW w:w="1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Level 3 security:</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161" w:lineRule="exact"/>
        <w:rPr>
          <w:sz w:val="20"/>
          <w:szCs w:val="20"/>
          <w:color w:val="auto"/>
        </w:rPr>
      </w:pPr>
    </w:p>
    <w:p>
      <w:pPr>
        <w:ind w:right="540" w:firstLine="428"/>
        <w:spacing w:after="0" w:line="277" w:lineRule="auto"/>
        <w:rPr>
          <w:sz w:val="20"/>
          <w:szCs w:val="20"/>
          <w:color w:val="auto"/>
        </w:rPr>
      </w:pPr>
      <w:r>
        <w:rPr>
          <w:rFonts w:ascii="Arial" w:cs="Arial" w:eastAsia="Arial" w:hAnsi="Arial"/>
          <w:sz w:val="18"/>
          <w:szCs w:val="18"/>
          <w:color w:val="auto"/>
        </w:rPr>
        <w:t>The following table presents future principal receipts related to the Company’s available-for-sale security by contractual maturity as of October 28, 2018. Cost and estimated fair value are equal.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87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2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r>
      <w:tr>
        <w:trPr>
          <w:trHeight w:val="217"/>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89" w:lineRule="exact"/>
        <w:rPr>
          <w:sz w:val="20"/>
          <w:szCs w:val="20"/>
          <w:color w:val="auto"/>
        </w:rPr>
      </w:pPr>
    </w:p>
    <w:p>
      <w:pPr>
        <w:jc w:val="both"/>
        <w:ind w:right="1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October 28, 2018 and January 28, 2018,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SRV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28, 2018 and January 28,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28,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January 28, 2018</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On August 18, 2017, the Company entered into a lease agreement with TRI Holdings, LLC (“TRI”), the developer of the Company’s headquarters in Mt. Horeb, Wisconsin. The Company took occupancy of the newly constructed headquarters on October 15, 2018. The Company’s headquarters lease is recorded as a capitalized lease on the Company’s Condensed Consolidated Balance Sheets. In conjunction with the lease, the Company invested $6.3 million in a trust (see Note 5 “Investment”) that loaned funds to TRI for the construction of the Company’s future headquarters.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jc w:val="both"/>
        <w:ind w:right="4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28, 2018</w:t>
            </w:r>
          </w:p>
        </w:tc>
        <w:tc>
          <w:tcPr>
            <w:tcW w:w="1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October 29,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October 28, 2018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October 29, 2017</w:t>
            </w: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w:t>
            </w: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Dilutive shares</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2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w:t>
            </w:r>
          </w:p>
        </w:tc>
      </w:tr>
      <w:tr>
        <w:trPr>
          <w:trHeight w:val="244"/>
        </w:trPr>
        <w:tc>
          <w:tcPr>
            <w:tcW w:w="4300" w:type="dxa"/>
            <w:vAlign w:val="bottom"/>
            <w:gridSpan w:val="2"/>
          </w:tcPr>
          <w:p>
            <w:pPr>
              <w:spacing w:after="0"/>
              <w:rPr>
                <w:sz w:val="20"/>
                <w:szCs w:val="20"/>
                <w:color w:val="auto"/>
              </w:rPr>
            </w:pPr>
            <w:r>
              <w:rPr>
                <w:rFonts w:ascii="Arial" w:cs="Arial" w:eastAsia="Arial" w:hAnsi="Arial"/>
                <w:sz w:val="18"/>
                <w:szCs w:val="18"/>
                <w:color w:val="auto"/>
              </w:rPr>
              <w:t>(Loss) earnings per share (Class A and Class B)</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5"/>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146" w:lineRule="exact"/>
        <w:rPr>
          <w:sz w:val="20"/>
          <w:szCs w:val="20"/>
          <w:color w:val="auto"/>
        </w:rPr>
      </w:pPr>
    </w:p>
    <w:p>
      <w:pPr>
        <w:ind w:right="140" w:firstLine="492"/>
        <w:spacing w:after="0" w:line="264" w:lineRule="auto"/>
        <w:rPr>
          <w:sz w:val="20"/>
          <w:szCs w:val="20"/>
          <w:color w:val="auto"/>
        </w:rPr>
      </w:pPr>
      <w:r>
        <w:rPr>
          <w:rFonts w:ascii="Arial" w:cs="Arial" w:eastAsia="Arial" w:hAnsi="Arial"/>
          <w:sz w:val="18"/>
          <w:szCs w:val="18"/>
          <w:color w:val="auto"/>
        </w:rPr>
        <w:t>The computation of dilutive earnings per share for the three months ended October 28, 2018 and October 29, 2017, excluded 0.3 million and 0.4 million shares of unvested restricted stock, respectively, because their inclusion would be anti-dilutive due to a net loss.</w:t>
      </w:r>
    </w:p>
    <w:p>
      <w:pPr>
        <w:spacing w:after="0" w:line="3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ind w:right="120" w:firstLine="428"/>
        <w:spacing w:after="0" w:line="279" w:lineRule="auto"/>
        <w:rPr>
          <w:sz w:val="20"/>
          <w:szCs w:val="20"/>
          <w:color w:val="auto"/>
        </w:rPr>
      </w:pPr>
      <w:r>
        <w:rPr>
          <w:rFonts w:ascii="Arial" w:cs="Arial" w:eastAsia="Arial" w:hAnsi="Arial"/>
          <w:sz w:val="17"/>
          <w:szCs w:val="17"/>
          <w:color w:val="auto"/>
        </w:rPr>
        <w:t>Total stock compensation expense associated with restricted stock recognized by the Company was $0.4 million and $1.3 million for the three and nine months ended October 28, 2018, respectively, and $0.6 million and $1.2 million for the three and nine months ended October 29, 2017, respectively. The Company’s total stock compensation expense is included in selling, general and administrative expenses on the Condensed Consolidated Statements of Operations.</w:t>
      </w:r>
    </w:p>
    <w:p>
      <w:pPr>
        <w:spacing w:after="0" w:line="131"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nine months ended October 28,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28, 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128,501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28,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462,837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bl>
    <w:p>
      <w:pPr>
        <w:spacing w:after="0" w:line="161" w:lineRule="exact"/>
        <w:rPr>
          <w:sz w:val="20"/>
          <w:szCs w:val="20"/>
          <w:color w:val="auto"/>
        </w:rPr>
      </w:pPr>
    </w:p>
    <w:p>
      <w:pPr>
        <w:ind w:right="420" w:firstLine="428"/>
        <w:spacing w:after="0" w:line="277" w:lineRule="auto"/>
        <w:rPr>
          <w:sz w:val="20"/>
          <w:szCs w:val="20"/>
          <w:color w:val="auto"/>
        </w:rPr>
      </w:pPr>
      <w:r>
        <w:rPr>
          <w:rFonts w:ascii="Arial" w:cs="Arial" w:eastAsia="Arial" w:hAnsi="Arial"/>
          <w:sz w:val="18"/>
          <w:szCs w:val="18"/>
          <w:color w:val="auto"/>
        </w:rPr>
        <w:t>At October 28, 2018, the Company had unrecognized compensation expense of $3.2 million related to the restricted stock awards, which is expected to be recognized over a weighted average period of 2.3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October 28, 2018</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28, 2018</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74,508</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35,197</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109,705</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Net sales outside of the United States were insignificant. Variable allocations of assets are not made for segment reporting. The Company does not have any assets outside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28, 2018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October 29, 2017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October 28, 2018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29, 2017</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Direct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186,872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175,588</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78,054</w:t>
            </w: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253,642</w:t>
            </w: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 income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Direct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700"/>
              <w:spacing w:after="0"/>
              <w:rPr>
                <w:sz w:val="20"/>
                <w:szCs w:val="20"/>
                <w:color w:val="auto"/>
              </w:rPr>
            </w:pPr>
            <w:r>
              <w:rPr>
                <w:rFonts w:ascii="Arial" w:cs="Arial" w:eastAsia="Arial" w:hAnsi="Arial"/>
                <w:sz w:val="18"/>
                <w:szCs w:val="18"/>
                <w:color w:val="auto"/>
                <w:w w:val="87"/>
              </w:rPr>
              <w:t>(9,362)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Total operating (loss)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7,526</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(Loss) income before income taxes</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business is presented in the following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October 28, 2018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October 29, 2017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October 28, 2018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October 29, 2017</w:t>
            </w:r>
          </w:p>
        </w:tc>
      </w:tr>
      <w:tr>
        <w:trPr>
          <w:trHeight w:val="196"/>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Men's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72,789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216,143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176,692</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Women's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63,431</w:t>
            </w:r>
          </w:p>
        </w:tc>
      </w:tr>
      <w:tr>
        <w:trPr>
          <w:trHeight w:val="216"/>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Hard goods/other</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sales</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253,642</w:t>
            </w: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total assets is presented in the following table: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October 28, 2018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January 28, 2018</w:t>
            </w:r>
          </w:p>
        </w:tc>
      </w:tr>
      <w:tr>
        <w:trPr>
          <w:trHeight w:val="183"/>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225,636</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133,866</w:t>
            </w: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1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89,236</w:t>
            </w:r>
          </w:p>
        </w:tc>
      </w:tr>
      <w:tr>
        <w:trPr>
          <w:trHeight w:val="217"/>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1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324,517</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189" w:lineRule="exact"/>
        <w:rPr>
          <w:sz w:val="20"/>
          <w:szCs w:val="20"/>
          <w:color w:val="auto"/>
        </w:rPr>
      </w:pPr>
    </w:p>
    <w:p>
      <w:pPr>
        <w:ind w:right="80" w:firstLine="428"/>
        <w:spacing w:after="0" w:line="255" w:lineRule="auto"/>
        <w:rPr>
          <w:sz w:val="20"/>
          <w:szCs w:val="20"/>
          <w:color w:val="auto"/>
        </w:rPr>
      </w:pPr>
      <w:r>
        <w:rPr>
          <w:rFonts w:ascii="Arial" w:cs="Arial" w:eastAsia="Arial" w:hAnsi="Arial"/>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25% and 27% for the three and nine months ended October 28, 2018, respectively and 36% and 39% for the three and nine months ended October 29, 2017, respectively. The decrease in the Company’s effective tax rate was primarily due to U.S. tax reform, which was effective January 1, 2018. The income from SRV was excluded from the calculation of the Company’s effective tax rate, as SRV is a limited liability company and not subject to income taxes.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ind w:left="440" w:right="5320" w:hanging="432"/>
        <w:spacing w:after="0" w:line="464" w:lineRule="auto"/>
        <w:tabs>
          <w:tab w:leader="none" w:pos="40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Leases</w:t>
      </w:r>
    </w:p>
    <w:p>
      <w:pPr>
        <w:ind w:firstLine="441"/>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that is similar to the current lease standard. The provisions of ASU 2016-02 are effective for public entities with fiscal years beginning after December 15, 2018, and interim periods within those years, with early adoption permitted. The Company will adopt ASU 2016-02 on February 4, 2019, the first day of the Company’s first quarter for the fiscal year ending February 2, 2020, the Company’s fiscal year 2019. In July 2018, the FASB issued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Prior to ASU 2018-11, a modified retrospective transition was required for financing or operating leases existing at or</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beginning of the earliest comparative period presented in the financial statements. ASU 2018-11 allows entities an additional transition method to the existing requirements whereby an entity could adopt ASU 2016-02 by recognizing a cumulative-effect adjustment to the opening balance of retained earnings in the period of adoption without adjustment to the financial statements for periods prior to adoption. The Company is currently evaluating the adoption methods and has not decided on an adoption method. The Company has identified that new systems, processes and controls are required to adopt ASU 2016-02 and is in the process of implementing a new lease management system to assist in the application of the new standard. The Company is currently evaluating the full effect that adoption of ASU 2016-02 will have on its financial condition, results of operations and disclosures. The Company conducts its retail operations through leased stores and therefore, upon adoption, the Company expects to have an increase in assets and liabilities on its consolidated financial statements, due to recording of right-to-use assets and the corresponding lease liabilities, which is expected to be material.</w:t>
      </w:r>
    </w:p>
    <w:p>
      <w:pPr>
        <w:spacing w:after="0" w:line="3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firstLine="428"/>
        <w:spacing w:after="0" w:line="286" w:lineRule="auto"/>
        <w:rPr>
          <w:sz w:val="20"/>
          <w:szCs w:val="20"/>
          <w:color w:val="auto"/>
        </w:rPr>
      </w:pPr>
      <w:r>
        <w:rPr>
          <w:rFonts w:ascii="Arial" w:cs="Arial" w:eastAsia="Arial" w:hAnsi="Arial"/>
          <w:sz w:val="17"/>
          <w:szCs w:val="17"/>
          <w:color w:val="auto"/>
        </w:rPr>
        <w:t>Management of the Company evaluated its October 28, 2018 unaudited condensed consolidated financial statements for subsequent events through December 7, 2018, the date the financial statements were available to be issued. Management is not aware of any subsequent events which would require recognition or additional disclosure in the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0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28, 2018 (“2017 Form 10-K”).</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The three and nine months of fiscal 2018 and fiscal 2017 represent our 13 and 39-week periods ended October 28, 2018 and October 29, 2017,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w:t>
      </w:r>
    </w:p>
    <w:p>
      <w:pPr>
        <w:spacing w:after="0"/>
        <w:rPr>
          <w:sz w:val="20"/>
          <w:szCs w:val="20"/>
          <w:color w:val="auto"/>
        </w:rPr>
      </w:pPr>
      <w:r>
        <w:rPr>
          <w:rFonts w:ascii="Arial" w:cs="Arial" w:eastAsia="Arial" w:hAnsi="Arial"/>
          <w:sz w:val="14"/>
          <w:szCs w:val="14"/>
          <w:i w:val="1"/>
          <w:iCs w:val="1"/>
          <w:color w:val="auto"/>
        </w:rPr>
        <w:t>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28"/>
        <w:spacing w:after="0" w:line="28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2017 Form 10-K and other SEC filings, which factors are incorporated by reference herein. These risks and uncertainties include, but are not limited to, the following: our ability to maintain and enhance a strong brand image; our ability to successfully open new stores; effectively adapting to new challenges associated with our expansion into new geographic markets; generating adequate cash from our existing stores to support our growth;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63" w:lineRule="exact"/>
        <w:rPr>
          <w:sz w:val="20"/>
          <w:szCs w:val="20"/>
          <w:color w:val="auto"/>
        </w:rPr>
      </w:pPr>
    </w:p>
    <w:p>
      <w:pPr>
        <w:ind w:right="68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428"/>
        <w:spacing w:after="0" w:line="290"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56.1% and 58.8% of our consolidated net sales for the three and nine months ended October 28, 2018, respectively, and 64.7% and 69.2% of our consolidated net sales for the three and nine months ended October 29, 2017, respectively. In 2010, we added retail to our omni-channel platform with the opening of our first store. Since then, we have expanded our retail presence, and as of October 28, 2018, we operated 40 retail stores and three outlet stores. Net sales for our retail segment represented 43.9% and 41.2% of our consolidated net sales for the three and nine months ended October 28, 2018 and 35.3% and 30.8% of consolidated net sales for the three and nine months ended October 29, 2017, respectively.</w:t>
      </w:r>
    </w:p>
    <w:p>
      <w:pPr>
        <w:spacing w:after="0" w:line="139"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8"/>
          <w:szCs w:val="18"/>
          <w:color w:val="auto"/>
        </w:rPr>
        <w:t xml:space="preserve"> shirts, Buck Naked</w:t>
      </w:r>
      <w:r>
        <w:rPr>
          <w:rFonts w:ascii="Arial" w:cs="Arial" w:eastAsia="Arial" w:hAnsi="Arial"/>
          <w:sz w:val="7"/>
          <w:szCs w:val="7"/>
          <w:color w:val="auto"/>
        </w:rPr>
        <w:t>TM</w:t>
      </w:r>
      <w:r>
        <w:rPr>
          <w:rFonts w:ascii="Arial" w:cs="Arial" w:eastAsia="Arial" w:hAnsi="Arial"/>
          <w:sz w:val="18"/>
          <w:szCs w:val="18"/>
          <w:color w:val="auto"/>
        </w:rPr>
        <w:t xml:space="preserve"> underwear, Fire Hose</w:t>
      </w:r>
      <w:r>
        <w:rPr>
          <w:rFonts w:ascii="Arial" w:cs="Arial" w:eastAsia="Arial" w:hAnsi="Arial"/>
          <w:sz w:val="7"/>
          <w:szCs w:val="7"/>
          <w:color w:val="auto"/>
        </w:rPr>
        <w:t>®</w:t>
      </w:r>
      <w:r>
        <w:rPr>
          <w:rFonts w:ascii="Arial" w:cs="Arial" w:eastAsia="Arial" w:hAnsi="Arial"/>
          <w:sz w:val="18"/>
          <w:szCs w:val="18"/>
          <w:color w:val="auto"/>
        </w:rPr>
        <w:t xml:space="preserve"> work pants, and No-Yank</w:t>
      </w:r>
      <w:r>
        <w:rPr>
          <w:rFonts w:ascii="Arial" w:cs="Arial" w:eastAsia="Arial" w:hAnsi="Arial"/>
          <w:sz w:val="7"/>
          <w:szCs w:val="7"/>
          <w:color w:val="auto"/>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1" w:lineRule="exact"/>
        <w:rPr>
          <w:sz w:val="20"/>
          <w:szCs w:val="20"/>
          <w:color w:val="auto"/>
        </w:rPr>
      </w:pPr>
    </w:p>
    <w:p>
      <w:pPr>
        <w:ind w:left="860" w:hanging="420"/>
        <w:spacing w:after="0"/>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35 consecutive quarters through October 28, 2018;</w:t>
      </w:r>
    </w:p>
    <w:p>
      <w:pPr>
        <w:spacing w:after="0" w:line="96" w:lineRule="exact"/>
        <w:rPr>
          <w:rFonts w:ascii="Arial" w:cs="Arial" w:eastAsia="Arial" w:hAnsi="Arial"/>
          <w:sz w:val="29"/>
          <w:szCs w:val="29"/>
          <w:color w:val="auto"/>
          <w:vertAlign w:val="superscript"/>
        </w:rPr>
      </w:pPr>
    </w:p>
    <w:p>
      <w:pPr>
        <w:jc w:val="both"/>
        <w:ind w:left="860" w:right="80" w:hanging="420"/>
        <w:spacing w:after="0" w:line="213" w:lineRule="auto"/>
        <w:tabs>
          <w:tab w:leader="none" w:pos="86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Net sales in fiscal 2018 third quarter increased by 27.4% over the prior year third quarter to $106.7 million and net sales in the first nine months of fiscal 2018 increased by 25.2% over the first nine months of the prior year to $317.6 million;</w:t>
      </w:r>
    </w:p>
    <w:p>
      <w:pPr>
        <w:spacing w:after="0" w:line="82" w:lineRule="exact"/>
        <w:rPr>
          <w:rFonts w:ascii="Arial" w:cs="Arial" w:eastAsia="Arial" w:hAnsi="Arial"/>
          <w:sz w:val="26"/>
          <w:szCs w:val="26"/>
          <w:color w:val="auto"/>
          <w:vertAlign w:val="superscript"/>
        </w:rPr>
      </w:pPr>
    </w:p>
    <w:p>
      <w:pPr>
        <w:ind w:left="860" w:right="20" w:hanging="420"/>
        <w:spacing w:after="0" w:line="212"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loss of $3.2 million in fiscal 2018 third quarter compared to the prior year third quarter net loss of $0.8 million and net income in the first nine months of fiscal 2018 decreased by 33.7% over the first nine months of the prior year to $2.5 million;</w:t>
      </w:r>
    </w:p>
    <w:p>
      <w:pPr>
        <w:spacing w:after="0" w:line="82" w:lineRule="exact"/>
        <w:rPr>
          <w:rFonts w:ascii="Arial" w:cs="Arial" w:eastAsia="Arial" w:hAnsi="Arial"/>
          <w:sz w:val="29"/>
          <w:szCs w:val="29"/>
          <w:color w:val="auto"/>
          <w:vertAlign w:val="superscript"/>
        </w:rPr>
      </w:pPr>
    </w:p>
    <w:p>
      <w:pPr>
        <w:ind w:left="860" w:right="80" w:hanging="420"/>
        <w:spacing w:after="0" w:line="212"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Adjusted EBITDA in fiscal 2018 third quarter decreased by 45.8% over the prior year third quarter to $1.0 million and adjusted EBITDA in the first nine months of fiscal 2018 increased by 19.6% over the first nine months of the prior year to $16.7 million;</w:t>
      </w:r>
    </w:p>
    <w:p>
      <w:pPr>
        <w:spacing w:after="0" w:line="82" w:lineRule="exact"/>
        <w:rPr>
          <w:rFonts w:ascii="Arial" w:cs="Arial" w:eastAsia="Arial" w:hAnsi="Arial"/>
          <w:sz w:val="29"/>
          <w:szCs w:val="29"/>
          <w:color w:val="auto"/>
          <w:vertAlign w:val="superscript"/>
        </w:rPr>
      </w:pPr>
    </w:p>
    <w:p>
      <w:pPr>
        <w:ind w:left="860" w:right="160" w:hanging="420"/>
        <w:spacing w:after="0" w:line="198"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opened four new stores in fiscal 2018 third quarter and 12 new stores in the first nine months of fiscal 2018, adding approximately 211,000 of gross square footage in fiscal 2018; and</w:t>
      </w:r>
    </w:p>
    <w:p>
      <w:pPr>
        <w:ind w:left="860" w:hanging="420"/>
        <w:spacing w:after="0" w:line="231" w:lineRule="auto"/>
        <w:tabs>
          <w:tab w:leader="none" w:pos="86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Our retail stores have achieved and are expected to continue to achieve an average payback of less than two years.</w:t>
      </w:r>
    </w:p>
    <w:p>
      <w:pPr>
        <w:spacing w:after="0" w:line="162"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60"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41"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We are pursuing several strategies to continue our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02"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80" w:firstLine="428"/>
        <w:spacing w:after="0" w:line="31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shipment of the product and retail sales are recognized at the point of sale. We also use net sales as one of the key financial metrics in determining our annual bonus compensation for our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6"/>
              </w:rPr>
              <w:t>October 28, 2018</w:t>
            </w: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October 29, 2017</w:t>
            </w: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October 28, 2018</w:t>
            </w:r>
          </w:p>
        </w:tc>
        <w:tc>
          <w:tcPr>
            <w:tcW w:w="80" w:type="dxa"/>
            <w:vAlign w:val="bottom"/>
          </w:tcPr>
          <w:p>
            <w:pPr>
              <w:spacing w:after="0"/>
              <w:rPr>
                <w:sz w:val="15"/>
                <w:szCs w:val="15"/>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0"/>
              </w:rPr>
              <w:t>October 29, 2017</w:t>
            </w: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59,827</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54,146</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186,872</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46,874</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29,583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130,689</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78,054</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83,729</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0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45,730</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36,302</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138,410</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108,649</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60,971</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47,427</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63,534</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48,039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172,075</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137,467</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Net (loss) income attributable to controlling interest</w:t>
            </w:r>
          </w:p>
        </w:tc>
        <w:tc>
          <w:tcPr>
            <w:tcW w:w="16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18"/>
                <w:szCs w:val="18"/>
                <w:color w:val="auto"/>
              </w:rPr>
            </w:pP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2,536</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1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 net sales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56.1 %</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58.8 %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amortization)</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6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Less: Net income attributable to</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6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(loss) income attributable to controlling interest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2540"/>
        <w:spacing w:after="0" w:line="464" w:lineRule="auto"/>
        <w:rPr>
          <w:sz w:val="20"/>
          <w:szCs w:val="20"/>
          <w:color w:val="auto"/>
        </w:rPr>
      </w:pPr>
      <w:r>
        <w:rPr>
          <w:rFonts w:ascii="Arial" w:cs="Arial" w:eastAsia="Arial" w:hAnsi="Arial"/>
          <w:sz w:val="18"/>
          <w:szCs w:val="18"/>
          <w:b w:val="1"/>
          <w:bCs w:val="1"/>
          <w:color w:val="auto"/>
        </w:rPr>
        <w:t xml:space="preserve">Three Months Ended October 28, 2018 Compared to Three Months Ended October 29, 2017 </w:t>
      </w:r>
      <w:r>
        <w:rPr>
          <w:rFonts w:ascii="Arial" w:cs="Arial" w:eastAsia="Arial" w:hAnsi="Arial"/>
          <w:sz w:val="18"/>
          <w:szCs w:val="18"/>
          <w:b w:val="1"/>
          <w:bCs w:val="1"/>
          <w:i w:val="1"/>
          <w:iCs w:val="1"/>
          <w:color w:val="auto"/>
        </w:rPr>
        <w:t>Net Sales</w:t>
      </w:r>
    </w:p>
    <w:p>
      <w:pPr>
        <w:ind w:right="20" w:firstLine="428"/>
        <w:spacing w:after="0" w:line="273" w:lineRule="auto"/>
        <w:rPr>
          <w:sz w:val="20"/>
          <w:szCs w:val="20"/>
          <w:color w:val="auto"/>
        </w:rPr>
      </w:pPr>
      <w:r>
        <w:rPr>
          <w:rFonts w:ascii="Arial" w:cs="Arial" w:eastAsia="Arial" w:hAnsi="Arial"/>
          <w:sz w:val="17"/>
          <w:szCs w:val="17"/>
          <w:color w:val="auto"/>
        </w:rPr>
        <w:t>Net sales increased $23.0 million, or 27.4%, to $106.7 million in the three months ended October 28, 2018 compared to $83.7 million in the three months ended October 29, 2017, driven by gains in both direct and retail segments of $5.7 million, or 10.5%, and $17.3 million, or 58.4%, respectively, with gains across virtually all product categories and in both the men’s and women’s businesses. Our website visits increased 26% in the three months ended October 28, 2018 compared to the three months ended October 29, 2017. The increase in retail net sales was primarily due to having 43 stores in the three months ended October 28, 2018 as compared to 26 stores in the three months ended October 29,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$13.5 million, or 28.6%, to $61.0 million in the three months ended October 28, 2018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$47.4 million in the three months ended October 29, 2017. As a percentage of net sales, gross margin increased 50 basis points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57.1% of net sales in the three months ended October 28, 2018, compared to 56.6% of net sales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29, 2017. The increase in gross margin rate was primarily attributable to an increase in product margin, partially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in shipping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Selling, general and administrative expenses increased $15.5 million, or 32.3%, to $63.5 million in the three months ended October 28, 2018 compared to $48.0 million in the three months ended October 29, 2017. Selling, general and administrative expenses as a percentage of net sales increased 210 basis points to 59.5% in the three months ended October 28, 2018, compared to 57.4% in the three months ended October 29, 2017. The increase in selling, general and administrative expenses was attributable to an increase of $4.9 million in advertising and marketing costs, $4.4 million in selling expenses and $6.2 million in general and administrative expenses.</w:t>
      </w:r>
    </w:p>
    <w:p>
      <w:pPr>
        <w:spacing w:after="0" w:line="153" w:lineRule="exact"/>
        <w:rPr>
          <w:sz w:val="20"/>
          <w:szCs w:val="20"/>
          <w:color w:val="auto"/>
        </w:rPr>
      </w:pPr>
    </w:p>
    <w:p>
      <w:pPr>
        <w:ind w:right="60" w:firstLine="428"/>
        <w:spacing w:after="0" w:line="276" w:lineRule="auto"/>
        <w:rPr>
          <w:sz w:val="20"/>
          <w:szCs w:val="20"/>
          <w:color w:val="auto"/>
        </w:rPr>
      </w:pPr>
      <w:r>
        <w:rPr>
          <w:rFonts w:ascii="Arial" w:cs="Arial" w:eastAsia="Arial" w:hAnsi="Arial"/>
          <w:sz w:val="17"/>
          <w:szCs w:val="17"/>
          <w:color w:val="auto"/>
        </w:rPr>
        <w:t>As a percentage of net sales, advertising and marketing costs increased 20 basis points to 20.4% in the three months ended October 28, 2018, compared to 20.2% in the three months ended October 29, 2017. The 20 basis point increase in advertising and marketing costs as a percentage of net sales was primarily attributable to an increase of 140 basis point in television advertising due to an earlier start in Women’s television advertising as compared to the prior year quarter, offset by a decrease of 140 basis points in catalog costs due to a planned decrease in catalog spend as a percentage of net sales.</w:t>
      </w:r>
    </w:p>
    <w:p>
      <w:pPr>
        <w:spacing w:after="0" w:line="132" w:lineRule="exact"/>
        <w:rPr>
          <w:sz w:val="20"/>
          <w:szCs w:val="20"/>
          <w:color w:val="auto"/>
        </w:rPr>
      </w:pPr>
    </w:p>
    <w:p>
      <w:pPr>
        <w:jc w:val="both"/>
        <w:ind w:right="40" w:firstLine="428"/>
        <w:spacing w:after="0" w:line="312" w:lineRule="auto"/>
        <w:rPr>
          <w:sz w:val="20"/>
          <w:szCs w:val="20"/>
          <w:color w:val="auto"/>
        </w:rPr>
      </w:pPr>
      <w:r>
        <w:rPr>
          <w:rFonts w:ascii="Arial" w:cs="Arial" w:eastAsia="Arial" w:hAnsi="Arial"/>
          <w:sz w:val="16"/>
          <w:szCs w:val="16"/>
          <w:color w:val="auto"/>
        </w:rPr>
        <w:t>As a percentage of net sales, selling expenses increased 70 basis points to 16.5% in the three months ended October 28, 2018, compared to 15.8% in the three months ended October 29, 2017, primarily due to an increase in customer service due to our growth in retail, partially offset by a decrease in shipping expenses due to leverage from an increase in the proportion of retail net sales.</w:t>
      </w:r>
    </w:p>
    <w:p>
      <w:pPr>
        <w:spacing w:after="0" w:line="120"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As a percentage of net sales, general and administrative expenses increased 120 basis points to 22.6% in the three months ended October 28, 2018, compared to 21.4% in the three months ended October 29, 2017. The 120 basis point increase was primarily attributable to an increase in information technology support and outside services, and an increase in depreciation as a result of more stores.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(Loss) Income</w:t>
      </w:r>
    </w:p>
    <w:p>
      <w:pPr>
        <w:spacing w:after="0" w:line="185" w:lineRule="exact"/>
        <w:rPr>
          <w:sz w:val="20"/>
          <w:szCs w:val="20"/>
          <w:color w:val="auto"/>
        </w:rPr>
      </w:pPr>
    </w:p>
    <w:p>
      <w:pPr>
        <w:ind w:right="200" w:firstLine="428"/>
        <w:spacing w:after="0" w:line="312" w:lineRule="auto"/>
        <w:rPr>
          <w:sz w:val="20"/>
          <w:szCs w:val="20"/>
          <w:color w:val="auto"/>
        </w:rPr>
      </w:pPr>
      <w:r>
        <w:rPr>
          <w:rFonts w:ascii="Arial" w:cs="Arial" w:eastAsia="Arial" w:hAnsi="Arial"/>
          <w:sz w:val="16"/>
          <w:szCs w:val="16"/>
          <w:i w:val="1"/>
          <w:iCs w:val="1"/>
          <w:color w:val="auto"/>
        </w:rPr>
        <w:t>Corporate expenses are included in our direct segment and the majority of advertising costs are included in our direct segment, with the exception of retail-specific advertising. As such, our direct segment is generally burdened with higher overhead and advertising expenses. In addition, for our build to suit leases, a portion of the lease expense is included in interest expense.</w:t>
      </w:r>
    </w:p>
    <w:p>
      <w:pPr>
        <w:spacing w:after="0" w:line="120" w:lineRule="exact"/>
        <w:rPr>
          <w:sz w:val="20"/>
          <w:szCs w:val="20"/>
          <w:color w:val="auto"/>
        </w:rPr>
      </w:pPr>
    </w:p>
    <w:p>
      <w:pPr>
        <w:ind w:firstLine="428"/>
        <w:spacing w:after="0" w:line="291" w:lineRule="auto"/>
        <w:rPr>
          <w:sz w:val="20"/>
          <w:szCs w:val="20"/>
          <w:color w:val="auto"/>
        </w:rPr>
      </w:pPr>
      <w:r>
        <w:rPr>
          <w:rFonts w:ascii="Arial" w:cs="Arial" w:eastAsia="Arial" w:hAnsi="Arial"/>
          <w:sz w:val="16"/>
          <w:szCs w:val="16"/>
          <w:color w:val="auto"/>
        </w:rPr>
        <w:t>Direct segment operating loss was $8.4 million in the three months ended October 28, 2018 compared to $2.7 million in the three months ended October 29, 2017. Direct segment operating loss as a percentage of direct net sales decreased 890 basis points to (14.0)% in the three months ended October 28, 2018 compared to (5.1)% in the three months ended October 29, 2017. The 890 basis point decreased was primarily due to an increase of 100 basis points in direct gross margins, coupled with an increase in selling expenses of 200 basis points due to increased distribution costs, an increase of 330 basis points in general and administrative expenses due to an increase in consulting fees and outside services to support the growth of our direct business, and an increase of 460 basis points in advertising and marketing costs primarily due to an increase in television advertising as discussed above.</w:t>
      </w:r>
    </w:p>
    <w:p>
      <w:pPr>
        <w:spacing w:after="0" w:line="127" w:lineRule="exact"/>
        <w:rPr>
          <w:sz w:val="20"/>
          <w:szCs w:val="20"/>
          <w:color w:val="auto"/>
        </w:rPr>
      </w:pPr>
    </w:p>
    <w:p>
      <w:pPr>
        <w:ind w:right="60" w:firstLine="428"/>
        <w:spacing w:after="0" w:line="297" w:lineRule="auto"/>
        <w:rPr>
          <w:sz w:val="20"/>
          <w:szCs w:val="20"/>
          <w:color w:val="auto"/>
        </w:rPr>
      </w:pPr>
      <w:r>
        <w:rPr>
          <w:rFonts w:ascii="Arial" w:cs="Arial" w:eastAsia="Arial" w:hAnsi="Arial"/>
          <w:sz w:val="16"/>
          <w:szCs w:val="16"/>
          <w:color w:val="auto"/>
        </w:rPr>
        <w:t>Retail segment operating income increased $3.7 million to $5.8 million in the three months ended October 28, 2018 compared to $2.1 million in the three months ended October 29, 2017. Retail segment operating income as a percentage of retail net sales increased 520 basis points to 12.4% in the three months ended October 28, 2018 compared to 7.2% in the three months ended October 29, 2017. The 520 basis point increase was due to a decrease of 530 basis points in selling, general and administrative expenses due to leverage gained from higher retail net sales offset by a decrease of 10 basis points in retail gross margins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140" w:firstLine="428"/>
        <w:spacing w:after="0" w:line="286" w:lineRule="auto"/>
        <w:rPr>
          <w:sz w:val="20"/>
          <w:szCs w:val="20"/>
          <w:color w:val="auto"/>
        </w:rPr>
      </w:pPr>
      <w:r>
        <w:rPr>
          <w:rFonts w:ascii="Arial" w:cs="Arial" w:eastAsia="Arial" w:hAnsi="Arial"/>
          <w:sz w:val="17"/>
          <w:szCs w:val="17"/>
          <w:color w:val="auto"/>
        </w:rPr>
        <w:t>Interest expense was $1.6 million in the three months ended October 28, 2018, compared to $0.7 million in the three months ended October 29, 2017. The increase in interest expense was primarily attributable to the addition of our headquarters building, coupled with a higher outstanding debt balance during the quarter as compared to the prior year.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85"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Income tax benefit was $1.1 million in the three months ended October 28, 2018, compared to $0.5 million in the three months ended October 29, 2017. Our effective tax rate related to controlling interest was 25% for the three months ended October 28, 2018, compared to 36% for the three months ended October 29, 2017, respectively. The decrease in our effective tax rate was primarily due to the U.S. tax reform, which was effective January 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98" w:lineRule="exact"/>
        <w:rPr>
          <w:sz w:val="20"/>
          <w:szCs w:val="20"/>
          <w:color w:val="auto"/>
        </w:rPr>
      </w:pPr>
    </w:p>
    <w:p>
      <w:pPr>
        <w:ind w:right="300" w:firstLine="428"/>
        <w:spacing w:after="0" w:line="277" w:lineRule="auto"/>
        <w:rPr>
          <w:sz w:val="20"/>
          <w:szCs w:val="20"/>
          <w:color w:val="auto"/>
        </w:rPr>
      </w:pPr>
      <w:r>
        <w:rPr>
          <w:rFonts w:ascii="Arial" w:cs="Arial" w:eastAsia="Arial" w:hAnsi="Arial"/>
          <w:sz w:val="18"/>
          <w:szCs w:val="18"/>
          <w:color w:val="auto"/>
        </w:rPr>
        <w:t>Net loss was $3.2 million, in the three months ended October 28, 2018 compared to $0.8 million in the three months ended October 29, 2017, primarily due to the factors discussed above.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October 28, 2018 Compared to Nine Months Ended October 29,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Net sales increased $63.9 million, or 25.2%, to $317.6 million in the nine months ended October 28, 2018 compared to $253.6 million in the nine months ended October 29, 2017, driven by gains in both direct and retail segments of $11.3 million, or 6.4%, and $52.6 million, or 67.4%, respectively, with gains across virtually all product categories and in both the men’s and women’s businesses. Our website visits increased 18% in the nine months ended October 28, 2018 compared to the nine months ended October 29, 2017. The increase in retail net sales was primarily attributable to the same factors discussed above for the three months ended October 28, 2018 compared to the three months ended October 29,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Gross profit increased $34.2 million, or 23.6%, to $179.2 million in the nine months ended October 28, 2018 compared to $145.0 million in the nine months ended October 29, 2017. As a percentage of net sales, gross margin decreased 80 basis points to 56.4% of net sales in the nine months ended October 28, 2018, compared to 57.2% of net sales in the nine months ended October 29, 2017. The decrease in gross margin rate was primarily attributable to the continued decline in shipping revenue and an increase in freight cost related to transporting inventory to our retail stores due to geographic expansion.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20" w:firstLine="428"/>
        <w:spacing w:after="0" w:line="297" w:lineRule="auto"/>
        <w:rPr>
          <w:sz w:val="20"/>
          <w:szCs w:val="20"/>
          <w:color w:val="auto"/>
        </w:rPr>
      </w:pPr>
      <w:r>
        <w:rPr>
          <w:rFonts w:ascii="Arial" w:cs="Arial" w:eastAsia="Arial" w:hAnsi="Arial"/>
          <w:sz w:val="16"/>
          <w:szCs w:val="16"/>
          <w:color w:val="auto"/>
        </w:rPr>
        <w:t>Selling, general and administrative expenses increased $34.6 million, or 25.2%, to $172.1 million in the nine months ended October 28, 2018 compared to $137.5 million in the nine months ended October 29, 2017. Selling, general and administrative expenses as a percentage of net sales remained flat at 54.2% in both the nine months ended October 28, 2018 and the nine months ended October 29, 2017. Within selling, general and administrative there was an increase of $6.3 million in advertising and marketing costs, $12.4 million in selling expenses and $15.9 million in general and administrative expenses.</w:t>
      </w:r>
    </w:p>
    <w:p>
      <w:pPr>
        <w:spacing w:after="0" w:line="131"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As a percentage of net sales, advertising and marketing costs decreased 220 basis points to 18.7% in the nine months ended October 28, 2018, compared to 20.9% in the nine months ended October 29, 2017. The 220 basis point decrease in advertising and marketing costs as a percentage of net sales was primarily attributable to a decrease of 200 basis points in catalog costs due to the adoption of the new revenue standard which provides for catalog costs to be expensed upon customer receipt and a planned decrease in catalog spend as a percentage of net sales, coupled with advertising leverage gained from a higher mix of retail sales as compared to the nine months ended October 29, 2017.</w:t>
      </w:r>
    </w:p>
    <w:p>
      <w:pPr>
        <w:spacing w:after="0" w:line="153" w:lineRule="exact"/>
        <w:rPr>
          <w:sz w:val="20"/>
          <w:szCs w:val="20"/>
          <w:color w:val="auto"/>
        </w:rPr>
      </w:pPr>
    </w:p>
    <w:p>
      <w:pPr>
        <w:jc w:val="both"/>
        <w:ind w:right="120" w:firstLine="428"/>
        <w:spacing w:after="0" w:line="259" w:lineRule="auto"/>
        <w:rPr>
          <w:sz w:val="20"/>
          <w:szCs w:val="20"/>
          <w:color w:val="auto"/>
        </w:rPr>
      </w:pPr>
      <w:r>
        <w:rPr>
          <w:rFonts w:ascii="Arial" w:cs="Arial" w:eastAsia="Arial" w:hAnsi="Arial"/>
          <w:sz w:val="18"/>
          <w:szCs w:val="18"/>
          <w:color w:val="auto"/>
        </w:rPr>
        <w:t>As a percentage of net sales, selling expenses increased 90 basis points to 15.7% in the nine months ended October 28, 2018, compared to 14.8% in the nine months ended October 29, 2017, primarily due to an increase in customer service due to our growth in retail, partially offset by a decrease in shipping expenses attributable to the leverage gained from an increase in the proportion of retail net sales.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As a percentage of net sales, general and administrative expenses increased 130 basis points to 19.8% in the nine months ended October 28, 2018, compared to 18.5% in the nine months ended October 29, 2017. The 130 basis point increase was primarily attributable to the same factors discussed above for the three months ended October 28, 2018 compared to the three months ended October 29,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(Loss) Income</w:t>
      </w:r>
    </w:p>
    <w:p>
      <w:pPr>
        <w:spacing w:after="0" w:line="185" w:lineRule="exact"/>
        <w:rPr>
          <w:sz w:val="20"/>
          <w:szCs w:val="20"/>
          <w:color w:val="auto"/>
        </w:rPr>
      </w:pPr>
    </w:p>
    <w:p>
      <w:pPr>
        <w:ind w:right="260" w:firstLine="428"/>
        <w:spacing w:after="0" w:line="312" w:lineRule="auto"/>
        <w:rPr>
          <w:sz w:val="20"/>
          <w:szCs w:val="20"/>
          <w:color w:val="auto"/>
        </w:rPr>
      </w:pPr>
      <w:r>
        <w:rPr>
          <w:rFonts w:ascii="Arial" w:cs="Arial" w:eastAsia="Arial" w:hAnsi="Arial"/>
          <w:sz w:val="16"/>
          <w:szCs w:val="16"/>
          <w:i w:val="1"/>
          <w:iCs w:val="1"/>
          <w:color w:val="auto"/>
        </w:rPr>
        <w:t>Corporate expenses are included in our direct segment and the majority of advertising costs are included in our direct segment, with the exception of retail-specific advertising. As such, our direct segment is generally burdened with higher overhead and advertising expenses. In addition, for our build to suit leases, a portion of the lease expense is included in interest expense.</w:t>
      </w:r>
    </w:p>
    <w:p>
      <w:pPr>
        <w:spacing w:after="0" w:line="120"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Direct segment operating loss was $9.4 million in the nine months ended October 28, 2018 compared to operating income of $0.2 million in the nine months ended October 29, 2017. Direct segment (loss) income as a percentage of direct net sales decreased 510 basis points to (5.0)% in the nine months ended October 28, 2018 compared to 0.1% in the nine months ended October 29, 2017. The 510 basis point decline was primarily due to a decline of 70 basis points in direct gross margins, coupled with an increase in selling, general and administrative expenses of 440 basis points was primarily attributable to the same factors discussed nine months ended October 28, 2018 compared to the nine months ended October 29, 2017.</w:t>
      </w:r>
    </w:p>
    <w:p>
      <w:pPr>
        <w:spacing w:after="0" w:line="138" w:lineRule="exact"/>
        <w:rPr>
          <w:sz w:val="20"/>
          <w:szCs w:val="20"/>
          <w:color w:val="auto"/>
        </w:rPr>
      </w:pPr>
    </w:p>
    <w:p>
      <w:pPr>
        <w:jc w:val="both"/>
        <w:ind w:right="60" w:firstLine="428"/>
        <w:spacing w:after="0" w:line="286" w:lineRule="auto"/>
        <w:rPr>
          <w:sz w:val="20"/>
          <w:szCs w:val="20"/>
          <w:color w:val="auto"/>
        </w:rPr>
      </w:pPr>
      <w:r>
        <w:rPr>
          <w:rFonts w:ascii="Arial" w:cs="Arial" w:eastAsia="Arial" w:hAnsi="Arial"/>
          <w:sz w:val="16"/>
          <w:szCs w:val="16"/>
          <w:color w:val="auto"/>
        </w:rPr>
        <w:t>Retail segment operating income increased $9.1 million to $16.4 million in the nine months ended October 28, 2018 compared to $7.3 million in nine months ended October 29, 2017. Retail segment operating income as a percentage of retail net sales increased 330 basis points to 12.6% in the nine months ended October 28, 2018 compared to 9.3% in the nine months ended October 29, 2017. The 330 basis point increase was primarily due to a decrease in selling, general and administrative expenses of 370 basis</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points attributable to the same factors discussed above for the nine months ended October 28, 2018 compared to the nine months ended October 29, 2017 offset by a decline of 40 basis points in retail gross margins.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140" w:firstLine="428"/>
        <w:spacing w:after="0" w:line="312" w:lineRule="auto"/>
        <w:rPr>
          <w:sz w:val="20"/>
          <w:szCs w:val="20"/>
          <w:color w:val="auto"/>
        </w:rPr>
      </w:pPr>
      <w:r>
        <w:rPr>
          <w:rFonts w:ascii="Arial" w:cs="Arial" w:eastAsia="Arial" w:hAnsi="Arial"/>
          <w:sz w:val="16"/>
          <w:szCs w:val="16"/>
          <w:color w:val="auto"/>
        </w:rPr>
        <w:t>Interest expense was $3.6 million in the nine months ended October 28, 2018, compared to $1.2 million in the nine months ended October 29, 2017. The increase in interest expense was primarily attributable to the addition of our headquarters building, an increase in our build-to-suit retail stores, and a higher outstanding debt balance during the quarter as compared to the prior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ind w:right="60" w:firstLine="428"/>
        <w:spacing w:after="0" w:line="286" w:lineRule="auto"/>
        <w:rPr>
          <w:sz w:val="20"/>
          <w:szCs w:val="20"/>
          <w:color w:val="auto"/>
        </w:rPr>
      </w:pPr>
      <w:r>
        <w:rPr>
          <w:rFonts w:ascii="Arial" w:cs="Arial" w:eastAsia="Arial" w:hAnsi="Arial"/>
          <w:sz w:val="17"/>
          <w:szCs w:val="17"/>
          <w:color w:val="auto"/>
        </w:rPr>
        <w:t>Income tax expense was $0.9 million in the nine months ended October 28, 2018, compared to income tax expense of $2.5 million in the nine months ended October 29, 2017. Our effective tax rate related to controlling interest was 27% for the nine months ended October 28, 2018 compared to 39%, for the nine months ended October 29,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380" w:firstLine="428"/>
        <w:spacing w:after="0" w:line="308" w:lineRule="auto"/>
        <w:rPr>
          <w:sz w:val="20"/>
          <w:szCs w:val="20"/>
          <w:color w:val="auto"/>
        </w:rPr>
      </w:pPr>
      <w:r>
        <w:rPr>
          <w:rFonts w:ascii="Arial" w:cs="Arial" w:eastAsia="Arial" w:hAnsi="Arial"/>
          <w:sz w:val="17"/>
          <w:szCs w:val="17"/>
          <w:color w:val="auto"/>
        </w:rPr>
        <w:t>Net income decreased $1.3 million, or 33.7% to $2.5 million, in the nine months ended October 28, 2018 compared to net income of $3.8 million in the nine months ended October 29, 2017, primarily due to the factors discussed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202"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October 28, 2018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29, 2017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October 28, 2018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October 29, 2017</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(benefit) expense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Non-cash stock based compensation</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$0.8 million, or 45.8%, to $1.0 million in the three months ended October 28, 2018 compared to $1.9 million in the three months ended October 29, 2017. As a percentage of net sales, Adjusted EBITDA decreased 130 basis points to 0.9% of net sales in the three months ended October 28, 2018 compared to 2.2% of net sales in the three months ended October 29, 2017.</w:t>
      </w:r>
    </w:p>
    <w:p>
      <w:pPr>
        <w:spacing w:after="0" w:line="131"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$2.7 million, or 19.6%, to $16.7 million in the nine months ended October 28, 2018 compared to $14.0 million in the nine months ended October 29, 2017. As a percentage of net sales, Adjusted EBITDA decreased 20 basis points to 5.3% of net sales in the nine months ended October 28, 2018 compared to 5.5% of net sales in the nine months ended October 29, 2017.</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60" w:firstLine="428"/>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Effective May 17, 2018, we entered into a new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51" w:lineRule="exact"/>
        <w:rPr>
          <w:sz w:val="20"/>
          <w:szCs w:val="20"/>
          <w:color w:val="auto"/>
        </w:rPr>
      </w:pPr>
    </w:p>
    <w:p>
      <w:pPr>
        <w:ind w:right="160" w:firstLine="428"/>
        <w:spacing w:after="0" w:line="271" w:lineRule="auto"/>
        <w:rPr>
          <w:sz w:val="20"/>
          <w:szCs w:val="20"/>
          <w:color w:val="auto"/>
        </w:rPr>
      </w:pPr>
      <w:r>
        <w:rPr>
          <w:rFonts w:ascii="Arial" w:cs="Arial" w:eastAsia="Arial" w:hAnsi="Arial"/>
          <w:sz w:val="17"/>
          <w:szCs w:val="17"/>
          <w:color w:val="auto"/>
        </w:rPr>
        <w:t>We expect to spend approximately $50.0 million to $55.0 million in fiscal 2018 on capital expenditures, net of proceeds from finance lease obligations, including a total of approximately $27.0 million to $32.0 million for new retail store expansion and remodels. We expect capital expenditures of approximately $2.0 million and starting inventory of $0.5 million to open a new store. At October 28, 2018, our net working capital was $85.1 million, including $2.5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38" w:lineRule="exact"/>
        <w:rPr>
          <w:sz w:val="20"/>
          <w:szCs w:val="20"/>
          <w:color w:val="auto"/>
        </w:rPr>
      </w:pPr>
    </w:p>
    <w:p>
      <w:pPr>
        <w:ind w:right="260" w:firstLine="428"/>
        <w:spacing w:after="0" w:line="264" w:lineRule="auto"/>
        <w:rPr>
          <w:sz w:val="20"/>
          <w:szCs w:val="20"/>
          <w:color w:val="auto"/>
        </w:rPr>
      </w:pPr>
      <w:r>
        <w:rPr>
          <w:rFonts w:ascii="Arial" w:cs="Arial" w:eastAsia="Arial" w:hAnsi="Arial"/>
          <w:sz w:val="18"/>
          <w:szCs w:val="18"/>
          <w:color w:val="auto"/>
        </w:rPr>
        <w:t>We believe that our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28, 2018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4"/>
                <w:szCs w:val="14"/>
                <w:b w:val="1"/>
                <w:bCs w:val="1"/>
                <w:color w:val="auto"/>
              </w:rPr>
              <w:t>October 29, 2017</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2"/>
              </w:rPr>
              <w:t>(34,957)</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(46,317)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left="954"/>
              <w:spacing w:after="0"/>
              <w:rPr>
                <w:sz w:val="20"/>
                <w:szCs w:val="20"/>
                <w:color w:val="auto"/>
              </w:rPr>
            </w:pPr>
            <w:r>
              <w:rPr>
                <w:rFonts w:ascii="Arial" w:cs="Arial" w:eastAsia="Arial" w:hAnsi="Arial"/>
                <w:sz w:val="18"/>
                <w:szCs w:val="18"/>
                <w:color w:val="auto"/>
                <w:w w:val="92"/>
              </w:rPr>
              <w:t>(43,909)</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8"/>
                <w:szCs w:val="18"/>
                <w:color w:val="auto"/>
                <w:w w:val="87"/>
              </w:rPr>
              <w:t>56,516</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 and restricted cash</w:t>
            </w:r>
          </w:p>
        </w:tc>
        <w:tc>
          <w:tcPr>
            <w:tcW w:w="13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center"/>
              <w:ind w:left="954"/>
              <w:spacing w:after="0"/>
              <w:rPr>
                <w:sz w:val="20"/>
                <w:szCs w:val="20"/>
                <w:color w:val="auto"/>
              </w:rPr>
            </w:pPr>
            <w:r>
              <w:rPr>
                <w:rFonts w:ascii="Arial" w:cs="Arial" w:eastAsia="Arial" w:hAnsi="Arial"/>
                <w:sz w:val="18"/>
                <w:szCs w:val="18"/>
                <w:color w:val="auto"/>
                <w:w w:val="92"/>
              </w:rPr>
              <w:t>(22,350)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8" w:lineRule="exact"/>
        <w:rPr>
          <w:sz w:val="20"/>
          <w:szCs w:val="20"/>
          <w:color w:val="auto"/>
        </w:rPr>
      </w:pPr>
    </w:p>
    <w:p>
      <w:pPr>
        <w:ind w:left="60" w:right="320" w:firstLine="383"/>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30"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While our cash flows from operations for the nine months ended October 28, 2018 is negative, primarily driven by the seasonal nature of our business, we expect cash flows from operations for the full year fiscal 2018 to be positive from normal operating performance and seasonal reductions in working capital during the fourth quarter of our fiscal year, which is consistent with previous full fiscal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20" w:firstLine="428"/>
        <w:spacing w:after="0" w:line="293" w:lineRule="auto"/>
        <w:rPr>
          <w:sz w:val="20"/>
          <w:szCs w:val="20"/>
          <w:color w:val="auto"/>
        </w:rPr>
      </w:pPr>
      <w:r>
        <w:rPr>
          <w:rFonts w:ascii="Arial" w:cs="Arial" w:eastAsia="Arial" w:hAnsi="Arial"/>
          <w:sz w:val="16"/>
          <w:szCs w:val="16"/>
          <w:color w:val="auto"/>
        </w:rPr>
        <w:t>For nine months ended October 28, 2018, net cash used in operating activities was $23.5 million, which consisted of net income of $2.7 million, non-cash depreciation and amortization of $8.2 million and stock based compensation of $1.3 million, offset by cash used in operating assets and liabilities of $35.5 million. The cash used in operating assets and liabilities of $35.5 million primarily consisted of a $44.8 million increase in inventory, primarily due to our sales increase and inventory for the opening of new retail stores during fiscal 2018 and our peak season, which was partially offset by an increase of $19.1 in trade accounts payable primarily due to timing of payments and an increase of $7.1 in accrued expenses and deferred rent obligations.</w:t>
      </w:r>
    </w:p>
    <w:p>
      <w:pPr>
        <w:spacing w:after="0" w:line="124"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For the nine months ended October 29, 2017, net cash used in operating activities was $35.0 million, which consisted of net income of $4.0 million, non-cash depreciation and amortization of $5.1 million and stock based compensation of $1.2 million, offset by cash used in operating assets and liabilities of $45.2 million. The cash used in operating assets and liabilities of $45.2 million primarily consisted of a $57.0 million increase in inventory, primarily due to the increase in the number of our retail stores and building up our inventory for the peak holiday season, which was partially offset by an increase in trade accounts payable of $18.7 million primarily due to timing of payments.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For the nine months ended October 28, 2018, net cash used in investing activities was $46.3 million and was primarily driven by capital expenditures of $45.9 million for new retail stores and retail store build-out, as well as investments in information technology.</w:t>
      </w:r>
    </w:p>
    <w:p>
      <w:pPr>
        <w:spacing w:after="0" w:line="141"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For the nine months ended October 29, 2017, net cash used in investing activities was $43.9 million and was primarily driven by capital expenditures of $37.5 million for the opening of ten new retail stores and investments in information technology and a $6.3 million purchase of an available-for-sale security.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jc w:val="both"/>
        <w:ind w:right="200"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holders of the noncontrolling interest in our variable interest entity Schlecht Retail Ventures LLC (“SRV”), proceeds from finance lease obligations and capital contributions to SRV.</w:t>
      </w:r>
    </w:p>
    <w:p>
      <w:pPr>
        <w:spacing w:after="0" w:line="141"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For the nine months ended October 28, 2018, net cash provided by financing activities was $65.9 million, primarily consisting of proceeds of $65.0 million, net from our revolving line of credit to fund working capital and capital expenditures and $1.0 million from finance lease obligations in connection with our build-to-suit lease transactions.</w:t>
      </w:r>
    </w:p>
    <w:p>
      <w:pPr>
        <w:spacing w:after="0" w:line="154"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For the nine months ended October 29, 2017, net cash provided by financing activities was $56.5 million, primarily consisting of proceeds of $50.1 million, net from our revolving line of credit, $0.8 million from long-term debt, $2.9 million in change in bank overdraft, $2.4 million from our finance lease obligations in connection with our build-to-suit lease transactions and $0.8 million for capital contributions to SRV.</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firstLine="428"/>
        <w:spacing w:after="0" w:line="270" w:lineRule="auto"/>
        <w:rPr>
          <w:sz w:val="20"/>
          <w:szCs w:val="20"/>
          <w:color w:val="auto"/>
        </w:rPr>
      </w:pPr>
      <w:r>
        <w:rPr>
          <w:rFonts w:ascii="Arial" w:cs="Arial" w:eastAsia="Arial" w:hAnsi="Arial"/>
          <w:sz w:val="17"/>
          <w:szCs w:val="17"/>
          <w:color w:val="auto"/>
        </w:rPr>
        <w:t>On September 29, 2017, we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the Company to maintain compliance with certain financial and non-financial covenants, including minimum tangible net worth and a minimum trailing twelve month EBITDA. In addition, the Amended and Restated Agreement did not contain borrowing base limits.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Effective May 17, 2018, we entered into a new credit agreement and subsequently terminated our Amended and Restated Agreement. The outstanding balance of $27.5 million under the Amended and Restated Agreement was paid off with borrowings under the new credit agreement. The new credit agreement is secured by essentially all Company assets and requires that we maintain compliance with certain financial and non-financial covenants, including a trailing twelve month maximum rent adjusted leverage ratio and minimum fixed charge coverage ratio. See Note 3 “Debt and Line of Credit,” included in this Quarterly Report on Form 10-Q for further information.</w:t>
      </w:r>
    </w:p>
    <w:p>
      <w:pPr>
        <w:spacing w:after="0" w:line="153" w:lineRule="exact"/>
        <w:rPr>
          <w:sz w:val="20"/>
          <w:szCs w:val="20"/>
          <w:color w:val="auto"/>
        </w:rPr>
      </w:pPr>
    </w:p>
    <w:p>
      <w:pPr>
        <w:ind w:right="520" w:firstLine="428"/>
        <w:spacing w:after="0" w:line="308" w:lineRule="auto"/>
        <w:rPr>
          <w:sz w:val="20"/>
          <w:szCs w:val="20"/>
          <w:color w:val="auto"/>
        </w:rPr>
      </w:pPr>
      <w:r>
        <w:rPr>
          <w:rFonts w:ascii="Arial" w:cs="Arial" w:eastAsia="Arial" w:hAnsi="Arial"/>
          <w:sz w:val="17"/>
          <w:szCs w:val="17"/>
          <w:color w:val="auto"/>
        </w:rPr>
        <w:t>As of October 28, 2018 and for the nine months then ended, the Company was in compliance with all financial and non-financial covenants for all debts discussed above and expects to be in compliance for the remainder of fiscal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28,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8"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2017 Form 10-K, except as discussed below.</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185"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On January 29, 2018, we adopted authoritative guidance related to revenue recognition from contracts with customers using the modified retrospective (cumulative-effect) approach. As such, the comparative prior period information has not been restated and continues to be reported under the accounting standards in effect for those periods. Beginning with the first quarter of fiscal 2018, our financial results reflect adoption of the standard.</w:t>
      </w:r>
    </w:p>
    <w:p>
      <w:pPr>
        <w:spacing w:after="0" w:line="146" w:lineRule="exact"/>
        <w:rPr>
          <w:sz w:val="20"/>
          <w:szCs w:val="20"/>
          <w:color w:val="auto"/>
        </w:rPr>
      </w:pPr>
    </w:p>
    <w:p>
      <w:pPr>
        <w:ind w:right="300" w:firstLine="428"/>
        <w:spacing w:after="0" w:line="259" w:lineRule="auto"/>
        <w:rPr>
          <w:sz w:val="20"/>
          <w:szCs w:val="20"/>
          <w:color w:val="auto"/>
        </w:rPr>
      </w:pPr>
      <w:r>
        <w:rPr>
          <w:rFonts w:ascii="Arial" w:cs="Arial" w:eastAsia="Arial" w:hAnsi="Arial"/>
          <w:sz w:val="18"/>
          <w:szCs w:val="18"/>
          <w:color w:val="auto"/>
        </w:rPr>
        <w:t>On January 29, 2018, we adopted authoritative guidance related to restricted cash, which requires companies to include restricted cash in total cash and cash equivalents on the statement of cash flows. As a result, we no longer disclose the changes in restricted cash on the statement of cash flows and disclose a reconciliation to the total cash and restricted cash balances on the condensed consolidated balance sheets.</w:t>
      </w:r>
    </w:p>
    <w:p>
      <w:pPr>
        <w:spacing w:after="0" w:line="160" w:lineRule="exact"/>
        <w:rPr>
          <w:sz w:val="20"/>
          <w:szCs w:val="20"/>
          <w:color w:val="auto"/>
        </w:rPr>
      </w:pPr>
    </w:p>
    <w:p>
      <w:pPr>
        <w:ind w:right="120" w:firstLine="428"/>
        <w:spacing w:after="0" w:line="312" w:lineRule="auto"/>
        <w:rPr>
          <w:sz w:val="20"/>
          <w:szCs w:val="20"/>
          <w:color w:val="auto"/>
        </w:rPr>
      </w:pPr>
      <w:r>
        <w:rPr>
          <w:rFonts w:ascii="Arial" w:cs="Arial" w:eastAsia="Arial" w:hAnsi="Arial"/>
          <w:sz w:val="16"/>
          <w:szCs w:val="16"/>
          <w:color w:val="auto"/>
        </w:rPr>
        <w:t>On January 29, 2018, we adopted authoritative guidance related to financial instruments, which amends various aspects of the recognition, measurement, presentation, and disclosure for financial instruments. The most significant impact relates to the accounting for equity instruments. The adoption did not have a material impact on our condensed consolidated financial statements.</w:t>
      </w:r>
    </w:p>
    <w:p>
      <w:pPr>
        <w:spacing w:after="0" w:line="106" w:lineRule="exact"/>
        <w:rPr>
          <w:sz w:val="20"/>
          <w:szCs w:val="20"/>
          <w:color w:val="auto"/>
        </w:rPr>
      </w:pPr>
    </w:p>
    <w:p>
      <w:pPr>
        <w:jc w:val="both"/>
        <w:ind w:right="500" w:firstLine="428"/>
        <w:spacing w:after="0" w:line="264" w:lineRule="auto"/>
        <w:rPr>
          <w:sz w:val="20"/>
          <w:szCs w:val="20"/>
          <w:color w:val="auto"/>
        </w:rPr>
      </w:pPr>
      <w:r>
        <w:rPr>
          <w:rFonts w:ascii="Arial" w:cs="Arial" w:eastAsia="Arial" w:hAnsi="Arial"/>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200" w:lineRule="exact"/>
        <w:rPr>
          <w:sz w:val="20"/>
          <w:szCs w:val="20"/>
          <w:color w:val="auto"/>
        </w:rPr>
      </w:pPr>
    </w:p>
    <w:p>
      <w:pPr>
        <w:spacing w:after="0" w:line="2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There have been no significant changes in the market risks described in our 2017 Form 10-K. See Note 3 “Debt and Line of Credit,” of Notes to Condensed Consolidated Financial Statements included in Part 1, Item 1, of this quarterly report on Form 10-Q, for disclosure on our interest rate related to our line of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6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right="32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0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2017 Form 10-K or other SEC filings. There have been no material changes to our risk factors as previously disclosed in our Annual Report on Form 10-K, except as discussed below.</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customers would have to pay for our products and could have an adverse effect on our business, financial condition and results of operations.</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An increasing number of states have considered or adopted laws that attempt to impose tax collection obligations on out-of-state companies. Additionally, the Supreme Court of the United States recently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sell any equity securities during the quarter ended October 28, 2018, which were not registered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20" w:type="dxa"/>
            <w:vAlign w:val="bottom"/>
            <w:gridSpan w:val="6"/>
          </w:tcPr>
          <w:p>
            <w:pPr>
              <w:ind w:left="1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1200" w:type="dxa"/>
            <w:vAlign w:val="bottom"/>
          </w:tcPr>
          <w:p>
            <w:pPr>
              <w:ind w:left="120"/>
              <w:spacing w:after="0"/>
              <w:rPr>
                <w:sz w:val="20"/>
                <w:szCs w:val="20"/>
                <w:color w:val="auto"/>
              </w:rPr>
            </w:pPr>
            <w:r>
              <w:rPr>
                <w:rFonts w:ascii="Arial" w:cs="Arial" w:eastAsia="Arial" w:hAnsi="Arial"/>
                <w:sz w:val="18"/>
                <w:szCs w:val="18"/>
                <w:color w:val="auto"/>
              </w:rPr>
              <w:t>Exhibit</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No.</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120"/>
              <w:spacing w:after="0" w:line="157" w:lineRule="exact"/>
              <w:rPr>
                <w:sz w:val="20"/>
                <w:szCs w:val="20"/>
                <w:color w:val="auto"/>
              </w:rPr>
            </w:pPr>
            <w:r>
              <w:rPr>
                <w:rFonts w:ascii="Arial" w:cs="Arial" w:eastAsia="Arial" w:hAnsi="Arial"/>
                <w:sz w:val="18"/>
                <w:szCs w:val="18"/>
                <w:color w:val="auto"/>
              </w:rPr>
              <w:t>10.1</w:t>
            </w:r>
          </w:p>
        </w:tc>
        <w:tc>
          <w:tcPr>
            <w:tcW w:w="8400" w:type="dxa"/>
            <w:vAlign w:val="bottom"/>
            <w:gridSpan w:val="10"/>
          </w:tcPr>
          <w:p>
            <w:pPr>
              <w:spacing w:after="0" w:line="157" w:lineRule="exact"/>
              <w:rPr>
                <w:rFonts w:ascii="Arial" w:cs="Arial" w:eastAsia="Arial" w:hAnsi="Arial"/>
                <w:sz w:val="16"/>
                <w:szCs w:val="16"/>
                <w:color w:val="0000EE"/>
                <w:w w:val="96"/>
              </w:rPr>
            </w:pPr>
            <w:hyperlink w:anchor="page33">
              <w:r>
                <w:rPr>
                  <w:rFonts w:ascii="Arial" w:cs="Arial" w:eastAsia="Arial" w:hAnsi="Arial"/>
                  <w:sz w:val="16"/>
                  <w:szCs w:val="16"/>
                  <w:color w:val="0000EE"/>
                  <w:w w:val="96"/>
                </w:rPr>
                <w:t>Form of First Amendment dated October 15, 2018 to Employment Agreement between Duluth Holdings Inc. and Al Dittrich</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31.1</w:t>
            </w:r>
          </w:p>
        </w:tc>
        <w:tc>
          <w:tcPr>
            <w:tcW w:w="808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 xml:space="preserve">dated August 5, 2015. </w:t>
              </w:r>
              <w:r>
                <w:rPr>
                  <w:rFonts w:ascii="Arial" w:cs="Arial" w:eastAsia="Arial" w:hAnsi="Arial"/>
                  <w:sz w:val="16"/>
                  <w:szCs w:val="16"/>
                  <w:color w:val="000000"/>
                </w:rPr>
                <w:t>*</w:t>
              </w:r>
            </w:hyperlink>
          </w:p>
        </w:tc>
        <w:tc>
          <w:tcPr>
            <w:tcW w:w="3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400" w:type="dxa"/>
            <w:vAlign w:val="bottom"/>
            <w:gridSpan w:val="10"/>
          </w:tcPr>
          <w:p>
            <w:pPr>
              <w:spacing w:after="0" w:line="169" w:lineRule="exact"/>
              <w:rPr>
                <w:rFonts w:ascii="Arial" w:cs="Arial" w:eastAsia="Arial" w:hAnsi="Arial"/>
                <w:sz w:val="16"/>
                <w:szCs w:val="16"/>
                <w:color w:val="0000EE"/>
                <w:w w:val="94"/>
              </w:rPr>
            </w:pPr>
            <w:hyperlink w:anchor="page35">
              <w:r>
                <w:rPr>
                  <w:rFonts w:ascii="Arial" w:cs="Arial" w:eastAsia="Arial" w:hAnsi="Arial"/>
                  <w:sz w:val="16"/>
                  <w:szCs w:val="16"/>
                  <w:color w:val="0000EE"/>
                  <w:w w:val="94"/>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820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amended.</w:t>
              </w:r>
              <w:r>
                <w:rPr>
                  <w:rFonts w:ascii="Arial" w:cs="Arial" w:eastAsia="Arial" w:hAnsi="Arial"/>
                  <w:sz w:val="16"/>
                  <w:szCs w:val="16"/>
                  <w:color w:val="000000"/>
                </w:rPr>
                <w: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120" w:type="dxa"/>
            <w:vAlign w:val="bottom"/>
            <w:tcBorders>
              <w:bottom w:val="single" w:sz="8" w:color="0000EE"/>
            </w:tcBorders>
            <w:gridSpan w:val="8"/>
          </w:tcPr>
          <w:p>
            <w:pPr>
              <w:spacing w:after="0" w:line="169" w:lineRule="exact"/>
              <w:rPr>
                <w:rFonts w:ascii="Arial" w:cs="Arial" w:eastAsia="Arial" w:hAnsi="Arial"/>
                <w:sz w:val="16"/>
                <w:szCs w:val="16"/>
                <w:color w:val="0000EE"/>
                <w:w w:val="92"/>
              </w:rPr>
            </w:pPr>
            <w:hyperlink w:anchor="page36">
              <w:r>
                <w:rPr>
                  <w:rFonts w:ascii="Arial" w:cs="Arial" w:eastAsia="Arial" w:hAnsi="Arial"/>
                  <w:sz w:val="16"/>
                  <w:szCs w:val="16"/>
                  <w:color w:val="0000EE"/>
                  <w:w w:val="92"/>
                </w:rPr>
                <w:t>Certification of Chief Financial Officer pursuant to Rule 13a-14(a) and Rule 15d-14(a) of the Securities and Exchange Act of</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8400" w:type="dxa"/>
            <w:vAlign w:val="bottom"/>
            <w:gridSpan w:val="10"/>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1934, as amended.</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80" w:type="dxa"/>
            <w:vAlign w:val="bottom"/>
            <w:tcBorders>
              <w:bottom w:val="single" w:sz="8" w:color="0000EE"/>
            </w:tcBorders>
            <w:gridSpan w:val="6"/>
          </w:tcPr>
          <w:p>
            <w:pPr>
              <w:spacing w:after="0" w:line="169" w:lineRule="exact"/>
              <w:rPr>
                <w:rFonts w:ascii="Arial" w:cs="Arial" w:eastAsia="Arial" w:hAnsi="Arial"/>
                <w:sz w:val="16"/>
                <w:szCs w:val="16"/>
                <w:color w:val="0000EE"/>
                <w:w w:val="92"/>
              </w:rPr>
            </w:pPr>
            <w:hyperlink w:anchor="page37">
              <w:r>
                <w:rPr>
                  <w:rFonts w:ascii="Arial" w:cs="Arial" w:eastAsia="Arial" w:hAnsi="Arial"/>
                  <w:sz w:val="16"/>
                  <w:szCs w:val="16"/>
                  <w:color w:val="0000EE"/>
                  <w:w w:val="92"/>
                </w:rPr>
                <w:t>Certification of Chief Executive Officer pursuant to 18 U.S.C. Section 1350, as adopted pursuant to Section 906 of the</w:t>
              </w:r>
            </w:hyperlink>
          </w:p>
        </w:tc>
        <w:tc>
          <w:tcPr>
            <w:tcW w:w="7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32.2</w:t>
            </w:r>
          </w:p>
        </w:tc>
        <w:tc>
          <w:tcPr>
            <w:tcW w:w="8400" w:type="dxa"/>
            <w:vAlign w:val="bottom"/>
            <w:gridSpan w:val="10"/>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40" w:type="dxa"/>
            <w:vAlign w:val="bottom"/>
            <w:tcBorders>
              <w:bottom w:val="single" w:sz="8" w:color="0000EE"/>
            </w:tcBorders>
            <w:gridSpan w:val="5"/>
          </w:tcPr>
          <w:p>
            <w:pPr>
              <w:spacing w:after="0" w:line="169" w:lineRule="exact"/>
              <w:rPr>
                <w:rFonts w:ascii="Arial" w:cs="Arial" w:eastAsia="Arial" w:hAnsi="Arial"/>
                <w:sz w:val="16"/>
                <w:szCs w:val="16"/>
                <w:color w:val="0000EE"/>
                <w:w w:val="92"/>
              </w:rPr>
            </w:pPr>
            <w:hyperlink w:anchor="page38">
              <w:r>
                <w:rPr>
                  <w:rFonts w:ascii="Arial" w:cs="Arial" w:eastAsia="Arial" w:hAnsi="Arial"/>
                  <w:sz w:val="16"/>
                  <w:szCs w:val="16"/>
                  <w:color w:val="0000EE"/>
                  <w:w w:val="92"/>
                </w:rPr>
                <w:t>Certification of Chief Financial Officer pursuant to 18 U.S.C. Section 1350, as adopted pursuant to Section 906 of the</w:t>
              </w:r>
            </w:hyperlink>
          </w:p>
        </w:tc>
        <w:tc>
          <w:tcPr>
            <w:tcW w:w="7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101.INS</w:t>
            </w:r>
          </w:p>
        </w:tc>
        <w:tc>
          <w:tcPr>
            <w:tcW w:w="8400" w:type="dxa"/>
            <w:vAlign w:val="bottom"/>
            <w:gridSpan w:val="10"/>
          </w:tcPr>
          <w:p>
            <w:pPr>
              <w:spacing w:after="0" w:line="183" w:lineRule="exact"/>
              <w:rPr>
                <w:rFonts w:ascii="Arial" w:cs="Arial" w:eastAsia="Arial" w:hAnsi="Arial"/>
                <w:sz w:val="16"/>
                <w:szCs w:val="16"/>
                <w:color w:val="0000EE"/>
              </w:rPr>
            </w:pPr>
            <w:hyperlink w:anchor="page38">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0" w:type="dxa"/>
            <w:vAlign w:val="bottom"/>
            <w:vMerge w:val="continue"/>
          </w:tcPr>
          <w:p>
            <w:pPr>
              <w:spacing w:after="0"/>
              <w:rPr>
                <w:sz w:val="19"/>
                <w:szCs w:val="19"/>
                <w:color w:val="auto"/>
              </w:rPr>
            </w:pPr>
          </w:p>
        </w:tc>
        <w:tc>
          <w:tcPr>
            <w:tcW w:w="8400" w:type="dxa"/>
            <w:vAlign w:val="bottom"/>
            <w:gridSpan w:val="10"/>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101.SCH</w:t>
            </w:r>
          </w:p>
        </w:tc>
        <w:tc>
          <w:tcPr>
            <w:tcW w:w="840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101.CAL</w:t>
            </w:r>
          </w:p>
        </w:tc>
        <w:tc>
          <w:tcPr>
            <w:tcW w:w="8400" w:type="dxa"/>
            <w:vAlign w:val="bottom"/>
            <w:gridSpan w:val="10"/>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101.DEF</w:t>
            </w:r>
          </w:p>
        </w:tc>
        <w:tc>
          <w:tcPr>
            <w:tcW w:w="8400" w:type="dxa"/>
            <w:vAlign w:val="bottom"/>
            <w:gridSpan w:val="10"/>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101.LAB</w:t>
            </w:r>
          </w:p>
        </w:tc>
        <w:tc>
          <w:tcPr>
            <w:tcW w:w="8400" w:type="dxa"/>
            <w:vAlign w:val="bottom"/>
            <w:gridSpan w:val="10"/>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101.PRE</w:t>
            </w:r>
          </w:p>
        </w:tc>
        <w:tc>
          <w:tcPr>
            <w:tcW w:w="840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480" w:hanging="1355"/>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December 7, 2018</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32" w:name="page33"/>
    <w:bookmarkEnd w:id="32"/>
    <w:p>
      <w:pPr>
        <w:ind w:left="780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EMPLOYMENT AGREEMENT</w:t>
      </w:r>
    </w:p>
    <w:p>
      <w:pPr>
        <w:spacing w:after="0" w:line="239"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color w:val="auto"/>
        </w:rPr>
        <w:t>THIS AMENDMENT No. 1 (this “Amendment”) is made and entered into this 15th day of October 2018, by and between Duluth Holdings Inc. (the “Company”), and Al Dittrich (the “Employee”), amending that certain Employment Agreement by and between the Company and Employee, dated as of August 5, 2015 (the “Employment Agreement”). Capitalized terms used herein and not otherwise defined shall have the same meaning given to such terms in the Employment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33" w:lineRule="exact"/>
        <w:rPr>
          <w:sz w:val="20"/>
          <w:szCs w:val="20"/>
          <w:color w:val="auto"/>
        </w:rPr>
      </w:pPr>
    </w:p>
    <w:p>
      <w:pPr>
        <w:ind w:left="1180" w:hanging="427"/>
        <w:spacing w:after="0"/>
        <w:tabs>
          <w:tab w:leader="none" w:pos="1180" w:val="left"/>
        </w:tabs>
        <w:numPr>
          <w:ilvl w:val="0"/>
          <w:numId w:val="9"/>
        </w:numPr>
        <w:rPr>
          <w:rFonts w:ascii="Arial" w:cs="Arial" w:eastAsia="Arial" w:hAnsi="Arial"/>
          <w:sz w:val="21"/>
          <w:szCs w:val="21"/>
          <w:b w:val="1"/>
          <w:bCs w:val="1"/>
          <w:color w:val="auto"/>
        </w:rPr>
      </w:pPr>
      <w:r>
        <w:rPr>
          <w:rFonts w:ascii="Arial" w:cs="Arial" w:eastAsia="Arial" w:hAnsi="Arial"/>
          <w:sz w:val="21"/>
          <w:szCs w:val="21"/>
          <w:color w:val="auto"/>
        </w:rPr>
        <w:t>The Company and Employee have entered into the Employment Agreement; and</w:t>
      </w:r>
    </w:p>
    <w:p>
      <w:pPr>
        <w:spacing w:after="0" w:line="244" w:lineRule="exact"/>
        <w:rPr>
          <w:rFonts w:ascii="Arial" w:cs="Arial" w:eastAsia="Arial" w:hAnsi="Arial"/>
          <w:sz w:val="21"/>
          <w:szCs w:val="21"/>
          <w:b w:val="1"/>
          <w:bCs w:val="1"/>
          <w:color w:val="auto"/>
        </w:rPr>
      </w:pPr>
    </w:p>
    <w:p>
      <w:pPr>
        <w:jc w:val="both"/>
        <w:ind w:left="100" w:right="99" w:firstLine="653"/>
        <w:spacing w:after="0"/>
        <w:tabs>
          <w:tab w:leader="none" w:pos="1162"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The Company and Employee desire to amend the Employment Agreement as provided in this Amendment to reflect Mr. Dittrich’s promotion to the position of Senior Vice President and Chief Operating Officer of the Company.</w:t>
      </w:r>
    </w:p>
    <w:p>
      <w:pPr>
        <w:spacing w:after="0" w:line="213"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color w:val="auto"/>
        </w:rPr>
        <w:t>NOW, THEREFORE, in consideration of the promises and the mutual promises and obligations set forth herein, the Company and Employee do hereby agree as follows:</w:t>
      </w:r>
    </w:p>
    <w:p>
      <w:pPr>
        <w:spacing w:after="0" w:line="194" w:lineRule="exact"/>
        <w:rPr>
          <w:sz w:val="20"/>
          <w:szCs w:val="20"/>
          <w:color w:val="auto"/>
        </w:rPr>
      </w:pPr>
    </w:p>
    <w:p>
      <w:pPr>
        <w:ind w:left="520" w:hanging="402"/>
        <w:spacing w:after="0"/>
        <w:tabs>
          <w:tab w:leader="none" w:pos="520" w:val="left"/>
        </w:tabs>
        <w:numPr>
          <w:ilvl w:val="1"/>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Employment Agreement</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left="920" w:right="99" w:hanging="400"/>
        <w:spacing w:after="0"/>
        <w:rPr>
          <w:rFonts w:ascii="Arial" w:cs="Arial" w:eastAsia="Arial" w:hAnsi="Arial"/>
          <w:sz w:val="22"/>
          <w:szCs w:val="22"/>
          <w:b w:val="1"/>
          <w:bCs w:val="1"/>
          <w:color w:val="auto"/>
        </w:rPr>
      </w:pPr>
      <w:r>
        <w:rPr>
          <w:rFonts w:ascii="Arial" w:cs="Arial" w:eastAsia="Arial" w:hAnsi="Arial"/>
          <w:sz w:val="22"/>
          <w:szCs w:val="22"/>
          <w:color w:val="auto"/>
        </w:rPr>
        <w:t>a. All references in the Employment Agreement to “Senior Vice President of Omnichannel Customer Experiences and Operations” shall be deleted and replaced with “Senior Vice President and Chief Operating Officer.”</w:t>
      </w:r>
    </w:p>
    <w:p>
      <w:pPr>
        <w:spacing w:after="0" w:line="207" w:lineRule="exact"/>
        <w:rPr>
          <w:rFonts w:ascii="Arial" w:cs="Arial" w:eastAsia="Arial" w:hAnsi="Arial"/>
          <w:sz w:val="22"/>
          <w:szCs w:val="22"/>
          <w:b w:val="1"/>
          <w:bCs w:val="1"/>
          <w:color w:val="auto"/>
        </w:rPr>
      </w:pPr>
    </w:p>
    <w:p>
      <w:pPr>
        <w:ind w:left="380" w:hanging="275"/>
        <w:spacing w:after="0"/>
        <w:tabs>
          <w:tab w:leader="none" w:pos="3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39" w:lineRule="exact"/>
        <w:rPr>
          <w:sz w:val="20"/>
          <w:szCs w:val="20"/>
          <w:color w:val="auto"/>
        </w:rPr>
      </w:pPr>
    </w:p>
    <w:p>
      <w:pPr>
        <w:jc w:val="both"/>
        <w:ind w:left="100" w:right="99"/>
        <w:spacing w:after="0" w:line="246" w:lineRule="auto"/>
        <w:rPr>
          <w:sz w:val="20"/>
          <w:szCs w:val="20"/>
          <w:color w:val="auto"/>
        </w:rPr>
      </w:pPr>
      <w:r>
        <w:rPr>
          <w:rFonts w:ascii="Arial" w:cs="Arial" w:eastAsia="Arial" w:hAnsi="Arial"/>
          <w:sz w:val="21"/>
          <w:szCs w:val="21"/>
          <w:color w:val="auto"/>
        </w:rPr>
        <w:t>This Amendment shall be governed by and construed in accordance with the substantive and procedural laws of the State of Wisconsin. This Amendment may be executed in counterparts, including by facsimile or portable document format (.pdf) signature, each of which shall be deemed an original, and all counterparts so executed shall constitute one agreement binding on all of the parties hereto notwithstanding that all of the parties may not be a signatory to the same counterpart. Except as amended and/or modified by this Amendment, the Employment Agreement is hereby ratified and confirmed and all other terms of the Employment Agreement shall remain in full force and effect, unaltered and unchanged by this Amendment.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Follow Next Page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440690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100" w:right="33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and Employee have executed this Amendment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above-written.</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Duluth Holdings Inc.</w:t>
      </w:r>
    </w:p>
    <w:p>
      <w:pPr>
        <w:spacing w:after="0" w:line="200" w:lineRule="exact"/>
        <w:rPr>
          <w:sz w:val="20"/>
          <w:szCs w:val="20"/>
          <w:color w:val="auto"/>
        </w:rPr>
      </w:pPr>
    </w:p>
    <w:p>
      <w:pPr>
        <w:spacing w:after="0" w:line="28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ind w:left="4380"/>
        <w:spacing w:after="0" w:line="238" w:lineRule="auto"/>
        <w:rPr>
          <w:sz w:val="20"/>
          <w:szCs w:val="20"/>
          <w:color w:val="auto"/>
        </w:rPr>
      </w:pPr>
      <w:r>
        <w:rPr>
          <w:rFonts w:ascii="Arial" w:cs="Arial" w:eastAsia="Arial" w:hAnsi="Arial"/>
          <w:sz w:val="22"/>
          <w:szCs w:val="22"/>
          <w:color w:val="auto"/>
        </w:rPr>
        <w:t>Name: 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-151130</wp:posOffset>
            </wp:positionV>
            <wp:extent cx="2470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Al Dittrich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-154940</wp:posOffset>
            </wp:positionV>
            <wp:extent cx="2881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715010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2018</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2018</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October 28, 2018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5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7, 2018</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October 28, 2018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7, 2018</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3352255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2019-12-28T17:30:06Z</dcterms:created>
  <dcterms:modified xsi:type="dcterms:W3CDTF">2019-12-28T17:30:06Z</dcterms:modified>
</cp:coreProperties>
</file>